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D0" w:rsidRPr="00C30907" w:rsidRDefault="001A38D0" w:rsidP="00C30907">
      <w:pPr>
        <w:spacing w:line="560" w:lineRule="exact"/>
        <w:jc w:val="center"/>
        <w:rPr>
          <w:rFonts w:ascii="方正小标宋简体" w:eastAsia="方正小标宋简体" w:hAnsi="仿宋" w:cs="仿宋"/>
          <w:bCs/>
          <w:color w:val="000000"/>
          <w:sz w:val="44"/>
          <w:szCs w:val="44"/>
        </w:rPr>
      </w:pPr>
      <w:r w:rsidRPr="00C30907">
        <w:rPr>
          <w:rFonts w:ascii="方正小标宋简体" w:eastAsia="方正小标宋简体" w:hAnsi="仿宋" w:cs="仿宋" w:hint="eastAsia"/>
          <w:bCs/>
          <w:sz w:val="44"/>
          <w:szCs w:val="44"/>
        </w:rPr>
        <w:t>新乡市环境保护局</w:t>
      </w:r>
      <w:r w:rsidRPr="00C30907">
        <w:rPr>
          <w:rFonts w:ascii="方正小标宋简体" w:eastAsia="方正小标宋简体" w:hAnsi="仿宋" w:cs="仿宋" w:hint="eastAsia"/>
          <w:bCs/>
          <w:color w:val="000000"/>
          <w:sz w:val="44"/>
          <w:szCs w:val="44"/>
        </w:rPr>
        <w:t>卫滨分局</w:t>
      </w:r>
    </w:p>
    <w:p w:rsidR="001A38D0" w:rsidRDefault="001A38D0" w:rsidP="00C30907">
      <w:pPr>
        <w:spacing w:line="560" w:lineRule="exact"/>
        <w:jc w:val="center"/>
        <w:rPr>
          <w:rFonts w:ascii="方正小标宋简体" w:eastAsia="方正小标宋简体" w:hAnsi="仿宋" w:cs="仿宋"/>
          <w:bCs/>
          <w:sz w:val="44"/>
          <w:szCs w:val="44"/>
        </w:rPr>
      </w:pPr>
      <w:r w:rsidRPr="00C30907">
        <w:rPr>
          <w:rFonts w:ascii="方正小标宋简体" w:eastAsia="方正小标宋简体" w:hAnsi="仿宋" w:cs="仿宋" w:hint="eastAsia"/>
          <w:bCs/>
          <w:sz w:val="44"/>
          <w:szCs w:val="44"/>
        </w:rPr>
        <w:t>关于《新乡市龙翔精密铜管有限公司外翅片强化传热铜管生产线技改项目环境影响</w:t>
      </w:r>
    </w:p>
    <w:p w:rsidR="001A38D0" w:rsidRDefault="001A38D0" w:rsidP="00C30907">
      <w:pPr>
        <w:spacing w:line="560" w:lineRule="exact"/>
        <w:jc w:val="center"/>
        <w:rPr>
          <w:rFonts w:ascii="仿宋" w:eastAsia="仿宋" w:hAnsi="仿宋" w:cs="仿宋"/>
          <w:b/>
          <w:bCs/>
          <w:sz w:val="28"/>
          <w:szCs w:val="28"/>
        </w:rPr>
      </w:pPr>
      <w:r w:rsidRPr="00C30907">
        <w:rPr>
          <w:rFonts w:ascii="方正小标宋简体" w:eastAsia="方正小标宋简体" w:hAnsi="仿宋" w:cs="仿宋" w:hint="eastAsia"/>
          <w:bCs/>
          <w:sz w:val="44"/>
          <w:szCs w:val="44"/>
        </w:rPr>
        <w:t>报告表》的批复</w:t>
      </w:r>
    </w:p>
    <w:p w:rsidR="001A38D0" w:rsidRDefault="001A38D0" w:rsidP="00C30907">
      <w:pPr>
        <w:adjustRightInd w:val="0"/>
        <w:snapToGrid w:val="0"/>
        <w:spacing w:line="440" w:lineRule="exact"/>
        <w:jc w:val="center"/>
        <w:rPr>
          <w:rFonts w:ascii="仿宋" w:eastAsia="仿宋" w:hAnsi="仿宋" w:cs="仿宋"/>
          <w:color w:val="000000"/>
          <w:sz w:val="24"/>
          <w:szCs w:val="24"/>
        </w:rPr>
      </w:pPr>
    </w:p>
    <w:p w:rsidR="001A38D0" w:rsidRPr="00C30907" w:rsidRDefault="001A38D0" w:rsidP="00C30907">
      <w:pPr>
        <w:adjustRightInd w:val="0"/>
        <w:snapToGrid w:val="0"/>
        <w:spacing w:line="440" w:lineRule="exact"/>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新乡市龙翔精密铜管有限公司：</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你公司上报的由北京米凡环保科技有限公司环评工程师牛瑞编制的《新乡市龙翔精密铜管有限公司外翅片强化传热铜管生产线技改项目环境影响报告表》（以下简称《报告表》）收悉。该项目环评审批事项已在卫滨区政府网站公示期满，根据《中华人民共和国环境保护法》、《中华人民共和国行政许可法》、《中华人民共和国环境影响评价法》、《建设项目环境保护管理条例》等法律法规规定，经研究，批复如下：</w:t>
      </w:r>
    </w:p>
    <w:p w:rsidR="001A38D0" w:rsidRPr="00C30907" w:rsidRDefault="001A38D0" w:rsidP="00C70B20">
      <w:pPr>
        <w:numPr>
          <w:ilvl w:val="0"/>
          <w:numId w:val="1"/>
        </w:numPr>
        <w:adjustRightInd w:val="0"/>
        <w:snapToGrid w:val="0"/>
        <w:spacing w:line="440" w:lineRule="exact"/>
        <w:ind w:firstLineChars="200" w:firstLine="31680"/>
        <w:jc w:val="left"/>
        <w:rPr>
          <w:rFonts w:ascii="仿宋_GB2312" w:eastAsia="仿宋_GB2312" w:hAnsi="仿宋" w:cs="仿宋"/>
          <w:sz w:val="32"/>
          <w:szCs w:val="32"/>
        </w:rPr>
      </w:pPr>
      <w:r w:rsidRPr="00C30907">
        <w:rPr>
          <w:rFonts w:ascii="仿宋_GB2312" w:eastAsia="仿宋_GB2312" w:hAnsi="仿宋" w:cs="仿宋" w:hint="eastAsia"/>
          <w:color w:val="000000"/>
          <w:sz w:val="32"/>
          <w:szCs w:val="32"/>
        </w:rPr>
        <w:t>我局批准该《报告表》，原则同意你公司按照《报告表》中所列项目的地点、性质、规模、生产工艺和环境保护对策措施建设。项目总投资</w:t>
      </w:r>
      <w:r w:rsidRPr="00C30907">
        <w:rPr>
          <w:rFonts w:ascii="仿宋_GB2312" w:eastAsia="仿宋_GB2312" w:hAnsi="仿宋" w:cs="仿宋"/>
          <w:color w:val="000000"/>
          <w:sz w:val="32"/>
          <w:szCs w:val="32"/>
        </w:rPr>
        <w:t>11000</w:t>
      </w:r>
      <w:r w:rsidRPr="00C30907">
        <w:rPr>
          <w:rFonts w:ascii="仿宋_GB2312" w:eastAsia="仿宋_GB2312" w:hAnsi="仿宋" w:cs="仿宋" w:hint="eastAsia"/>
          <w:color w:val="000000"/>
          <w:sz w:val="32"/>
          <w:szCs w:val="32"/>
        </w:rPr>
        <w:t>万元，在</w:t>
      </w:r>
      <w:r w:rsidRPr="00C30907">
        <w:rPr>
          <w:rFonts w:ascii="仿宋_GB2312" w:eastAsia="仿宋_GB2312" w:hAnsi="仿宋" w:cs="仿宋" w:hint="eastAsia"/>
          <w:sz w:val="32"/>
          <w:szCs w:val="32"/>
        </w:rPr>
        <w:t>新乡市卫滨区人民西路</w:t>
      </w:r>
      <w:r w:rsidRPr="00C30907">
        <w:rPr>
          <w:rFonts w:ascii="仿宋_GB2312" w:eastAsia="仿宋_GB2312" w:hAnsi="仿宋" w:cs="仿宋"/>
          <w:sz w:val="32"/>
          <w:szCs w:val="32"/>
        </w:rPr>
        <w:t>191</w:t>
      </w:r>
      <w:r w:rsidRPr="00C30907">
        <w:rPr>
          <w:rFonts w:ascii="仿宋_GB2312" w:eastAsia="仿宋_GB2312" w:hAnsi="仿宋" w:cs="仿宋" w:hint="eastAsia"/>
          <w:sz w:val="32"/>
          <w:szCs w:val="32"/>
        </w:rPr>
        <w:t>号院内。</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二、你公司应主动向社会公众公开经批准的《报告表》，并接受相关方的咨询。</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三、你公司应全面落实《报告表》提出的各项环保对策措施及环保设施投资概算，确保各项环境保护措施与主体工程同时设计、同时施工、同时投产使用，确保各项污染物达标排放。</w:t>
      </w:r>
    </w:p>
    <w:p w:rsidR="001A38D0" w:rsidRPr="00C30907" w:rsidRDefault="001A38D0" w:rsidP="00C30907">
      <w:pPr>
        <w:adjustRightInd w:val="0"/>
        <w:snapToGrid w:val="0"/>
        <w:spacing w:line="440" w:lineRule="exact"/>
        <w:ind w:firstLine="480"/>
        <w:jc w:val="left"/>
        <w:rPr>
          <w:rFonts w:ascii="仿宋_GB2312" w:eastAsia="仿宋_GB2312" w:hAnsi="仿宋" w:cs="仿宋"/>
          <w:color w:val="000000"/>
          <w:sz w:val="32"/>
          <w:szCs w:val="32"/>
        </w:rPr>
      </w:pPr>
      <w:r w:rsidRPr="00C30907">
        <w:rPr>
          <w:rFonts w:ascii="仿宋_GB2312" w:eastAsia="仿宋_GB2312" w:hAnsi="仿宋" w:cs="仿宋" w:hint="eastAsia"/>
          <w:sz w:val="32"/>
          <w:szCs w:val="32"/>
        </w:rPr>
        <w:t>（</w:t>
      </w:r>
      <w:r w:rsidRPr="00C30907">
        <w:rPr>
          <w:rFonts w:ascii="仿宋_GB2312" w:eastAsia="仿宋_GB2312" w:hAnsi="仿宋" w:cs="仿宋" w:hint="eastAsia"/>
          <w:color w:val="000000"/>
          <w:sz w:val="32"/>
          <w:szCs w:val="32"/>
        </w:rPr>
        <w:t>一）依据《报告表》和本批复文件，对项目建设过程中产生的废水、废气、噪声、固体废物等污染物，采取相应的污染防治措施。</w:t>
      </w:r>
    </w:p>
    <w:p w:rsidR="001A38D0" w:rsidRPr="00C30907" w:rsidRDefault="001A38D0" w:rsidP="00C30907">
      <w:pPr>
        <w:adjustRightInd w:val="0"/>
        <w:snapToGrid w:val="0"/>
        <w:spacing w:line="440" w:lineRule="exact"/>
        <w:ind w:firstLine="4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（二）项目运行时，外排污染物应满足以下要求：</w:t>
      </w:r>
    </w:p>
    <w:p w:rsidR="001A38D0" w:rsidRPr="00C30907" w:rsidRDefault="001A38D0" w:rsidP="00237C26">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color w:val="000000"/>
          <w:sz w:val="32"/>
          <w:szCs w:val="32"/>
        </w:rPr>
        <w:t>1</w:t>
      </w:r>
      <w:r w:rsidRPr="00C30907">
        <w:rPr>
          <w:rFonts w:ascii="仿宋_GB2312" w:eastAsia="仿宋_GB2312" w:hAnsi="仿宋" w:cs="仿宋" w:hint="eastAsia"/>
          <w:color w:val="000000"/>
          <w:sz w:val="32"/>
          <w:szCs w:val="32"/>
        </w:rPr>
        <w:t>、废水：</w:t>
      </w:r>
      <w:bookmarkStart w:id="0" w:name="_Hlk16960432"/>
      <w:r w:rsidRPr="00C30907">
        <w:rPr>
          <w:rFonts w:ascii="仿宋_GB2312" w:eastAsia="仿宋_GB2312" w:hAnsi="仿宋" w:cs="仿宋" w:hint="eastAsia"/>
          <w:color w:val="000000"/>
          <w:sz w:val="32"/>
          <w:szCs w:val="32"/>
        </w:rPr>
        <w:t>本项目不新增生活废水、生产废水。原项目产生的生活污水经化粪池处理后，经金龙集团生活污水处理站处理后排放。原生产加工过程中产生的废水主要是洗清洗废水、废切削水溶液液、废防氧化溶液。项目新建污水处理站，生产废水经污水处理站处理后排至金龙集团污水处理站处理后排放。</w:t>
      </w:r>
    </w:p>
    <w:bookmarkEnd w:id="0"/>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color w:val="000000"/>
          <w:sz w:val="32"/>
          <w:szCs w:val="32"/>
        </w:rPr>
        <w:t>2</w:t>
      </w:r>
      <w:r w:rsidRPr="00C30907">
        <w:rPr>
          <w:rFonts w:ascii="仿宋_GB2312" w:eastAsia="仿宋_GB2312" w:hAnsi="仿宋" w:cs="仿宋" w:hint="eastAsia"/>
          <w:color w:val="000000"/>
          <w:sz w:val="32"/>
          <w:szCs w:val="32"/>
        </w:rPr>
        <w:t>、废气：</w:t>
      </w:r>
      <w:bookmarkStart w:id="1" w:name="_Hlk16960271"/>
      <w:r w:rsidRPr="00C30907">
        <w:rPr>
          <w:rFonts w:ascii="仿宋_GB2312" w:eastAsia="仿宋_GB2312" w:hAnsi="仿宋" w:cs="仿宋" w:hint="eastAsia"/>
          <w:color w:val="000000"/>
          <w:sz w:val="32"/>
          <w:szCs w:val="32"/>
        </w:rPr>
        <w:t>本项目</w:t>
      </w:r>
      <w:bookmarkEnd w:id="1"/>
      <w:r w:rsidRPr="00C30907">
        <w:rPr>
          <w:rFonts w:ascii="仿宋_GB2312" w:eastAsia="仿宋_GB2312" w:hAnsi="仿宋" w:cs="仿宋" w:hint="eastAsia"/>
          <w:color w:val="000000"/>
          <w:sz w:val="32"/>
          <w:szCs w:val="32"/>
        </w:rPr>
        <w:t>无新增废气污染物及排放量。原生产加工过程中，产生的废气主要是切割过程中产生的颗粒物，经自然沉降后排放，对环境影响较小。</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color w:val="000000"/>
          <w:sz w:val="32"/>
          <w:szCs w:val="32"/>
        </w:rPr>
        <w:t>3</w:t>
      </w:r>
      <w:r w:rsidRPr="00C30907">
        <w:rPr>
          <w:rFonts w:ascii="仿宋_GB2312" w:eastAsia="仿宋_GB2312" w:hAnsi="仿宋" w:cs="仿宋" w:hint="eastAsia"/>
          <w:color w:val="000000"/>
          <w:sz w:val="32"/>
          <w:szCs w:val="32"/>
        </w:rPr>
        <w:t>、噪声：本项目运营期噪声主要是来自成型机、切割机、清洗机、退火炉、烘干炉等设备运转噪声，噪声源强约为</w:t>
      </w:r>
      <w:r w:rsidRPr="00C30907">
        <w:rPr>
          <w:rFonts w:ascii="仿宋_GB2312" w:eastAsia="仿宋_GB2312" w:hAnsi="仿宋" w:cs="仿宋"/>
          <w:color w:val="000000"/>
          <w:sz w:val="32"/>
          <w:szCs w:val="32"/>
        </w:rPr>
        <w:t>55</w:t>
      </w:r>
      <w:r w:rsidRPr="00C30907">
        <w:rPr>
          <w:rFonts w:ascii="仿宋_GB2312" w:eastAsia="仿宋_GB2312" w:hAnsi="仿宋" w:cs="仿宋" w:hint="eastAsia"/>
          <w:color w:val="000000"/>
          <w:sz w:val="32"/>
          <w:szCs w:val="32"/>
        </w:rPr>
        <w:t>～</w:t>
      </w:r>
      <w:r w:rsidRPr="00C30907">
        <w:rPr>
          <w:rFonts w:ascii="仿宋_GB2312" w:eastAsia="仿宋_GB2312" w:hAnsi="仿宋" w:cs="仿宋"/>
          <w:color w:val="000000"/>
          <w:sz w:val="32"/>
          <w:szCs w:val="32"/>
        </w:rPr>
        <w:t>95dB</w:t>
      </w:r>
      <w:r w:rsidRPr="00C30907">
        <w:rPr>
          <w:rFonts w:ascii="仿宋_GB2312" w:eastAsia="仿宋_GB2312" w:hAnsi="仿宋" w:cs="仿宋" w:hint="eastAsia"/>
          <w:color w:val="000000"/>
          <w:sz w:val="32"/>
          <w:szCs w:val="32"/>
        </w:rPr>
        <w:t>（</w:t>
      </w:r>
      <w:r w:rsidRPr="00C30907">
        <w:rPr>
          <w:rFonts w:ascii="仿宋_GB2312" w:eastAsia="仿宋_GB2312" w:hAnsi="仿宋" w:cs="仿宋"/>
          <w:color w:val="000000"/>
          <w:sz w:val="32"/>
          <w:szCs w:val="32"/>
        </w:rPr>
        <w:t>A</w:t>
      </w:r>
      <w:r w:rsidRPr="00C30907">
        <w:rPr>
          <w:rFonts w:ascii="仿宋_GB2312" w:eastAsia="仿宋_GB2312" w:hAnsi="仿宋" w:cs="仿宋" w:hint="eastAsia"/>
          <w:color w:val="000000"/>
          <w:sz w:val="32"/>
          <w:szCs w:val="32"/>
        </w:rPr>
        <w:t>）。</w:t>
      </w:r>
      <w:r w:rsidRPr="00C30907">
        <w:rPr>
          <w:rFonts w:ascii="仿宋_GB2312" w:eastAsia="仿宋_GB2312" w:hAnsi="仿宋" w:cs="仿宋"/>
          <w:color w:val="000000"/>
          <w:sz w:val="32"/>
          <w:szCs w:val="32"/>
        </w:rPr>
        <w:t xml:space="preserve"> </w:t>
      </w:r>
      <w:r w:rsidRPr="00C30907">
        <w:rPr>
          <w:rFonts w:ascii="仿宋_GB2312" w:eastAsia="仿宋_GB2312" w:hAnsi="仿宋" w:cs="仿宋" w:hint="eastAsia"/>
          <w:color w:val="000000"/>
          <w:sz w:val="32"/>
          <w:szCs w:val="32"/>
        </w:rPr>
        <w:t>该项目生产设备均安放于车间内，并采取相应的隔振和减振处理，生产车间采用隔声门窗；空气压缩机密闭于室内。在采取噪声治理措施后，厂界噪声贡献值符合《工业企业厂界环境噪声排放标准》</w:t>
      </w:r>
      <w:r w:rsidRPr="00C30907">
        <w:rPr>
          <w:rFonts w:ascii="仿宋_GB2312" w:eastAsia="仿宋_GB2312" w:hAnsi="仿宋" w:cs="仿宋"/>
          <w:color w:val="000000"/>
          <w:sz w:val="32"/>
          <w:szCs w:val="32"/>
        </w:rPr>
        <w:t xml:space="preserve"> </w:t>
      </w:r>
      <w:r w:rsidRPr="00C30907">
        <w:rPr>
          <w:rFonts w:ascii="仿宋_GB2312" w:eastAsia="仿宋_GB2312" w:hAnsi="仿宋" w:cs="仿宋" w:hint="eastAsia"/>
          <w:color w:val="000000"/>
          <w:sz w:val="32"/>
          <w:szCs w:val="32"/>
        </w:rPr>
        <w:t>（</w:t>
      </w:r>
      <w:r w:rsidRPr="00C30907">
        <w:rPr>
          <w:rFonts w:ascii="仿宋_GB2312" w:eastAsia="仿宋_GB2312" w:hAnsi="仿宋" w:cs="仿宋"/>
          <w:color w:val="000000"/>
          <w:sz w:val="32"/>
          <w:szCs w:val="32"/>
        </w:rPr>
        <w:t>GB12348-2008</w:t>
      </w:r>
      <w:r w:rsidRPr="00C30907">
        <w:rPr>
          <w:rFonts w:ascii="仿宋_GB2312" w:eastAsia="仿宋_GB2312" w:hAnsi="仿宋" w:cs="仿宋" w:hint="eastAsia"/>
          <w:color w:val="000000"/>
          <w:sz w:val="32"/>
          <w:szCs w:val="32"/>
        </w:rPr>
        <w:t>）中的</w:t>
      </w:r>
      <w:r w:rsidRPr="00C30907">
        <w:rPr>
          <w:rFonts w:ascii="仿宋_GB2312" w:eastAsia="仿宋_GB2312" w:hAnsi="仿宋" w:cs="仿宋"/>
          <w:color w:val="000000"/>
          <w:sz w:val="32"/>
          <w:szCs w:val="32"/>
        </w:rPr>
        <w:t xml:space="preserve"> 2</w:t>
      </w:r>
      <w:r w:rsidRPr="00C30907">
        <w:rPr>
          <w:rFonts w:ascii="仿宋_GB2312" w:eastAsia="仿宋_GB2312" w:hAnsi="仿宋" w:cs="仿宋" w:hint="eastAsia"/>
          <w:color w:val="000000"/>
          <w:sz w:val="32"/>
          <w:szCs w:val="32"/>
        </w:rPr>
        <w:t>类标准限值要求。</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color w:val="000000"/>
          <w:sz w:val="32"/>
          <w:szCs w:val="32"/>
        </w:rPr>
        <w:t>4</w:t>
      </w:r>
      <w:r w:rsidRPr="00C30907">
        <w:rPr>
          <w:rFonts w:ascii="仿宋_GB2312" w:eastAsia="仿宋_GB2312" w:hAnsi="仿宋" w:cs="仿宋" w:hint="eastAsia"/>
          <w:color w:val="000000"/>
          <w:sz w:val="32"/>
          <w:szCs w:val="32"/>
        </w:rPr>
        <w:t>、固废：本项目固体废物主要包括生活垃圾、一般工业固废及危险废物。本项目不新增生活垃圾，原生活垃圾分类集中收集，可回收部分用于回收，不可回收，委托专人定期清运至垃圾中转站。</w:t>
      </w:r>
      <w:r w:rsidRPr="00C30907">
        <w:rPr>
          <w:rFonts w:ascii="仿宋_GB2312" w:eastAsia="仿宋_GB2312" w:hAnsi="仿宋" w:cs="仿宋"/>
          <w:color w:val="000000"/>
          <w:sz w:val="32"/>
          <w:szCs w:val="32"/>
        </w:rPr>
        <w:t xml:space="preserve"> </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本项目不新增一般工业废物，原一般工业废物包括残次品及下脚料、废弃包装物等，分类收集，其中可再利用物资由物资公司收购，其余垃圾由环卫部门负责清运。危险废物包含项目在设备整修产生的废机油、废棉纱及污水处理站产生的污泥。危险废物用专用容器收集后存放在专门的贮存间，由有危险废物处理资质的单位负责回收处置。</w:t>
      </w:r>
      <w:r w:rsidRPr="00C30907">
        <w:rPr>
          <w:rFonts w:ascii="仿宋_GB2312" w:eastAsia="仿宋_GB2312" w:hAnsi="仿宋" w:cs="仿宋"/>
          <w:color w:val="000000"/>
          <w:sz w:val="32"/>
          <w:szCs w:val="32"/>
        </w:rPr>
        <w:t xml:space="preserve"> </w:t>
      </w:r>
      <w:r w:rsidRPr="00C30907">
        <w:rPr>
          <w:rFonts w:ascii="仿宋_GB2312" w:eastAsia="仿宋_GB2312" w:hAnsi="仿宋" w:cs="仿宋" w:hint="eastAsia"/>
          <w:color w:val="000000"/>
          <w:sz w:val="32"/>
          <w:szCs w:val="32"/>
        </w:rPr>
        <w:t>对于危险废物，要严格执行《危险废物转移联单制度》，做好各项申报登记工作。在采取上述措施后，处置、处理率达</w:t>
      </w:r>
      <w:r w:rsidRPr="00C30907">
        <w:rPr>
          <w:rFonts w:ascii="仿宋_GB2312" w:eastAsia="仿宋_GB2312" w:hAnsi="仿宋" w:cs="仿宋"/>
          <w:color w:val="000000"/>
          <w:sz w:val="32"/>
          <w:szCs w:val="32"/>
        </w:rPr>
        <w:t xml:space="preserve"> 100%</w:t>
      </w:r>
      <w:r w:rsidRPr="00C30907">
        <w:rPr>
          <w:rFonts w:ascii="仿宋_GB2312" w:eastAsia="仿宋_GB2312" w:hAnsi="仿宋" w:cs="仿宋" w:hint="eastAsia"/>
          <w:color w:val="000000"/>
          <w:sz w:val="32"/>
          <w:szCs w:val="32"/>
        </w:rPr>
        <w:t>，</w:t>
      </w:r>
      <w:r w:rsidRPr="00C30907">
        <w:rPr>
          <w:rFonts w:ascii="仿宋_GB2312" w:eastAsia="仿宋_GB2312" w:hAnsi="仿宋" w:cs="仿宋"/>
          <w:color w:val="000000"/>
          <w:sz w:val="32"/>
          <w:szCs w:val="32"/>
        </w:rPr>
        <w:t xml:space="preserve"> </w:t>
      </w:r>
      <w:r w:rsidRPr="00C30907">
        <w:rPr>
          <w:rFonts w:ascii="仿宋_GB2312" w:eastAsia="仿宋_GB2312" w:hAnsi="仿宋" w:cs="仿宋" w:hint="eastAsia"/>
          <w:color w:val="000000"/>
          <w:sz w:val="32"/>
          <w:szCs w:val="32"/>
        </w:rPr>
        <w:t>不会造成二次污染，该措施可行。</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四、本批复仅对该项目的污染防治措施和相关污染物达标排放情况进行了审查。</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五、项目完工后，需按规定程序和标准进行竣工环境保护验收。分局监管科负责该项目“三同时”日常监督管理，并明确监管责任人。</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六、本批复有效期为</w:t>
      </w:r>
      <w:r w:rsidRPr="00C30907">
        <w:rPr>
          <w:rFonts w:ascii="仿宋_GB2312" w:eastAsia="仿宋_GB2312" w:hAnsi="仿宋" w:cs="仿宋"/>
          <w:color w:val="000000"/>
          <w:sz w:val="32"/>
          <w:szCs w:val="32"/>
        </w:rPr>
        <w:t>5</w:t>
      </w:r>
      <w:r w:rsidRPr="00C30907">
        <w:rPr>
          <w:rFonts w:ascii="仿宋_GB2312" w:eastAsia="仿宋_GB2312" w:hAnsi="仿宋" w:cs="仿宋" w:hint="eastAsia"/>
          <w:color w:val="000000"/>
          <w:sz w:val="32"/>
          <w:szCs w:val="32"/>
        </w:rPr>
        <w:t>年。如该项目逾期方开工建设，其环境影响报告表应报我局重新审核。</w:t>
      </w:r>
    </w:p>
    <w:p w:rsidR="001A38D0" w:rsidRPr="00C30907" w:rsidRDefault="001A38D0" w:rsidP="00C70B20">
      <w:pPr>
        <w:adjustRightInd w:val="0"/>
        <w:snapToGrid w:val="0"/>
        <w:spacing w:line="440" w:lineRule="exact"/>
        <w:ind w:firstLineChars="200" w:firstLine="31680"/>
        <w:jc w:val="left"/>
        <w:rPr>
          <w:rFonts w:ascii="仿宋_GB2312" w:eastAsia="仿宋_GB2312" w:hAnsi="仿宋" w:cs="仿宋"/>
          <w:color w:val="000000"/>
          <w:sz w:val="32"/>
          <w:szCs w:val="32"/>
        </w:rPr>
      </w:pPr>
      <w:r w:rsidRPr="00C30907">
        <w:rPr>
          <w:rFonts w:ascii="仿宋_GB2312" w:eastAsia="仿宋_GB2312" w:hAnsi="仿宋" w:cs="仿宋" w:hint="eastAsia"/>
          <w:color w:val="000000"/>
          <w:sz w:val="32"/>
          <w:szCs w:val="32"/>
        </w:rPr>
        <w:t>七、如今后国家或我省颁布严于本批复指标的新标准，届时你公司应按新标准执行。</w:t>
      </w:r>
    </w:p>
    <w:p w:rsidR="001A38D0" w:rsidRDefault="001A38D0" w:rsidP="00C30907">
      <w:pPr>
        <w:pStyle w:val="NormalIndent"/>
        <w:spacing w:line="440" w:lineRule="exact"/>
        <w:rPr>
          <w:rFonts w:ascii="仿宋" w:eastAsia="仿宋" w:hAnsi="仿宋" w:cs="仿宋"/>
          <w:color w:val="000000"/>
          <w:sz w:val="24"/>
          <w:szCs w:val="24"/>
        </w:rPr>
      </w:pPr>
    </w:p>
    <w:p w:rsidR="001A38D0" w:rsidRDefault="001A38D0" w:rsidP="00C30907">
      <w:pPr>
        <w:spacing w:line="440" w:lineRule="exact"/>
        <w:rPr>
          <w:rFonts w:ascii="仿宋" w:eastAsia="仿宋" w:hAnsi="仿宋" w:cs="仿宋"/>
          <w:color w:val="000000"/>
          <w:sz w:val="24"/>
          <w:szCs w:val="24"/>
        </w:rPr>
      </w:pPr>
    </w:p>
    <w:p w:rsidR="001A38D0" w:rsidRDefault="001A38D0" w:rsidP="00C30907">
      <w:pPr>
        <w:pStyle w:val="NormalIndent"/>
        <w:spacing w:line="440" w:lineRule="exact"/>
        <w:rPr>
          <w:rFonts w:ascii="仿宋" w:eastAsia="仿宋" w:hAnsi="仿宋" w:cs="仿宋"/>
          <w:color w:val="000000"/>
          <w:sz w:val="24"/>
          <w:szCs w:val="24"/>
        </w:rPr>
      </w:pPr>
      <w:bookmarkStart w:id="2" w:name="_GoBack"/>
      <w:bookmarkEnd w:id="2"/>
    </w:p>
    <w:p w:rsidR="001A38D0" w:rsidRDefault="001A38D0" w:rsidP="00C30907">
      <w:pPr>
        <w:spacing w:line="440" w:lineRule="exact"/>
      </w:pPr>
    </w:p>
    <w:p w:rsidR="001A38D0" w:rsidRPr="00C70B20" w:rsidRDefault="001A38D0" w:rsidP="00C70B20">
      <w:pPr>
        <w:adjustRightInd w:val="0"/>
        <w:snapToGrid w:val="0"/>
        <w:spacing w:line="440" w:lineRule="exact"/>
        <w:ind w:firstLineChars="200" w:firstLine="31680"/>
        <w:jc w:val="left"/>
        <w:rPr>
          <w:rFonts w:ascii="仿宋_GB2312" w:eastAsia="仿宋_GB2312" w:hAnsi="仿宋" w:cs="仿宋"/>
          <w:color w:val="000000"/>
          <w:szCs w:val="21"/>
        </w:rPr>
      </w:pPr>
      <w:r w:rsidRPr="00C70B20">
        <w:rPr>
          <w:rFonts w:ascii="仿宋_GB2312" w:eastAsia="仿宋_GB2312" w:hAnsi="仿宋" w:cs="仿宋" w:hint="eastAsia"/>
          <w:color w:val="000000"/>
          <w:szCs w:val="21"/>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1A38D0" w:rsidRPr="00C70B20" w:rsidRDefault="001A38D0" w:rsidP="00C30907">
      <w:pPr>
        <w:adjustRightInd w:val="0"/>
        <w:snapToGrid w:val="0"/>
        <w:spacing w:line="440" w:lineRule="exact"/>
        <w:ind w:firstLine="480"/>
        <w:jc w:val="left"/>
        <w:rPr>
          <w:rFonts w:ascii="仿宋_GB2312" w:eastAsia="仿宋_GB2312" w:hAnsi="仿宋" w:cs="仿宋"/>
          <w:color w:val="000000"/>
          <w:szCs w:val="21"/>
        </w:rPr>
      </w:pPr>
      <w:r w:rsidRPr="00C70B20">
        <w:rPr>
          <w:rFonts w:ascii="仿宋_GB2312" w:eastAsia="仿宋_GB2312" w:hAnsi="仿宋" w:cs="仿宋" w:hint="eastAsia"/>
          <w:color w:val="000000"/>
          <w:szCs w:val="21"/>
        </w:rPr>
        <w:t>联系地址：新乡市人民东路</w:t>
      </w:r>
      <w:r w:rsidRPr="00C70B20">
        <w:rPr>
          <w:rFonts w:ascii="仿宋_GB2312" w:eastAsia="仿宋_GB2312" w:hAnsi="仿宋" w:cs="仿宋"/>
          <w:color w:val="000000"/>
          <w:szCs w:val="21"/>
        </w:rPr>
        <w:t>138</w:t>
      </w:r>
      <w:r w:rsidRPr="00C70B20">
        <w:rPr>
          <w:rFonts w:ascii="仿宋_GB2312" w:eastAsia="仿宋_GB2312" w:hAnsi="仿宋" w:cs="仿宋" w:hint="eastAsia"/>
          <w:color w:val="000000"/>
          <w:szCs w:val="21"/>
        </w:rPr>
        <w:t>号</w:t>
      </w:r>
      <w:r w:rsidRPr="00C70B20">
        <w:rPr>
          <w:rFonts w:ascii="仿宋_GB2312" w:eastAsia="仿宋_GB2312" w:hAnsi="仿宋" w:cs="仿宋"/>
          <w:color w:val="000000"/>
          <w:szCs w:val="21"/>
        </w:rPr>
        <w:t xml:space="preserve">    </w:t>
      </w:r>
      <w:r w:rsidRPr="00C70B20">
        <w:rPr>
          <w:rFonts w:ascii="仿宋_GB2312" w:eastAsia="仿宋_GB2312" w:hAnsi="仿宋" w:cs="仿宋" w:hint="eastAsia"/>
          <w:color w:val="000000"/>
          <w:szCs w:val="21"/>
        </w:rPr>
        <w:t>邮编：</w:t>
      </w:r>
      <w:r w:rsidRPr="00C70B20">
        <w:rPr>
          <w:rFonts w:ascii="仿宋_GB2312" w:eastAsia="仿宋_GB2312" w:hAnsi="仿宋" w:cs="仿宋"/>
          <w:color w:val="000000"/>
          <w:szCs w:val="21"/>
        </w:rPr>
        <w:t xml:space="preserve">453000    </w:t>
      </w:r>
      <w:r w:rsidRPr="00C70B20">
        <w:rPr>
          <w:rFonts w:ascii="仿宋_GB2312" w:eastAsia="仿宋_GB2312" w:hAnsi="仿宋" w:cs="仿宋" w:hint="eastAsia"/>
          <w:color w:val="000000"/>
          <w:szCs w:val="21"/>
        </w:rPr>
        <w:t>联系电话：</w:t>
      </w:r>
      <w:r w:rsidRPr="00C70B20">
        <w:rPr>
          <w:rFonts w:ascii="仿宋_GB2312" w:eastAsia="仿宋_GB2312" w:hAnsi="仿宋" w:cs="仿宋"/>
          <w:color w:val="000000"/>
          <w:szCs w:val="21"/>
        </w:rPr>
        <w:t>0373-2644110</w:t>
      </w:r>
    </w:p>
    <w:p w:rsidR="001A38D0" w:rsidRDefault="001A38D0" w:rsidP="00237C26">
      <w:pPr>
        <w:ind w:firstLineChars="200" w:firstLine="31680"/>
        <w:rPr>
          <w:szCs w:val="21"/>
        </w:rPr>
      </w:pPr>
    </w:p>
    <w:sectPr w:rsidR="001A38D0" w:rsidSect="00DD7927">
      <w:pgSz w:w="11906" w:h="16838"/>
      <w:pgMar w:top="1440" w:right="1800" w:bottom="1440" w:left="1800" w:header="851" w:footer="992" w:gutter="0"/>
      <w:pgBorders>
        <w:top w:val="single" w:sz="4" w:space="1" w:color="auto"/>
        <w:left w:val="single" w:sz="4" w:space="4" w:color="auto"/>
        <w:bottom w:val="single" w:sz="4" w:space="1" w:color="auto"/>
        <w:right w:val="single" w:sz="4" w:space="4" w:color="auto"/>
      </w:pgBorders>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8497F6"/>
    <w:multiLevelType w:val="singleLevel"/>
    <w:tmpl w:val="A08497F6"/>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5E19E8"/>
    <w:rsid w:val="001A38D0"/>
    <w:rsid w:val="00237C26"/>
    <w:rsid w:val="002838A7"/>
    <w:rsid w:val="0064021D"/>
    <w:rsid w:val="00C30907"/>
    <w:rsid w:val="00C70B20"/>
    <w:rsid w:val="00CA0C6D"/>
    <w:rsid w:val="00DD7927"/>
    <w:rsid w:val="00E00407"/>
    <w:rsid w:val="00F42D16"/>
    <w:rsid w:val="055E19E8"/>
    <w:rsid w:val="09902BBA"/>
    <w:rsid w:val="33D9226A"/>
    <w:rsid w:val="7DDC69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NormalIndent"/>
    <w:qFormat/>
    <w:rsid w:val="00DD792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uiPriority w:val="99"/>
    <w:rsid w:val="00DD7927"/>
    <w:rPr>
      <w:sz w:val="28"/>
    </w:rPr>
  </w:style>
  <w:style w:type="table" w:styleId="TableGrid">
    <w:name w:val="Table Grid"/>
    <w:basedOn w:val="TableNormal"/>
    <w:uiPriority w:val="99"/>
    <w:rsid w:val="00DD792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239</Words>
  <Characters>1368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橙子</dc:creator>
  <cp:keywords/>
  <dc:description/>
  <cp:lastModifiedBy>zzzz</cp:lastModifiedBy>
  <cp:revision>3</cp:revision>
  <cp:lastPrinted>2020-12-10T03:05:00Z</cp:lastPrinted>
  <dcterms:created xsi:type="dcterms:W3CDTF">2020-12-10T01:39:00Z</dcterms:created>
  <dcterms:modified xsi:type="dcterms:W3CDTF">2020-12-11T08:54:00Z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