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56" w:lineRule="atLeast"/>
        <w:jc w:val="center"/>
        <w:rPr>
          <w:rFonts w:hint="eastAsia" w:ascii="方正小标宋简体" w:hAnsi="方正小标宋简体" w:eastAsia="方正小标宋简体" w:cs="方正小标宋简体"/>
          <w:b w:val="0"/>
          <w:bCs w:val="0"/>
          <w:kern w:val="0"/>
          <w:sz w:val="24"/>
          <w:szCs w:val="24"/>
        </w:rPr>
      </w:pPr>
      <w:r>
        <w:rPr>
          <w:rFonts w:hint="eastAsia" w:ascii="方正小标宋简体" w:hAnsi="方正小标宋简体" w:eastAsia="方正小标宋简体" w:cs="方正小标宋简体"/>
          <w:b w:val="0"/>
          <w:bCs w:val="0"/>
          <w:color w:val="000000"/>
          <w:kern w:val="0"/>
          <w:sz w:val="44"/>
          <w:szCs w:val="44"/>
        </w:rPr>
        <w:t>卫滨区市场监督管理局</w:t>
      </w:r>
      <w:r>
        <w:rPr>
          <w:rFonts w:hint="eastAsia" w:ascii="方正小标宋简体" w:hAnsi="方正小标宋简体" w:eastAsia="方正小标宋简体" w:cs="方正小标宋简体"/>
          <w:b w:val="0"/>
          <w:bCs w:val="0"/>
          <w:color w:val="000000"/>
          <w:kern w:val="0"/>
          <w:sz w:val="44"/>
          <w:szCs w:val="44"/>
          <w:lang w:eastAsia="zh-CN"/>
        </w:rPr>
        <w:t>“谁执法谁普法”责任清单</w:t>
      </w: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w:t>
      </w:r>
    </w:p>
    <w:tbl>
      <w:tblPr>
        <w:tblStyle w:val="2"/>
        <w:tblW w:w="14550" w:type="dxa"/>
        <w:tblInd w:w="-159" w:type="dxa"/>
        <w:tblLayout w:type="autofit"/>
        <w:tblCellMar>
          <w:top w:w="15" w:type="dxa"/>
          <w:left w:w="15" w:type="dxa"/>
          <w:bottom w:w="15" w:type="dxa"/>
          <w:right w:w="15" w:type="dxa"/>
        </w:tblCellMar>
      </w:tblPr>
      <w:tblGrid>
        <w:gridCol w:w="810"/>
        <w:gridCol w:w="2670"/>
        <w:gridCol w:w="8610"/>
        <w:gridCol w:w="2460"/>
      </w:tblGrid>
      <w:tr>
        <w:tblPrEx>
          <w:tblCellMar>
            <w:top w:w="15" w:type="dxa"/>
            <w:left w:w="15" w:type="dxa"/>
            <w:bottom w:w="15" w:type="dxa"/>
            <w:right w:w="15"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序号</w:t>
            </w:r>
          </w:p>
        </w:tc>
        <w:tc>
          <w:tcPr>
            <w:tcW w:w="2670"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工作内容</w:t>
            </w:r>
          </w:p>
        </w:tc>
        <w:tc>
          <w:tcPr>
            <w:tcW w:w="8610"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宣传重点</w:t>
            </w:r>
          </w:p>
        </w:tc>
        <w:tc>
          <w:tcPr>
            <w:tcW w:w="2460"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责任单位</w:t>
            </w:r>
          </w:p>
        </w:tc>
      </w:tr>
      <w:tr>
        <w:tblPrEx>
          <w:tblCellMar>
            <w:top w:w="15" w:type="dxa"/>
            <w:left w:w="15" w:type="dxa"/>
            <w:bottom w:w="15" w:type="dxa"/>
            <w:right w:w="15" w:type="dxa"/>
          </w:tblCellMar>
        </w:tblPrEx>
        <w:trPr>
          <w:trHeight w:val="1676"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宣传以宪法为核心的中国特色社会主义法律体系。</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深入学习宣传以宪法为核心的中国特色社会主义法律体系，深入学习宣传党的十九大和十八届三中、四中、五中、六中全会精神和习近平新时代中国特色社会主义思想。</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人教股，法制股</w:t>
            </w:r>
          </w:p>
        </w:tc>
      </w:tr>
      <w:tr>
        <w:tblPrEx>
          <w:tblCellMar>
            <w:top w:w="15" w:type="dxa"/>
            <w:left w:w="15" w:type="dxa"/>
            <w:bottom w:w="15" w:type="dxa"/>
            <w:right w:w="15" w:type="dxa"/>
          </w:tblCellMar>
        </w:tblPrEx>
        <w:trPr>
          <w:trHeight w:val="1049"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广泛开展面向社会的反腐倡廉法治宣传教育，促进廉政法治文化建设。</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以新修订的《中国共产党廉洁自律准则》、《中国共产党纪律处分条例》和《行政监察法》、《行政机关公务员处分条例》、八项规定等法律法规规章和党纪条规为主要内容开展反腐倡廉法治宣传教育。</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监察室</w:t>
            </w:r>
          </w:p>
        </w:tc>
      </w:tr>
      <w:tr>
        <w:tblPrEx>
          <w:tblCellMar>
            <w:top w:w="15" w:type="dxa"/>
            <w:left w:w="15" w:type="dxa"/>
            <w:bottom w:w="15" w:type="dxa"/>
            <w:right w:w="15" w:type="dxa"/>
          </w:tblCellMar>
        </w:tblPrEx>
        <w:trPr>
          <w:trHeight w:val="1049"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宣传食品安全法法律法规，提升食品安全保障能力</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结合食品专项整治，提高食品安全监管的人员行政执法和监管能力，促进企业依法诚信经营。</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0"/>
                <w:szCs w:val="20"/>
              </w:rPr>
              <w:t>食品生产和流通监管科、稽查大队、餐饮服务监管科</w:t>
            </w:r>
          </w:p>
        </w:tc>
      </w:tr>
      <w:tr>
        <w:tblPrEx>
          <w:tblCellMar>
            <w:top w:w="15" w:type="dxa"/>
            <w:left w:w="15" w:type="dxa"/>
            <w:bottom w:w="15" w:type="dxa"/>
            <w:right w:w="15" w:type="dxa"/>
          </w:tblCellMar>
        </w:tblPrEx>
        <w:trPr>
          <w:trHeight w:val="1049"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宣传商事登记改革方面的法律法规，促进经济健康较快发展。</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积极开展“三证合一、一照一码”、《国务院关于“先照后证”改革后加强事中事后监管的意见》等商事登记制度改革措施宣传培训工作。</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注册股</w:t>
            </w:r>
          </w:p>
        </w:tc>
      </w:tr>
      <w:tr>
        <w:tblPrEx>
          <w:tblCellMar>
            <w:top w:w="15" w:type="dxa"/>
            <w:left w:w="15" w:type="dxa"/>
            <w:bottom w:w="15" w:type="dxa"/>
            <w:right w:w="15" w:type="dxa"/>
          </w:tblCellMar>
        </w:tblPrEx>
        <w:trPr>
          <w:trHeight w:val="1049"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宣传消费者权益保护方面的法律法规，增强消费者的法律意识和维权意识</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利用“3·15”国际消费者权益保护日，深入开展消费者权益保护法治宣传教育。重点宣传新修订的《消费者权益保护法》引导消费者增强自我保护意识，提高依法维权能力。</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消保股、消协</w:t>
            </w:r>
          </w:p>
        </w:tc>
      </w:tr>
      <w:tr>
        <w:tblPrEx>
          <w:tblCellMar>
            <w:top w:w="15" w:type="dxa"/>
            <w:left w:w="15" w:type="dxa"/>
            <w:bottom w:w="15" w:type="dxa"/>
            <w:right w:w="15" w:type="dxa"/>
          </w:tblCellMar>
        </w:tblPrEx>
        <w:trPr>
          <w:trHeight w:val="1308" w:hRule="atLeast"/>
        </w:trPr>
        <w:tc>
          <w:tcPr>
            <w:tcW w:w="810" w:type="dxa"/>
            <w:tcBorders>
              <w:top w:val="single" w:color="auto"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6</w:t>
            </w:r>
          </w:p>
        </w:tc>
        <w:tc>
          <w:tcPr>
            <w:tcW w:w="2670" w:type="dxa"/>
            <w:tcBorders>
              <w:top w:val="single" w:color="auto"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宣传保护知识产权、产品质量等方面的法律法规，促进创新建设。</w:t>
            </w:r>
          </w:p>
        </w:tc>
        <w:tc>
          <w:tcPr>
            <w:tcW w:w="8610" w:type="dxa"/>
            <w:tcBorders>
              <w:top w:val="single" w:color="auto"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利用“4·26”世界知识产权日，宣传新修订的《商标法》、《标准化法》和《产品质量法》、国家工商总局《关于贯彻落实〈国家知识产权战略纲要〉大力推进商标战略实施的意见》,倡导经营者树立知识产权意识.</w:t>
            </w:r>
          </w:p>
        </w:tc>
        <w:tc>
          <w:tcPr>
            <w:tcW w:w="2460" w:type="dxa"/>
            <w:tcBorders>
              <w:top w:val="single" w:color="auto" w:sz="4" w:space="0"/>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监管股、 业务一、二股</w:t>
            </w:r>
          </w:p>
        </w:tc>
      </w:tr>
      <w:tr>
        <w:tblPrEx>
          <w:tblCellMar>
            <w:top w:w="15" w:type="dxa"/>
            <w:left w:w="15" w:type="dxa"/>
            <w:bottom w:w="15" w:type="dxa"/>
            <w:right w:w="15" w:type="dxa"/>
          </w:tblCellMar>
        </w:tblPrEx>
        <w:trPr>
          <w:trHeight w:val="1020"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7</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宣传医疗器械方面的法律法规</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以医疗器械规范化经营示范企业创建活动为依托，宣传医疗器械法律法规，提升医疗器械经营质量管理水平，保障公众用械安全有效。</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药化械科</w:t>
            </w:r>
          </w:p>
        </w:tc>
      </w:tr>
      <w:tr>
        <w:tblPrEx>
          <w:tblCellMar>
            <w:top w:w="15" w:type="dxa"/>
            <w:left w:w="15" w:type="dxa"/>
            <w:bottom w:w="15" w:type="dxa"/>
            <w:right w:w="15" w:type="dxa"/>
          </w:tblCellMar>
        </w:tblPrEx>
        <w:trPr>
          <w:trHeight w:val="1020"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8</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宣传维护公平竞争市场秩序方面的法律法规</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以规范市场秩序、营造公平竞争的市场环境为目标，宣传《反不正当竞争法》、《直销管理条例》等法律法规规章，结合打击传销专项行动，开展法律进社区活动。</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spacing w:val="-4"/>
                <w:kern w:val="0"/>
                <w:sz w:val="20"/>
                <w:szCs w:val="20"/>
              </w:rPr>
              <w:t>监管股</w:t>
            </w:r>
          </w:p>
        </w:tc>
      </w:tr>
      <w:tr>
        <w:tblPrEx>
          <w:tblCellMar>
            <w:top w:w="15" w:type="dxa"/>
            <w:left w:w="15" w:type="dxa"/>
            <w:bottom w:w="15" w:type="dxa"/>
            <w:right w:w="15" w:type="dxa"/>
          </w:tblCellMar>
        </w:tblPrEx>
        <w:trPr>
          <w:trHeight w:val="1020"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9</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宣传广告监管方面的法律法规</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结合虚假违法广告整治活动，大力开展新修订的《广告法》等法律法规规章的宣传活动。</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0"/>
                <w:szCs w:val="20"/>
              </w:rPr>
              <w:t>监管股</w:t>
            </w:r>
          </w:p>
        </w:tc>
      </w:tr>
      <w:tr>
        <w:tblPrEx>
          <w:tblCellMar>
            <w:top w:w="15" w:type="dxa"/>
            <w:left w:w="15" w:type="dxa"/>
            <w:bottom w:w="15" w:type="dxa"/>
            <w:right w:w="15" w:type="dxa"/>
          </w:tblCellMar>
        </w:tblPrEx>
        <w:trPr>
          <w:trHeight w:val="1021"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10</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宣传计量法律法规</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利用“5.20世界计量日”，宣传计量法律法规，促进企业重视计量、百姓了解计量、社会关注计量。开展计量进社区、进学校。</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稽查股</w:t>
            </w:r>
          </w:p>
        </w:tc>
      </w:tr>
      <w:tr>
        <w:tblPrEx>
          <w:tblCellMar>
            <w:top w:w="15" w:type="dxa"/>
            <w:left w:w="15" w:type="dxa"/>
            <w:bottom w:w="15" w:type="dxa"/>
            <w:right w:w="15" w:type="dxa"/>
          </w:tblCellMar>
        </w:tblPrEx>
        <w:trPr>
          <w:trHeight w:val="1021" w:hRule="atLeast"/>
        </w:trPr>
        <w:tc>
          <w:tcPr>
            <w:tcW w:w="810" w:type="dxa"/>
            <w:tcBorders>
              <w:top w:val="nil"/>
              <w:left w:val="single" w:color="000000" w:sz="4" w:space="0"/>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center"/>
              <w:rPr>
                <w:rFonts w:ascii="宋体" w:hAnsi="宋体" w:eastAsia="宋体" w:cs="宋体"/>
                <w:kern w:val="0"/>
                <w:sz w:val="24"/>
                <w:szCs w:val="24"/>
              </w:rPr>
            </w:pPr>
            <w:r>
              <w:rPr>
                <w:rFonts w:hint="eastAsia" w:ascii="宋体" w:hAnsi="宋体" w:eastAsia="宋体" w:cs="宋体"/>
                <w:color w:val="000000"/>
                <w:kern w:val="0"/>
                <w:sz w:val="22"/>
              </w:rPr>
              <w:t>11</w:t>
            </w:r>
          </w:p>
        </w:tc>
        <w:tc>
          <w:tcPr>
            <w:tcW w:w="267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宣传特种设备安全法律法规</w:t>
            </w:r>
          </w:p>
        </w:tc>
        <w:tc>
          <w:tcPr>
            <w:tcW w:w="861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围绕“强化安全发展观念，提升全民安全素质”的主题，广泛开展安全发展主题宣讲，增强特种设备设备使用安全观念。</w:t>
            </w:r>
          </w:p>
        </w:tc>
        <w:tc>
          <w:tcPr>
            <w:tcW w:w="2460" w:type="dxa"/>
            <w:tcBorders>
              <w:top w:val="nil"/>
              <w:left w:val="nil"/>
              <w:bottom w:val="single" w:color="000000" w:sz="4" w:space="0"/>
              <w:right w:val="single" w:color="000000" w:sz="4" w:space="0"/>
            </w:tcBorders>
            <w:tcMar>
              <w:top w:w="15" w:type="dxa"/>
              <w:left w:w="108" w:type="dxa"/>
              <w:bottom w:w="15" w:type="dxa"/>
              <w:right w:w="108" w:type="dxa"/>
            </w:tcMar>
            <w:vAlign w:val="center"/>
          </w:tcPr>
          <w:p>
            <w:pPr>
              <w:widowControl/>
              <w:spacing w:before="100" w:beforeAutospacing="1" w:after="100" w:afterAutospacing="1" w:line="320" w:lineRule="atLeast"/>
              <w:jc w:val="left"/>
              <w:rPr>
                <w:rFonts w:ascii="宋体" w:hAnsi="宋体" w:eastAsia="宋体" w:cs="宋体"/>
                <w:kern w:val="0"/>
                <w:sz w:val="24"/>
                <w:szCs w:val="24"/>
              </w:rPr>
            </w:pPr>
            <w:r>
              <w:rPr>
                <w:rFonts w:hint="eastAsia" w:ascii="宋体" w:hAnsi="宋体" w:eastAsia="宋体" w:cs="宋体"/>
                <w:color w:val="000000"/>
                <w:kern w:val="0"/>
                <w:sz w:val="22"/>
              </w:rPr>
              <w:t>业务股</w:t>
            </w:r>
          </w:p>
        </w:tc>
      </w:tr>
    </w:tbl>
    <w:p>
      <w:pPr>
        <w:rPr>
          <w:sz w:val="32"/>
          <w:szCs w:val="32"/>
        </w:rPr>
      </w:pPr>
      <w:bookmarkStart w:id="0" w:name="_GoBack"/>
      <w:bookmarkEnd w:id="0"/>
      <w:r>
        <w:rPr>
          <w:rFonts w:hint="eastAsia"/>
          <w:sz w:val="32"/>
          <w:szCs w:val="32"/>
        </w:rPr>
        <w:t>法</w:t>
      </w:r>
      <w:r>
        <w:rPr>
          <w:rFonts w:hint="eastAsia"/>
          <w:sz w:val="32"/>
          <w:szCs w:val="32"/>
          <w:lang w:eastAsia="zh-CN"/>
        </w:rPr>
        <w:t>治</w:t>
      </w:r>
      <w:r>
        <w:rPr>
          <w:rFonts w:hint="eastAsia"/>
          <w:sz w:val="32"/>
          <w:szCs w:val="32"/>
        </w:rPr>
        <w:t>宣传纪律要求：按照“谁执法谁普法”工作要求，各责任科室要在202</w:t>
      </w:r>
      <w:r>
        <w:rPr>
          <w:rFonts w:hint="eastAsia"/>
          <w:sz w:val="32"/>
          <w:szCs w:val="32"/>
          <w:lang w:val="en-US" w:eastAsia="zh-CN"/>
        </w:rPr>
        <w:t>1</w:t>
      </w:r>
      <w:r>
        <w:rPr>
          <w:rFonts w:hint="eastAsia"/>
          <w:sz w:val="32"/>
          <w:szCs w:val="32"/>
        </w:rPr>
        <w:t>年度内利用在执法、办案的过程中或者利用报纸、微信、公众号等进行广泛普法宣传。并留存照片和文字说明报法制股备案。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03E5"/>
    <w:rsid w:val="00274640"/>
    <w:rsid w:val="0042721A"/>
    <w:rsid w:val="005514DD"/>
    <w:rsid w:val="005A6CFD"/>
    <w:rsid w:val="007F47DB"/>
    <w:rsid w:val="008C0DA8"/>
    <w:rsid w:val="00A903E5"/>
    <w:rsid w:val="00DA10D6"/>
    <w:rsid w:val="00E865AB"/>
    <w:rsid w:val="00EE08E8"/>
    <w:rsid w:val="00F0132A"/>
    <w:rsid w:val="5A9B628A"/>
    <w:rsid w:val="6BFC7C4B"/>
    <w:rsid w:val="7E38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182</Words>
  <Characters>1042</Characters>
  <Lines>8</Lines>
  <Paragraphs>2</Paragraphs>
  <TotalTime>39</TotalTime>
  <ScaleCrop>false</ScaleCrop>
  <LinksUpToDate>false</LinksUpToDate>
  <CharactersWithSpaces>1222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2020-05-25T09:34:00Z</dcterms:created>
  <dc:creator>Administrator</dc:creator>
  <cp:lastModifiedBy>Administrator</cp:lastModifiedBy>
  <cp:lastPrinted>2020-05-25T09:45:00Z</cp:lastPrinted>
  <dcterms:modified xsi:type="dcterms:W3CDTF">2021-12-27T01:54:38Z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