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sz w:val="40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eastAsia="方正小标宋简体"/>
          <w:sz w:val="40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0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年卫滨区药品零售使用单位监督检查计划</w:t>
      </w:r>
    </w:p>
    <w:bookmarkEnd w:id="0"/>
    <w:tbl>
      <w:tblPr>
        <w:tblStyle w:val="5"/>
        <w:tblW w:w="14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18"/>
        <w:gridCol w:w="1241"/>
        <w:gridCol w:w="3586"/>
        <w:gridCol w:w="4389"/>
        <w:gridCol w:w="206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  <w:t>序号</w:t>
            </w:r>
          </w:p>
        </w:tc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  <w:t>检查对象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18"/>
                <w:lang w:eastAsia="zh-CN"/>
              </w:rPr>
              <w:t>检查类别</w:t>
            </w:r>
          </w:p>
        </w:tc>
        <w:tc>
          <w:tcPr>
            <w:tcW w:w="358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  <w:t>检查任务</w:t>
            </w:r>
          </w:p>
        </w:tc>
        <w:tc>
          <w:tcPr>
            <w:tcW w:w="4389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  <w:t>检查重点</w:t>
            </w:r>
          </w:p>
        </w:tc>
        <w:tc>
          <w:tcPr>
            <w:tcW w:w="20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  <w:t>负责单位（部门）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1"/>
                <w:szCs w:val="18"/>
                <w:lang w:eastAsia="zh-CN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43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111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医疗机构（含疫苗接收和使用单位）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日常检查</w:t>
            </w:r>
          </w:p>
        </w:tc>
        <w:tc>
          <w:tcPr>
            <w:tcW w:w="358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对辖区内医疗机构、疾病预防控制机构、疫苗接种单位现场检查实行全覆盖（对新冠病毒疫苗接种点实施重点监管）。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仿宋_GB2312" w:hAnsi="宋体" w:eastAsia="仿宋_GB2312"/>
                <w:color w:val="auto"/>
                <w:sz w:val="21"/>
                <w:szCs w:val="18"/>
                <w:lang w:val="en-US" w:eastAsia="zh-CN"/>
              </w:rPr>
            </w:pPr>
          </w:p>
        </w:tc>
        <w:tc>
          <w:tcPr>
            <w:tcW w:w="438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after="0" w:line="360" w:lineRule="exact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《药品管理法》《疫苗管理法》《麻醉药品和精神药品管理条例》《疫苗储存和运输管理规范（2017年版）》、原国家食品药品监督管理局制定的《医疗机构药品监督管理办法（试行）》（国食药监安〔2011〕442号）等法律法规及国家关于药品使用质量管理的相关规定的执行情况。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360" w:lineRule="exact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《关于进一步明确新冠病毒疫苗接种责任分工的通知》（新疫情防指办〔20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1〕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19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号）《新乡市新冠病毒疫苗接种工作实施方案》（新疫情防指办通〔20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1〕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号）及市局《关于进一步加强新冠病毒疫苗流通监督管理工作的通知》等有关要求。</w:t>
            </w:r>
          </w:p>
          <w:p>
            <w:pPr>
              <w:pStyle w:val="2"/>
              <w:spacing w:line="240" w:lineRule="auto"/>
              <w:jc w:val="both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</w:p>
        </w:tc>
        <w:tc>
          <w:tcPr>
            <w:tcW w:w="2064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各监管部门按照职责分工依法开展</w:t>
            </w:r>
          </w:p>
          <w:p>
            <w:pPr>
              <w:pStyle w:val="2"/>
              <w:spacing w:line="240" w:lineRule="auto"/>
              <w:jc w:val="center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both"/>
              <w:rPr>
                <w:rFonts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1.各</w:t>
            </w:r>
            <w:r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  <w:t>监管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部门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按目标任务如期推进检查工作。</w:t>
            </w:r>
          </w:p>
          <w:p>
            <w:pPr>
              <w:pStyle w:val="2"/>
              <w:spacing w:after="0" w:line="360" w:lineRule="exact"/>
              <w:jc w:val="both"/>
              <w:rPr>
                <w:rFonts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2检查中发现需向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.卫生健康等部门通报反馈的问题，按规定通报反馈，发现违法线索，按照规定及时报法制股。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建立完善检查档案。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43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1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监督抽查</w:t>
            </w:r>
          </w:p>
        </w:tc>
        <w:tc>
          <w:tcPr>
            <w:tcW w:w="3586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对辖区内医疗机构、疾病预防控制机构和疫苗接种单位监督抽查不少于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家。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宋体" w:eastAsia="仿宋_GB2312"/>
                <w:color w:val="auto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每半年对同级疾病预防控制机构检查不少于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1次。</w:t>
            </w:r>
          </w:p>
        </w:tc>
        <w:tc>
          <w:tcPr>
            <w:tcW w:w="438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</w:p>
        </w:tc>
        <w:tc>
          <w:tcPr>
            <w:tcW w:w="2064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区局</w:t>
            </w: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60" w:lineRule="exact"/>
              <w:jc w:val="center"/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  <w:t>序号</w:t>
            </w:r>
          </w:p>
        </w:tc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60" w:lineRule="exact"/>
              <w:jc w:val="center"/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  <w:t>检查对象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60" w:lineRule="exact"/>
              <w:jc w:val="center"/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0"/>
                <w:szCs w:val="18"/>
                <w:lang w:eastAsia="zh-CN"/>
              </w:rPr>
              <w:t>检查类别</w:t>
            </w:r>
          </w:p>
        </w:tc>
        <w:tc>
          <w:tcPr>
            <w:tcW w:w="358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60" w:lineRule="exact"/>
              <w:jc w:val="center"/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  <w:t>检查任务</w:t>
            </w:r>
          </w:p>
        </w:tc>
        <w:tc>
          <w:tcPr>
            <w:tcW w:w="4389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60" w:lineRule="exact"/>
              <w:jc w:val="center"/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  <w:t>检查重点</w:t>
            </w:r>
          </w:p>
        </w:tc>
        <w:tc>
          <w:tcPr>
            <w:tcW w:w="20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60" w:lineRule="exact"/>
              <w:jc w:val="center"/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  <w:t>负责单位（部门）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60" w:lineRule="exact"/>
              <w:jc w:val="center"/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</w:pPr>
            <w:r>
              <w:rPr>
                <w:rFonts w:ascii="黑体" w:hAnsi="黑体" w:eastAsia="黑体"/>
                <w:color w:val="auto"/>
                <w:sz w:val="20"/>
                <w:szCs w:val="18"/>
                <w:lang w:eastAsia="zh-CN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111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零售药店（含连锁门店）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日常检查</w:t>
            </w:r>
          </w:p>
        </w:tc>
        <w:tc>
          <w:tcPr>
            <w:tcW w:w="358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1.对20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年新开办的零售药店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现场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检查不少于1次。</w:t>
            </w:r>
          </w:p>
          <w:p>
            <w:pPr>
              <w:pStyle w:val="2"/>
              <w:spacing w:after="0" w:line="360" w:lineRule="exact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2.对有第二类精神药品、生物制品经营范围的零售药店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现场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检查不少于1次。</w:t>
            </w:r>
          </w:p>
          <w:p>
            <w:pPr>
              <w:pStyle w:val="2"/>
              <w:spacing w:after="0" w:line="360" w:lineRule="exact"/>
              <w:rPr>
                <w:rFonts w:hint="default" w:ascii="仿宋_GB2312" w:hAnsi="宋体" w:eastAsia="仿宋_GB2312"/>
                <w:color w:val="auto"/>
                <w:sz w:val="21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3.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对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val="en-US" w:eastAsia="zh-CN"/>
              </w:rPr>
              <w:t>2020年以来严重违反屡次违反药品GSP的、多次被投诉举报的、排查发现存在严重质量安全风险的零售企业现场检查每半年不少于1次。</w:t>
            </w:r>
          </w:p>
          <w:p>
            <w:pPr>
              <w:pStyle w:val="2"/>
              <w:spacing w:after="0" w:line="360" w:lineRule="exact"/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val="en-US" w:eastAsia="zh-CN"/>
              </w:rPr>
              <w:t>4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.对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零售药店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现场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实行全覆盖。</w:t>
            </w:r>
          </w:p>
          <w:p>
            <w:pPr>
              <w:pStyle w:val="2"/>
              <w:spacing w:after="0" w:line="360" w:lineRule="exact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val="en-US" w:eastAsia="zh-CN"/>
              </w:rPr>
              <w:t>6.国家局、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省局、市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局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和区局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下达的其他检查任务。</w:t>
            </w:r>
          </w:p>
          <w:p>
            <w:pPr>
              <w:pStyle w:val="2"/>
              <w:spacing w:after="0" w:line="360" w:lineRule="exact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</w:p>
        </w:tc>
        <w:tc>
          <w:tcPr>
            <w:tcW w:w="438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  <w:t>1.《药品管理法》《麻醉药品和精神药品管理条例》《药品流通监督管理办法》《药品经营质量管理规范》等法律法规规定执行情况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  <w:t>2.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其他由国家药监局、省药监局规定的监督检查要点。</w:t>
            </w:r>
          </w:p>
        </w:tc>
        <w:tc>
          <w:tcPr>
            <w:tcW w:w="20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各监管部门按照职责分工依法开展</w:t>
            </w: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both"/>
              <w:rPr>
                <w:rFonts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1.各</w:t>
            </w:r>
            <w:r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  <w:t>监管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部门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按目标任务如期推进检查工作。</w:t>
            </w:r>
          </w:p>
          <w:p>
            <w:pPr>
              <w:pStyle w:val="2"/>
              <w:spacing w:after="0" w:line="360" w:lineRule="exact"/>
              <w:jc w:val="both"/>
              <w:rPr>
                <w:rFonts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val="en-US" w:eastAsia="zh-CN"/>
              </w:rPr>
              <w:t>2检查中</w:t>
            </w: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发现违法线索，按照规定及时报法制科。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0"/>
                <w:szCs w:val="18"/>
                <w:lang w:eastAsia="zh-CN"/>
              </w:rPr>
              <w:t>建立完善检查档案。</w:t>
            </w:r>
          </w:p>
          <w:p>
            <w:pPr>
              <w:pStyle w:val="2"/>
              <w:spacing w:after="0" w:line="360" w:lineRule="exact"/>
              <w:rPr>
                <w:rFonts w:ascii="仿宋_GB2312" w:hAnsi="黑体" w:eastAsia="仿宋_GB2312"/>
                <w:color w:val="auto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43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color w:val="auto"/>
              </w:rPr>
            </w:pPr>
          </w:p>
        </w:tc>
        <w:tc>
          <w:tcPr>
            <w:tcW w:w="111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color w:val="auto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监督抽查</w:t>
            </w:r>
          </w:p>
        </w:tc>
        <w:tc>
          <w:tcPr>
            <w:tcW w:w="358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left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对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辖区内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零售药店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监督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抽查不少于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家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（辖区内零售药店少于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val="en-US" w:eastAsia="zh-CN"/>
              </w:rPr>
              <w:t>2家的全部检查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18"/>
                <w:lang w:eastAsia="zh-CN"/>
              </w:rPr>
              <w:t>）</w:t>
            </w:r>
            <w:r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  <w:t>。</w:t>
            </w:r>
          </w:p>
        </w:tc>
        <w:tc>
          <w:tcPr>
            <w:tcW w:w="438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</w:p>
        </w:tc>
        <w:tc>
          <w:tcPr>
            <w:tcW w:w="20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18"/>
                <w:lang w:eastAsia="zh-CN"/>
              </w:rPr>
              <w:t>区局</w:t>
            </w: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both"/>
              <w:rPr>
                <w:rFonts w:ascii="仿宋_GB2312" w:hAnsi="宋体" w:eastAsia="仿宋_GB2312"/>
                <w:color w:val="auto"/>
                <w:sz w:val="21"/>
                <w:szCs w:val="18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F4828"/>
    <w:multiLevelType w:val="singleLevel"/>
    <w:tmpl w:val="F2BF4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1F6C"/>
    <w:rsid w:val="03017156"/>
    <w:rsid w:val="08D4229F"/>
    <w:rsid w:val="0E7D5616"/>
    <w:rsid w:val="10990664"/>
    <w:rsid w:val="1A7D0764"/>
    <w:rsid w:val="1FFB7E1E"/>
    <w:rsid w:val="2178781A"/>
    <w:rsid w:val="237B184E"/>
    <w:rsid w:val="28971E34"/>
    <w:rsid w:val="2F8B752D"/>
    <w:rsid w:val="34C70E95"/>
    <w:rsid w:val="3A4E4939"/>
    <w:rsid w:val="440A1978"/>
    <w:rsid w:val="442E0AB6"/>
    <w:rsid w:val="48C6C9FA"/>
    <w:rsid w:val="4A7A44AB"/>
    <w:rsid w:val="4AC50FEE"/>
    <w:rsid w:val="4AE37505"/>
    <w:rsid w:val="4AF6318C"/>
    <w:rsid w:val="4FBFBFD4"/>
    <w:rsid w:val="505E7EB1"/>
    <w:rsid w:val="576533EF"/>
    <w:rsid w:val="5C0E3A15"/>
    <w:rsid w:val="5F79633F"/>
    <w:rsid w:val="60F90247"/>
    <w:rsid w:val="62D1618D"/>
    <w:rsid w:val="676769D5"/>
    <w:rsid w:val="6F6BB5BA"/>
    <w:rsid w:val="6F807130"/>
    <w:rsid w:val="72603190"/>
    <w:rsid w:val="73EB3362"/>
    <w:rsid w:val="74E6D89B"/>
    <w:rsid w:val="775746E6"/>
    <w:rsid w:val="79BFAB33"/>
    <w:rsid w:val="7A461A69"/>
    <w:rsid w:val="7A6A44B7"/>
    <w:rsid w:val="7CB7B9FE"/>
    <w:rsid w:val="7CD76F05"/>
    <w:rsid w:val="7F4C2058"/>
    <w:rsid w:val="7FA209E6"/>
    <w:rsid w:val="A6EC30AA"/>
    <w:rsid w:val="B55FE024"/>
    <w:rsid w:val="B66766DD"/>
    <w:rsid w:val="BF2FEAB8"/>
    <w:rsid w:val="BFEFB591"/>
    <w:rsid w:val="CFFF23AE"/>
    <w:rsid w:val="DE666888"/>
    <w:rsid w:val="DFBE4115"/>
    <w:rsid w:val="E7F7D491"/>
    <w:rsid w:val="EF9626E6"/>
    <w:rsid w:val="EFD94B01"/>
    <w:rsid w:val="F7FF5BA3"/>
    <w:rsid w:val="FC7C5CAB"/>
    <w:rsid w:val="FEDE6EE3"/>
    <w:rsid w:val="FFCFA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忐忑1407837159</cp:lastModifiedBy>
  <cp:lastPrinted>2021-06-24T01:27:00Z</cp:lastPrinted>
  <dcterms:modified xsi:type="dcterms:W3CDTF">2021-12-29T01:14:32Z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C5D587BFF0464DAB9148D3FF5D188D52</vt:lpwstr>
  </property>
</Properties>
</file>