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38" w:rsidRPr="00150725" w:rsidRDefault="00D76C38" w:rsidP="00D76C38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15072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2020年重大政策和重点项目绩效执行结果</w:t>
      </w:r>
    </w:p>
    <w:p w:rsidR="00D76C38" w:rsidRPr="00150725" w:rsidRDefault="00D76C38" w:rsidP="00D76C38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 w:rsidRPr="0015072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情   </w:t>
      </w:r>
      <w:proofErr w:type="gramStart"/>
      <w:r w:rsidRPr="0015072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况</w:t>
      </w:r>
      <w:proofErr w:type="gramEnd"/>
    </w:p>
    <w:p w:rsidR="00D76C38" w:rsidRPr="00150725" w:rsidRDefault="00D76C38" w:rsidP="00D76C38">
      <w:pPr>
        <w:spacing w:line="540" w:lineRule="exact"/>
        <w:rPr>
          <w:rFonts w:eastAsia="仿宋_GB2312"/>
          <w:bCs/>
          <w:color w:val="000000"/>
          <w:sz w:val="32"/>
          <w:szCs w:val="32"/>
        </w:rPr>
      </w:pPr>
    </w:p>
    <w:p w:rsidR="00D76C38" w:rsidRPr="00895D28" w:rsidRDefault="00150725" w:rsidP="00D76C38">
      <w:pPr>
        <w:autoSpaceDE w:val="0"/>
        <w:autoSpaceDN w:val="0"/>
        <w:adjustRightInd w:val="0"/>
        <w:spacing w:line="540" w:lineRule="exact"/>
        <w:ind w:firstLineChars="200" w:firstLine="643"/>
        <w:rPr>
          <w:rFonts w:ascii="仿宋_GB2312" w:eastAsia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一、</w:t>
      </w:r>
      <w:r w:rsidR="00D76C38" w:rsidRPr="00895D28">
        <w:rPr>
          <w:rFonts w:ascii="仿宋_GB2312" w:eastAsia="仿宋_GB2312" w:hint="eastAsia"/>
          <w:b/>
          <w:bCs/>
          <w:color w:val="000000"/>
          <w:sz w:val="32"/>
          <w:szCs w:val="32"/>
        </w:rPr>
        <w:t>强化收入征管，增强税收保障能力。</w:t>
      </w:r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按照“以月保季，以季保年”的工作思路，积极应对减税降费及新冠肺炎疫情减收影响。在严格落实减税降</w:t>
      </w:r>
      <w:proofErr w:type="gramStart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费政策</w:t>
      </w:r>
      <w:proofErr w:type="gramEnd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基础上，通过</w:t>
      </w:r>
      <w:proofErr w:type="gramStart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抓支持</w:t>
      </w:r>
      <w:proofErr w:type="gramEnd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企业复工复产、稳固税源，抓项目建设培植税源，抓非税收入应收尽收等措施，努力挖潜增收。</w:t>
      </w:r>
    </w:p>
    <w:p w:rsidR="00D76C38" w:rsidRPr="00895D28" w:rsidRDefault="00150725" w:rsidP="00D76C38">
      <w:pPr>
        <w:autoSpaceDE w:val="0"/>
        <w:autoSpaceDN w:val="0"/>
        <w:adjustRightInd w:val="0"/>
        <w:spacing w:line="540" w:lineRule="exact"/>
        <w:ind w:firstLineChars="200" w:firstLine="643"/>
        <w:rPr>
          <w:rFonts w:ascii="仿宋_GB2312" w:eastAsia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二、</w:t>
      </w:r>
      <w:r w:rsidR="00D76C38" w:rsidRPr="00895D28">
        <w:rPr>
          <w:rFonts w:ascii="仿宋_GB2312" w:eastAsia="仿宋_GB2312" w:hint="eastAsia"/>
          <w:b/>
          <w:bCs/>
          <w:color w:val="000000"/>
          <w:sz w:val="32"/>
          <w:szCs w:val="32"/>
        </w:rPr>
        <w:t>优化支出结构，保障各项支出需求。</w:t>
      </w:r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加大上级资金争取力度，综合运用好特殊转移支付、抗</w:t>
      </w:r>
      <w:proofErr w:type="gramStart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疫</w:t>
      </w:r>
      <w:proofErr w:type="gramEnd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特别国债等资金，调整支出结构，全力保障全区各项支出。一是在财力异常紧张的情况下，筹措资金兑现教师三项补贴和干部职工正常工资按时发放，保障了全区干部职工的切身利益。二是全力做好抗击新冠疫情资金保障。采取预算安排、社会捐助等形式筹措资金，全年投入抗</w:t>
      </w:r>
      <w:proofErr w:type="gramStart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疫</w:t>
      </w:r>
      <w:proofErr w:type="gramEnd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资金446万元，为我区抗</w:t>
      </w:r>
      <w:proofErr w:type="gramStart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疫</w:t>
      </w:r>
      <w:proofErr w:type="gramEnd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工作提供了坚强的财力保障。同时积极帮助企业复工复产，为康大消毒剂有限公司争取低息贷款200万元，投入应急物资保障体系建设303万元，投入华电、中粮集团等疫情防控重点保障企业贷款贴息资金112.6万元，投入</w:t>
      </w:r>
      <w:proofErr w:type="gramStart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凯</w:t>
      </w:r>
      <w:proofErr w:type="gramEnd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美龙、中铁、金龙铜管、豫</w:t>
      </w:r>
      <w:proofErr w:type="gramStart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北靖道</w:t>
      </w:r>
      <w:proofErr w:type="gramEnd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等补助资金397万元，投入恒大、大地、中影、好莱坞等电影院电影专项补贴资金28万元。三是集中财力保障各项民生投入。全区教育、科技、医疗卫生、社会保障、住房保障等民生资金投入4.9亿元，占全区一般公共预算支出总额的63.2%。四是全力支持脱贫攻坚，充分利用扶贫资金信息监测系统，动态</w:t>
      </w:r>
      <w:proofErr w:type="gramStart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监控扶贫</w:t>
      </w:r>
      <w:proofErr w:type="gramEnd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项目实施和资金支付。</w:t>
      </w:r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lastRenderedPageBreak/>
        <w:t>全年投入财政专项扶贫资金48万元，为实现2020年底脱贫目标打下坚实基础。五是全力支持扫黑除恶专项斗争工作。全区扫黑除恶专项工作经费足额落实和及时拨付，积极配合区法院、检察院做好涉</w:t>
      </w:r>
      <w:proofErr w:type="gramStart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黑涉恶资金</w:t>
      </w:r>
      <w:proofErr w:type="gramEnd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资产接收处置工作。六是统筹资金保障重点项目投入。投入“既有建筑”节能改造资金6661万元、投入老旧小区改造资金9849万元、棚改资金2581万元，确保重点民生政策落到实处；投入环境保护、环卫、小街巷整治2077万元，为打好污染防治攻坚战起到了积极作用；支援新疆建设76万元，足额完成上级下达的目标任务。</w:t>
      </w:r>
    </w:p>
    <w:p w:rsidR="00D76C38" w:rsidRPr="00895D28" w:rsidRDefault="00150725" w:rsidP="00D76C38">
      <w:pPr>
        <w:autoSpaceDE w:val="0"/>
        <w:autoSpaceDN w:val="0"/>
        <w:adjustRightInd w:val="0"/>
        <w:spacing w:line="540" w:lineRule="exact"/>
        <w:ind w:firstLineChars="200" w:firstLine="643"/>
        <w:rPr>
          <w:rFonts w:ascii="仿宋_GB2312" w:eastAsia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三、</w:t>
      </w:r>
      <w:r w:rsidR="00D76C38" w:rsidRPr="00895D28">
        <w:rPr>
          <w:rFonts w:ascii="仿宋_GB2312" w:eastAsia="仿宋_GB2312" w:hint="eastAsia"/>
          <w:b/>
          <w:bCs/>
          <w:color w:val="000000"/>
          <w:sz w:val="32"/>
          <w:szCs w:val="32"/>
        </w:rPr>
        <w:t>深化财政体制改革，提高财政运行效能。</w:t>
      </w:r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一是强化部门预算管理。认真落实支出经济分类改革，使预算编制和预算执行更加细化，积极配合和支持人大预算联网监督，不断提升财政管理水平。二是全面推进预决算公开。进一步细化预决算公开的内容，提高财政资金分配和使用透明度，除涉密部门外全区各预算单位全部实现预决算信息公开。三是深化国库集中支付改革。积极开展预算执行动态监控，控制大额现金支付，提高公务卡使用效率，规范公务支出行为。全年动态监控资金24228笔17183万元，拒付资金51笔345万元。公务卡累计开卡1482张，刷卡结算14298笔2636万元。四是落实好中央直达资金政策，建立工作机制，成立工作专班，确保上级直达资金直达基层直接惠企利民。全年共收到中央直达资金13347万元，支付9259万元，支出进度69.4%。五是推进财政电子票据和电子化支付改革，节省预算单位和办事群众支款缴费时间，切实将“放管服”改革落到实处。六是加强政府采购和投资评审管理。进一步简化政府采购程</w:t>
      </w:r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lastRenderedPageBreak/>
        <w:t>序，提高采购效率。全年共审批采购559项11873万元，节约资金1559万元，节约率13.1%；完善评审工作流程，节约使用财政资金，全年共评审政府投资项目49个24006万元，审</w:t>
      </w:r>
      <w:proofErr w:type="gramStart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减资金</w:t>
      </w:r>
      <w:proofErr w:type="gramEnd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786万元，审减率3.3%。七是严格厉行节约，认真落实中央八项规定精神和李克强总理讲话要求，大力压减非急需非刚性支出，进一步压缩“三公”经费、培训费和会议费。全年共压缩非急需非刚性支出240万元，“三公”经费支出127.4万元，同比下降36.8%。</w:t>
      </w:r>
    </w:p>
    <w:p w:rsidR="00D76C38" w:rsidRPr="00895D28" w:rsidRDefault="00150725" w:rsidP="00D76C38">
      <w:pPr>
        <w:autoSpaceDE w:val="0"/>
        <w:autoSpaceDN w:val="0"/>
        <w:adjustRightInd w:val="0"/>
        <w:spacing w:line="540" w:lineRule="exact"/>
        <w:ind w:firstLineChars="200" w:firstLine="643"/>
        <w:rPr>
          <w:rFonts w:ascii="仿宋_GB2312" w:eastAsia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四、</w:t>
      </w:r>
      <w:r w:rsidR="00D76C38" w:rsidRPr="00895D28">
        <w:rPr>
          <w:rFonts w:ascii="仿宋_GB2312" w:eastAsia="仿宋_GB2312" w:hint="eastAsia"/>
          <w:b/>
          <w:bCs/>
          <w:color w:val="000000"/>
          <w:sz w:val="32"/>
          <w:szCs w:val="32"/>
        </w:rPr>
        <w:t>加强财政监管，防范资金安全风险。</w:t>
      </w:r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一是加强财政系统内部控制建设。重点维护好债务监测平台、扶贫资金动态监控平台、直达资金信息监控平台等监控系统运行，进一步发挥财政监督职能。二是认真开展会计信息质量检查。全年对2家区属国有企业、2家代理记账机构和2个国计民生重点行业共计6家单位进行了会计信息质量检查，共查处问题资金5.8万元，对发现的原始凭证不合</w:t>
      </w:r>
      <w:proofErr w:type="gramStart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规</w:t>
      </w:r>
      <w:proofErr w:type="gramEnd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、财务管理不规范、会计科目不规范等问题督促认真整改提高，有效规范了财经秩序。三是联合开展全区各类存量资金专项清理整治工作。组织全区127家预算单位自查整改，实地抽查18家一级预算单位和13家二级预算单位，收缴各类存量资金60.4万元，通过专项整治活动，提高了预算单位遵规守纪意识和财务管理水平。四是开展通讯费超标清理工作。按照新的通讯</w:t>
      </w:r>
      <w:proofErr w:type="gramStart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费执行</w:t>
      </w:r>
      <w:proofErr w:type="gramEnd"/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t>标准，在全区预算单位开展专项清理，共清理超标准报销通讯费17.6万元，全部退回财政。五是用好地方政府债券及规范举债融资行为，防范政府债务风险。严控违法违规举债担保，完善政府性债务动态监控机制和违法违规融资举债联合</w:t>
      </w:r>
      <w:r w:rsidR="00D76C38" w:rsidRPr="00895D28">
        <w:rPr>
          <w:rFonts w:ascii="仿宋_GB2312" w:eastAsia="仿宋_GB2312" w:hint="eastAsia"/>
          <w:bCs/>
          <w:color w:val="000000"/>
          <w:sz w:val="32"/>
          <w:szCs w:val="32"/>
        </w:rPr>
        <w:lastRenderedPageBreak/>
        <w:t>防控机制；清理政府隐性债务，细化偿债计划，落实偿债资金。全年争取上级一般债券2200万元、专项债券8100万元，全部安排到具体项目，极大地缓解了区级财政支出压力。</w:t>
      </w:r>
    </w:p>
    <w:p w:rsidR="00D76C38" w:rsidRPr="00895D28" w:rsidRDefault="00D76C38" w:rsidP="00D76C38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文星仿宋" w:hint="eastAsia"/>
          <w:sz w:val="32"/>
          <w:szCs w:val="30"/>
        </w:rPr>
      </w:pPr>
    </w:p>
    <w:p w:rsidR="007202E1" w:rsidRPr="00D76C38" w:rsidRDefault="007202E1" w:rsidP="00D76C38"/>
    <w:sectPr w:rsidR="007202E1" w:rsidRPr="00D76C38" w:rsidSect="00720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B2" w:rsidRDefault="001E1DB2" w:rsidP="00D76C38">
      <w:r>
        <w:separator/>
      </w:r>
    </w:p>
  </w:endnote>
  <w:endnote w:type="continuationSeparator" w:id="0">
    <w:p w:rsidR="001E1DB2" w:rsidRDefault="001E1DB2" w:rsidP="00D7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宋体"/>
    <w:charset w:val="86"/>
    <w:family w:val="auto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B2" w:rsidRDefault="001E1DB2" w:rsidP="00D76C38">
      <w:r>
        <w:separator/>
      </w:r>
    </w:p>
  </w:footnote>
  <w:footnote w:type="continuationSeparator" w:id="0">
    <w:p w:rsidR="001E1DB2" w:rsidRDefault="001E1DB2" w:rsidP="00D76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EE9"/>
    <w:rsid w:val="00032EE9"/>
    <w:rsid w:val="00150725"/>
    <w:rsid w:val="001E1DB2"/>
    <w:rsid w:val="007202E1"/>
    <w:rsid w:val="00970635"/>
    <w:rsid w:val="00D7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6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6C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6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6C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303</Words>
  <Characters>1728</Characters>
  <Application>Microsoft Office Word</Application>
  <DocSecurity>0</DocSecurity>
  <Lines>14</Lines>
  <Paragraphs>4</Paragraphs>
  <ScaleCrop>false</ScaleCrop>
  <Company>微软中国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2021-09-03T07:33:00Z</dcterms:created>
  <dcterms:modified xsi:type="dcterms:W3CDTF">2021-09-03T07:38:00Z</dcterms:modified>
</cp:coreProperties>
</file>