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default" w:ascii="Times New Roman" w:hAnsi="Times New Roman" w:eastAsia="方正小标宋简体" w:cs="Times New Roman"/>
          <w:sz w:val="44"/>
          <w:szCs w:val="44"/>
          <w:u w:val="none"/>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b w:val="0"/>
          <w:bCs w:val="0"/>
          <w:color w:val="000000"/>
          <w:sz w:val="32"/>
          <w:szCs w:val="32"/>
          <w:u w:val="none"/>
        </w:rPr>
      </w:pPr>
    </w:p>
    <w:p>
      <w:pPr>
        <w:pStyle w:val="2"/>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b w:val="0"/>
          <w:bCs w:val="0"/>
          <w:color w:val="000000"/>
          <w:sz w:val="32"/>
          <w:szCs w:val="32"/>
          <w:u w:val="none"/>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rPr>
        <w:t>新乡市卫滨区国民经济和社会发展</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rPr>
        <w:t>第十四个五年规划和二〇三五年远景目标</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rPr>
        <w:t>纲要</w:t>
      </w:r>
      <w:bookmarkStart w:id="178" w:name="_GoBack"/>
      <w:bookmarkEnd w:id="178"/>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b w:val="0"/>
          <w:bCs w:val="0"/>
          <w:color w:val="000000"/>
          <w:sz w:val="32"/>
          <w:szCs w:val="32"/>
          <w:u w:val="none"/>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b w:val="0"/>
          <w:bCs w:val="0"/>
          <w:color w:val="000000"/>
          <w:sz w:val="32"/>
          <w:szCs w:val="32"/>
          <w:u w:val="none"/>
        </w:rPr>
      </w:pPr>
    </w:p>
    <w:p>
      <w:pPr>
        <w:widowControl w:val="0"/>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widowControl w:val="0"/>
        <w:rPr>
          <w:rFonts w:hint="default" w:ascii="Times New Roman" w:hAnsi="Times New Roman" w:cs="Times New Roman"/>
          <w:color w:val="auto"/>
          <w:highlight w:val="none"/>
        </w:rPr>
      </w:pPr>
    </w:p>
    <w:p>
      <w:pPr>
        <w:widowControl w:val="0"/>
        <w:rPr>
          <w:rFonts w:hint="default" w:ascii="Times New Roman" w:hAnsi="Times New Roman" w:cs="Times New Roman"/>
          <w:color w:val="auto"/>
          <w:highlight w:val="none"/>
        </w:rPr>
      </w:pPr>
    </w:p>
    <w:p>
      <w:pPr>
        <w:pStyle w:val="12"/>
        <w:widowControl w:val="0"/>
        <w:ind w:firstLine="400"/>
        <w:rPr>
          <w:rFonts w:hint="default" w:ascii="Times New Roman" w:hAnsi="Times New Roman" w:cs="Times New Roman"/>
          <w:color w:val="auto"/>
          <w:highlight w:val="none"/>
        </w:rPr>
      </w:pPr>
    </w:p>
    <w:p>
      <w:pPr>
        <w:widowControl w:val="0"/>
        <w:rPr>
          <w:rFonts w:hint="default" w:ascii="Times New Roman" w:hAnsi="Times New Roman" w:cs="Times New Roman"/>
          <w:color w:val="auto"/>
          <w:highlight w:val="none"/>
        </w:rPr>
      </w:pPr>
    </w:p>
    <w:p>
      <w:pPr>
        <w:widowControl w:val="0"/>
        <w:rPr>
          <w:rFonts w:hint="default" w:ascii="Times New Roman" w:hAnsi="Times New Roman" w:cs="Times New Roman"/>
          <w:color w:val="auto"/>
          <w:highlight w:val="none"/>
        </w:rPr>
      </w:pPr>
    </w:p>
    <w:p>
      <w:pPr>
        <w:widowControl w:val="0"/>
        <w:jc w:val="center"/>
        <w:rPr>
          <w:rFonts w:hint="default" w:ascii="Times New Roman" w:hAnsi="Times New Roman" w:eastAsia="黑体" w:cs="Times New Roman"/>
          <w:color w:val="auto"/>
          <w:sz w:val="36"/>
          <w:szCs w:val="36"/>
          <w:highlight w:val="none"/>
        </w:rPr>
      </w:pPr>
    </w:p>
    <w:p>
      <w:pPr>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卫滨区发展和改革委员会</w:t>
      </w: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b w:val="0"/>
          <w:bCs w:val="0"/>
          <w:color w:val="000000"/>
          <w:sz w:val="32"/>
          <w:szCs w:val="32"/>
          <w:u w:val="none"/>
        </w:rPr>
      </w:pPr>
      <w:r>
        <w:rPr>
          <w:rFonts w:hint="default" w:ascii="Times New Roman" w:hAnsi="Times New Roman" w:eastAsia="黑体" w:cs="Times New Roman"/>
          <w:color w:val="auto"/>
          <w:sz w:val="32"/>
          <w:szCs w:val="32"/>
          <w:highlight w:val="none"/>
        </w:rPr>
        <w:t>二〇</w:t>
      </w:r>
      <w:r>
        <w:rPr>
          <w:rFonts w:hint="default" w:ascii="Times New Roman" w:hAnsi="Times New Roman" w:eastAsia="黑体" w:cs="Times New Roman"/>
          <w:color w:val="auto"/>
          <w:sz w:val="32"/>
          <w:szCs w:val="32"/>
          <w:highlight w:val="none"/>
          <w:lang w:val="en-US" w:eastAsia="zh-CN"/>
        </w:rPr>
        <w:t>二一</w:t>
      </w:r>
      <w:r>
        <w:rPr>
          <w:rFonts w:hint="default" w:ascii="Times New Roman" w:hAnsi="Times New Roman" w:eastAsia="黑体" w:cs="Times New Roman"/>
          <w:color w:val="auto"/>
          <w:sz w:val="32"/>
          <w:szCs w:val="32"/>
          <w:highlight w:val="none"/>
        </w:rPr>
        <w:t>年</w:t>
      </w: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月</w:t>
      </w:r>
    </w:p>
    <w:p>
      <w:pPr>
        <w:pStyle w:val="11"/>
        <w:widowControl w:val="0"/>
        <w:ind w:firstLine="0"/>
        <w:jc w:val="center"/>
        <w:rPr>
          <w:rFonts w:hint="default" w:ascii="Times New Roman" w:hAnsi="Times New Roman" w:eastAsia="方正小标宋简体" w:cs="Times New Roman"/>
          <w:color w:val="auto"/>
          <w:sz w:val="44"/>
          <w:szCs w:val="44"/>
          <w:highlight w:val="none"/>
        </w:rPr>
        <w:sectPr>
          <w:pgSz w:w="11906" w:h="16838"/>
          <w:pgMar w:top="2098" w:right="1474" w:bottom="1984" w:left="1587" w:header="851" w:footer="1134" w:gutter="0"/>
          <w:pgNumType w:fmt="decimal"/>
          <w:cols w:space="0" w:num="1"/>
          <w:rtlGutter w:val="0"/>
          <w:docGrid w:type="lines" w:linePitch="579" w:charSpace="0"/>
        </w:sectPr>
      </w:pPr>
      <w:bookmarkStart w:id="0" w:name="_Toc53753872"/>
    </w:p>
    <w:p>
      <w:pPr>
        <w:pStyle w:val="11"/>
        <w:widowControl w:val="0"/>
        <w:ind w:firstLine="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 xml:space="preserve">目  </w:t>
      </w: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方正小标宋简体" w:cs="Times New Roman"/>
          <w:color w:val="auto"/>
          <w:sz w:val="44"/>
          <w:szCs w:val="44"/>
          <w:highlight w:val="none"/>
        </w:rPr>
        <w:t>录</w:t>
      </w:r>
      <w:bookmarkEnd w:id="0"/>
    </w:p>
    <w:p>
      <w:pPr>
        <w:rPr>
          <w:rFonts w:hint="default" w:ascii="Times New Roman" w:hAnsi="Times New Roman" w:cs="Times New Roman"/>
          <w:color w:val="auto"/>
          <w:highlight w:val="none"/>
        </w:rPr>
      </w:pP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 w:val="30"/>
          <w:szCs w:val="30"/>
          <w:highlight w:val="none"/>
        </w:rPr>
        <w:fldChar w:fldCharType="begin"/>
      </w:r>
      <w:r>
        <w:rPr>
          <w:rFonts w:hint="default" w:ascii="Times New Roman" w:hAnsi="Times New Roman" w:eastAsia="楷体" w:cs="Times New Roman"/>
          <w:color w:val="auto"/>
          <w:sz w:val="30"/>
          <w:szCs w:val="30"/>
          <w:highlight w:val="none"/>
        </w:rPr>
        <w:instrText xml:space="preserve"> TOC \o "1-3" \h \z \u </w:instrText>
      </w:r>
      <w:r>
        <w:rPr>
          <w:rFonts w:hint="default" w:ascii="Times New Roman" w:hAnsi="Times New Roman" w:eastAsia="楷体" w:cs="Times New Roman"/>
          <w:color w:val="auto"/>
          <w:sz w:val="30"/>
          <w:szCs w:val="30"/>
          <w:highlight w:val="none"/>
        </w:rPr>
        <w:fldChar w:fldCharType="separate"/>
      </w:r>
      <w:r>
        <w:rPr>
          <w:rFonts w:hint="default" w:ascii="Times New Roman" w:hAnsi="Times New Roman" w:eastAsia="楷体" w:cs="Times New Roman"/>
          <w:color w:val="auto"/>
          <w:szCs w:val="30"/>
          <w:highlight w:val="none"/>
        </w:rPr>
        <w:fldChar w:fldCharType="begin"/>
      </w:r>
      <w:r>
        <w:rPr>
          <w:rFonts w:hint="default" w:ascii="Times New Roman" w:hAnsi="Times New Roman" w:eastAsia="楷体" w:cs="Times New Roman"/>
          <w:color w:val="auto"/>
          <w:szCs w:val="30"/>
          <w:highlight w:val="none"/>
        </w:rPr>
        <w:instrText xml:space="preserve"> HYPERLINK \l _Toc14456 </w:instrText>
      </w:r>
      <w:r>
        <w:rPr>
          <w:rFonts w:hint="default" w:ascii="Times New Roman" w:hAnsi="Times New Roman" w:eastAsia="楷体" w:cs="Times New Roman"/>
          <w:color w:val="auto"/>
          <w:szCs w:val="30"/>
          <w:highlight w:val="none"/>
        </w:rPr>
        <w:fldChar w:fldCharType="separate"/>
      </w:r>
      <w:r>
        <w:rPr>
          <w:rFonts w:hint="default" w:ascii="Times New Roman" w:hAnsi="Times New Roman" w:cs="Times New Roman"/>
          <w:color w:val="auto"/>
          <w:highlight w:val="none"/>
        </w:rPr>
        <w:t>序　言</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_Toc14456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_Toc20556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color w:val="auto"/>
          <w:highlight w:val="none"/>
        </w:rPr>
        <w:t>第一章 开启全面建设社会主义现代化卫滨新征程</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_Toc20556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_Toc21641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决胜全面建成小康社会取得决定性成就</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_Toc21641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_Toc214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新发展阶段面临的新机遇新挑战</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_Toc214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_Toc15441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指导方针</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_Toc15441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8</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_Toc18021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color w:val="auto"/>
          <w:highlight w:val="none"/>
        </w:rPr>
        <w:t>第四节 战略重点</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_Toc18021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10</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_Toc14731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eastAsia="楷体" w:cs="Times New Roman"/>
          <w:bCs/>
          <w:snapToGrid w:val="0"/>
          <w:color w:val="auto"/>
          <w:highlight w:val="none"/>
        </w:rPr>
        <w:t>第五节 发展目标</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_Toc14731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14</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_Toc20247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第二章 推动制造业高质量发展</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_Toc20247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17</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_Toc12309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做大做强高端装备制造产业</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_Toc12309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17</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_Toc8428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加快发展铜材料深加工产业</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_Toc8428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18</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_Toc5218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积极发展战略新兴产业</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_Toc5218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19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_Toc9150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第四节 推动制造业数字化发展</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_Toc9150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20</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_Toc17758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第五节 加强专业园区平台建设</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_Toc17758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21</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_Toc2706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第三章 加快现代服务业转型提质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_Toc2706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22</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_Toc12590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大力发展楼宇总部经济</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_Toc12590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_Toc15713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推动商贸物流转型提质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_Toc15713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_Toc12456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eastAsia="楷体" w:cs="Times New Roman"/>
          <w:bCs/>
          <w:snapToGrid w:val="0"/>
          <w:color w:val="auto"/>
          <w:highlight w:val="none"/>
        </w:rPr>
        <w:t>第三节 着力发展文旅康养</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_Toc12456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24</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_Toc1889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eastAsia="楷体" w:cs="Times New Roman"/>
          <w:bCs/>
          <w:snapToGrid w:val="0"/>
          <w:color w:val="auto"/>
          <w:highlight w:val="none"/>
        </w:rPr>
        <w:t>第四节 推动特色商业区转型升级</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_Toc1889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25</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_Toc18680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第五节 加快优化服务消费供给</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_Toc18680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26</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_Toc27804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第四章 加快构建现代创新体系</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_Toc27804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27</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_Toc23400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大力培育创新主体</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_Toc23400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27</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_Toc2316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建设创新平台载体</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_Toc2316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28</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_Toc15479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加快建设人才强区</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_Toc15479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28</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_Toc11741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第五章 提升改革开放动力活力</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_Toc11741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_Toc13479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营造一流营商环境</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_Toc13479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_Toc21895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大力推进开放合作</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_Toc21895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31</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_Toc16545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深化重点领域改革</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_Toc16545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32</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_Toc3540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第六章 全面提升城市功能品质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_Toc3540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_Toc21416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推动铁西区域开发进程</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_Toc21416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_Toc12056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加快南部区域扩容提质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_Toc12056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34</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_Toc13935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完善老城区功能品质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_Toc13935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35</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_Toc12836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第四节 加强城市精细化管理</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_Toc12836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37</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_Toc11723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第五节 推进智慧城市建设</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_Toc11723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_Toc17073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第七章 全面实施乡村振兴战略</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_Toc17073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_Toc12256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发展都市生态农业</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_Toc12256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_Toc23135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实施乡村建设行动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_Toc23135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41</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_Toc25521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持续深化农村改革</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_Toc25521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_Toc20605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eastAsia="楷体" w:cs="Times New Roman"/>
          <w:bCs/>
          <w:snapToGrid w:val="0"/>
          <w:color w:val="auto"/>
          <w:highlight w:val="none"/>
        </w:rPr>
        <w:t>第四节 巩固拓展脱贫攻坚成果</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_Toc20605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44</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_Toc17984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第八章 全面增强文化软实力</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_Toc17984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45</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_Toc27953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巩固壮大主流思想舆论</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_Toc27953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45</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_Toc27041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eastAsia="楷体" w:cs="Times New Roman"/>
          <w:bCs/>
          <w:snapToGrid w:val="0"/>
          <w:color w:val="auto"/>
          <w:highlight w:val="none"/>
        </w:rPr>
        <w:t>第二节 提升公共文化服务水平</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_Toc27041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45</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_Toc17081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提升全民文明素养</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_Toc17081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46</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_Toc9642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第九章 全面加强生态文明建设</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_Toc9642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47</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_Toc26075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持续深化污染防治</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_Toc26075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47</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_Toc3882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加快绿色低碳发展</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_Toc3882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_Toc9925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第十章 持续增进民生福祉</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_Toc9925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50</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_Toc29132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促进更高质量更充分就业</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_Toc29132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50</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_Toc13795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加快推进教育现代化进程</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_Toc13795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_Toc10762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健全多层次社会保障体系</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_Toc10762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54</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_Toc15483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第四节 增进人民卫生健康福祉</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_Toc15483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56</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_Toc26602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第五节 完善养老托幼服务体系</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_Toc26602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58</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_Toc28426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第十一章 推进平安卫滨建设</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_Toc28426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_Toc26703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eastAsia="楷体" w:cs="Times New Roman"/>
          <w:bCs/>
          <w:snapToGrid w:val="0"/>
          <w:color w:val="auto"/>
          <w:highlight w:val="none"/>
        </w:rPr>
        <w:t>第一节 全面维护政治安全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_Toc26703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_Toc4031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全面确保经济和人民生命安全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_Toc4031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59</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_Toc25125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维护社会稳定和安全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_Toc25125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60</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_Toc18815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第四节 全面推进依法治区</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_Toc18815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61</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8"/>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_Toc3516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kern w:val="0"/>
          <w:szCs w:val="32"/>
          <w:highlight w:val="none"/>
        </w:rPr>
        <w:t>第十二章 加强规划实施保障</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_Toc3516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_Toc20567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第一节 坚持党的全面领导</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_Toc20567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_Toc8190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第二节 推进社会主义政治建设</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_Toc8190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63</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eastAsia="楷体" w:cs="Times New Roman"/>
          <w:color w:val="auto"/>
          <w:highlight w:val="none"/>
          <w:lang w:val="en-US" w:eastAsia="zh-CN"/>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_Toc23122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第三节 建设高素质干部队伍</w:t>
      </w:r>
      <w:r>
        <w:rPr>
          <w:rFonts w:hint="default" w:ascii="Times New Roman" w:hAnsi="Times New Roman" w:cs="Times New Roman"/>
          <w:color w:val="auto"/>
          <w:highlight w:val="none"/>
        </w:rPr>
        <w:tab/>
      </w:r>
      <w:r>
        <w:rPr>
          <w:rFonts w:hint="default" w:ascii="Times New Roman" w:hAnsi="Times New Roman" w:cs="Times New Roman"/>
          <w:color w:val="auto"/>
          <w:highlight w:val="none"/>
          <w:lang w:val="en-US" w:eastAsia="zh-CN"/>
        </w:rPr>
        <w:t>6</w:t>
      </w:r>
      <w:r>
        <w:rPr>
          <w:rFonts w:hint="default" w:ascii="Times New Roman" w:hAnsi="Times New Roman" w:eastAsia="楷体" w:cs="Times New Roman"/>
          <w:color w:val="auto"/>
          <w:szCs w:val="30"/>
          <w:highlight w:val="none"/>
          <w:lang w:val="zh-CN"/>
        </w:rPr>
        <w:fldChar w:fldCharType="end"/>
      </w:r>
      <w:r>
        <w:rPr>
          <w:rFonts w:hint="eastAsia" w:cs="Times New Roman"/>
          <w:color w:val="auto"/>
          <w:szCs w:val="30"/>
          <w:highlight w:val="none"/>
          <w:lang w:val="en-US" w:eastAsia="zh-CN"/>
        </w:rPr>
        <w:t>4</w:t>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_Toc8302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第四节 突出重大项目带动</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_Toc8302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64</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cs="Times New Roman"/>
          <w:color w:val="auto"/>
          <w:highlight w:val="none"/>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_Toc23550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第五节 健全规划实施机制</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_Toc23550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65</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pStyle w:val="9"/>
        <w:tabs>
          <w:tab w:val="right" w:leader="dot" w:pos="8844"/>
        </w:tabs>
        <w:rPr>
          <w:rFonts w:hint="default" w:ascii="Times New Roman" w:hAnsi="Times New Roman" w:eastAsia="楷体" w:cs="Times New Roman"/>
          <w:color w:val="auto"/>
          <w:szCs w:val="30"/>
          <w:highlight w:val="none"/>
          <w:lang w:val="zh-CN"/>
        </w:rPr>
      </w:pPr>
      <w:r>
        <w:rPr>
          <w:rFonts w:hint="default" w:ascii="Times New Roman" w:hAnsi="Times New Roman" w:eastAsia="楷体" w:cs="Times New Roman"/>
          <w:color w:val="auto"/>
          <w:szCs w:val="30"/>
          <w:highlight w:val="none"/>
          <w:lang w:val="zh-CN"/>
        </w:rPr>
        <w:fldChar w:fldCharType="begin"/>
      </w:r>
      <w:r>
        <w:rPr>
          <w:rFonts w:hint="default" w:ascii="Times New Roman" w:hAnsi="Times New Roman" w:eastAsia="楷体" w:cs="Times New Roman"/>
          <w:color w:val="auto"/>
          <w:szCs w:val="30"/>
          <w:highlight w:val="none"/>
          <w:lang w:val="zh-CN"/>
        </w:rPr>
        <w:instrText xml:space="preserve"> HYPERLINK \l _Toc30742 </w:instrText>
      </w:r>
      <w:r>
        <w:rPr>
          <w:rFonts w:hint="default" w:ascii="Times New Roman" w:hAnsi="Times New Roman" w:eastAsia="楷体" w:cs="Times New Roman"/>
          <w:color w:val="auto"/>
          <w:szCs w:val="30"/>
          <w:highlight w:val="none"/>
          <w:lang w:val="zh-CN"/>
        </w:rPr>
        <w:fldChar w:fldCharType="separate"/>
      </w:r>
      <w:r>
        <w:rPr>
          <w:rFonts w:hint="default" w:ascii="Times New Roman" w:hAnsi="Times New Roman" w:cs="Times New Roman"/>
          <w:snapToGrid w:val="0"/>
          <w:color w:val="auto"/>
          <w:szCs w:val="32"/>
          <w:highlight w:val="none"/>
        </w:rPr>
        <w:t>第六节 营造良好发展环境</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_Toc30742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66</w:t>
      </w:r>
      <w:r>
        <w:rPr>
          <w:rFonts w:hint="default" w:ascii="Times New Roman" w:hAnsi="Times New Roman" w:cs="Times New Roman"/>
          <w:color w:val="auto"/>
          <w:highlight w:val="none"/>
        </w:rPr>
        <w:fldChar w:fldCharType="end"/>
      </w:r>
      <w:r>
        <w:rPr>
          <w:rFonts w:hint="default" w:ascii="Times New Roman" w:hAnsi="Times New Roman" w:eastAsia="楷体" w:cs="Times New Roman"/>
          <w:color w:val="auto"/>
          <w:szCs w:val="30"/>
          <w:highlight w:val="none"/>
          <w:lang w:val="zh-CN"/>
        </w:rPr>
        <w:fldChar w:fldCharType="end"/>
      </w:r>
    </w:p>
    <w:p>
      <w:pPr>
        <w:rPr>
          <w:rFonts w:hint="default" w:ascii="Times New Roman" w:hAnsi="Times New Roman" w:eastAsia="楷体" w:cs="Times New Roman"/>
          <w:color w:val="auto"/>
          <w:szCs w:val="30"/>
          <w:highlight w:val="none"/>
          <w:lang w:val="zh-CN"/>
        </w:rPr>
        <w:sectPr>
          <w:footerReference r:id="rId3" w:type="default"/>
          <w:pgSz w:w="11906" w:h="16838"/>
          <w:pgMar w:top="2098" w:right="1474" w:bottom="1984" w:left="1587" w:header="851" w:footer="1134" w:gutter="0"/>
          <w:pgNumType w:fmt="decimal" w:start="1"/>
          <w:cols w:space="0" w:num="1"/>
          <w:rtlGutter w:val="0"/>
          <w:docGrid w:type="lines" w:linePitch="579" w:charSpace="0"/>
        </w:sectPr>
      </w:pPr>
    </w:p>
    <w:p>
      <w:pPr>
        <w:pStyle w:val="4"/>
        <w:spacing w:before="120" w:beforeLines="0" w:after="120" w:afterLines="0"/>
        <w:jc w:val="center"/>
        <w:rPr>
          <w:rFonts w:hint="default" w:ascii="Times New Roman" w:hAnsi="Times New Roman" w:cs="Times New Roman"/>
          <w:color w:val="auto"/>
          <w:sz w:val="44"/>
          <w:szCs w:val="44"/>
          <w:highlight w:val="none"/>
        </w:rPr>
      </w:pPr>
      <w:r>
        <w:rPr>
          <w:rFonts w:hint="default" w:ascii="Times New Roman" w:hAnsi="Times New Roman" w:eastAsia="楷体" w:cs="Times New Roman"/>
          <w:color w:val="auto"/>
          <w:szCs w:val="30"/>
          <w:highlight w:val="none"/>
          <w:lang w:val="zh-CN"/>
        </w:rPr>
        <w:fldChar w:fldCharType="end"/>
      </w:r>
      <w:bookmarkStart w:id="1" w:name="_Toc21099"/>
      <w:bookmarkStart w:id="2" w:name="_Toc14456"/>
      <w:r>
        <w:rPr>
          <w:rFonts w:hint="default" w:ascii="Times New Roman" w:hAnsi="Times New Roman" w:cs="Times New Roman"/>
          <w:color w:val="auto"/>
          <w:sz w:val="44"/>
          <w:szCs w:val="44"/>
          <w:highlight w:val="none"/>
        </w:rPr>
        <w:t>序　言</w:t>
      </w:r>
      <w:bookmarkEnd w:id="1"/>
      <w:bookmarkEnd w:id="2"/>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kern w:val="2"/>
          <w:sz w:val="32"/>
          <w:szCs w:val="32"/>
          <w:highlight w:val="none"/>
          <w:lang w:val="en-US" w:eastAsia="zh-CN" w:bidi="ar"/>
        </w:rPr>
      </w:pPr>
    </w:p>
    <w:p>
      <w:pPr>
        <w:keepNext w:val="0"/>
        <w:keepLines w:val="0"/>
        <w:pageBreakBefore w:val="0"/>
        <w:kinsoku/>
        <w:wordWrap/>
        <w:overflowPunct/>
        <w:topLinePunct w:val="0"/>
        <w:autoSpaceDE/>
        <w:autoSpaceDN/>
        <w:bidi w:val="0"/>
        <w:adjustRightInd/>
        <w:snapToGrid/>
        <w:spacing w:line="240" w:lineRule="auto"/>
        <w:ind w:firstLine="640" w:firstLineChars="200"/>
        <w:rPr>
          <w:rFonts w:hint="default" w:ascii="Times New Roman" w:hAnsi="Times New Roman" w:eastAsia="仿宋_GB2312" w:cs="Times New Roman"/>
          <w:b w:val="0"/>
          <w:bCs w:val="0"/>
          <w:color w:val="000000"/>
          <w:sz w:val="32"/>
          <w:szCs w:val="32"/>
          <w:u w:val="none"/>
        </w:rPr>
      </w:pPr>
      <w:r>
        <w:rPr>
          <w:rFonts w:hint="default" w:ascii="Times New Roman" w:hAnsi="Times New Roman" w:eastAsia="仿宋_GB2312" w:cs="Times New Roman"/>
          <w:color w:val="auto"/>
          <w:kern w:val="2"/>
          <w:sz w:val="32"/>
          <w:szCs w:val="32"/>
          <w:highlight w:val="none"/>
          <w:lang w:val="en-US" w:eastAsia="zh-CN" w:bidi="ar"/>
        </w:rPr>
        <w:t>“十四五”时期是我国全面建成小康社会、实现第一个百年奋斗目标之后，乘势而上开启全面建设社会主义现代化国家新征程、向第二个百年奋斗目标进军的第一个五年，也是开启全面建设社会主义现代化卫滨新征程、谱写新时代中原更加出彩的卫滨绚丽篇章的关键时期。《卫滨区国民经济和社会发展第十四个五年规划和二〇三五年远景目标纲要》根据《中共卫滨区委关于制定卫滨区国民经济和社会发展第十四个五年规划和二〇三五年远景目标的建议》编制，主要阐明未来五年全区发展战略意图，明确政府工作重点，引导规范市场主体行为，统筹重大任务举措，是政府履职的重要依据，是今后五年乃至更长时期全区经济社会发展的宏伟蓝图和全区人民共同奋斗的行动纲领。</w:t>
      </w:r>
    </w:p>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rPr>
      </w:pPr>
      <w:bookmarkStart w:id="3" w:name="_Toc20556"/>
      <w:bookmarkStart w:id="4" w:name="_Toc62382230"/>
      <w:bookmarkStart w:id="5" w:name="_Toc468"/>
      <w:r>
        <w:rPr>
          <w:rFonts w:hint="default" w:ascii="Times New Roman" w:hAnsi="Times New Roman" w:eastAsia="黑体" w:cs="Times New Roman"/>
          <w:color w:val="auto"/>
          <w:sz w:val="32"/>
          <w:szCs w:val="32"/>
          <w:highlight w:val="none"/>
        </w:rPr>
        <w:t>第一章 开启全面建设社会主义现代化卫滨新征程</w:t>
      </w:r>
      <w:bookmarkEnd w:id="3"/>
      <w:bookmarkEnd w:id="4"/>
      <w:bookmarkEnd w:id="5"/>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6" w:name="_Toc21641"/>
      <w:bookmarkStart w:id="7" w:name="_Toc18862"/>
      <w:bookmarkStart w:id="8" w:name="_Toc62382231"/>
      <w:r>
        <w:rPr>
          <w:rFonts w:hint="default" w:ascii="Times New Roman" w:hAnsi="Times New Roman" w:eastAsia="楷体_GB2312" w:cs="Times New Roman"/>
          <w:snapToGrid w:val="0"/>
          <w:color w:val="auto"/>
          <w:spacing w:val="0"/>
          <w:sz w:val="32"/>
          <w:szCs w:val="32"/>
          <w:highlight w:val="none"/>
        </w:rPr>
        <w:t>第一节 决胜全面建成小康社会取得决定性成就</w:t>
      </w:r>
      <w:bookmarkEnd w:id="6"/>
      <w:bookmarkEnd w:id="7"/>
    </w:p>
    <w:bookmarkEnd w:id="8"/>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kern w:val="2"/>
          <w:sz w:val="32"/>
          <w:szCs w:val="32"/>
          <w:highlight w:val="none"/>
          <w:lang w:val="en-US"/>
        </w:rPr>
      </w:pPr>
      <w:r>
        <w:rPr>
          <w:rFonts w:hint="default" w:ascii="Times New Roman" w:hAnsi="Times New Roman" w:eastAsia="仿宋_GB2312" w:cs="Times New Roman"/>
          <w:color w:val="auto"/>
          <w:spacing w:val="0"/>
          <w:kern w:val="2"/>
          <w:sz w:val="32"/>
          <w:szCs w:val="32"/>
          <w:highlight w:val="none"/>
          <w:lang w:val="en-US" w:eastAsia="zh-CN" w:bidi="ar"/>
        </w:rPr>
        <w:t>“十三五”期间，面对错综复杂的外部环境和艰巨繁重的国内改革发展稳定任务，全区上下坚持以习近平新时代中国特色社会主义思想为指导，坚决贯彻中央、省、市各项决策部署，坚定不移贯彻新发展理念，抢抓机遇、奋力拼搏、攻坚克难，“十三五”</w:t>
      </w:r>
      <w:r>
        <w:rPr>
          <w:rFonts w:hint="eastAsia" w:eastAsia="仿宋_GB2312" w:cs="Times New Roman"/>
          <w:color w:val="auto"/>
          <w:spacing w:val="0"/>
          <w:kern w:val="2"/>
          <w:sz w:val="32"/>
          <w:szCs w:val="32"/>
          <w:highlight w:val="none"/>
          <w:lang w:val="en-US" w:eastAsia="zh-CN" w:bidi="ar"/>
        </w:rPr>
        <w:t>圆满收官</w:t>
      </w:r>
      <w:r>
        <w:rPr>
          <w:rFonts w:hint="default" w:ascii="Times New Roman" w:hAnsi="Times New Roman" w:eastAsia="仿宋_GB2312" w:cs="Times New Roman"/>
          <w:color w:val="auto"/>
          <w:spacing w:val="0"/>
          <w:kern w:val="2"/>
          <w:sz w:val="32"/>
          <w:szCs w:val="32"/>
          <w:highlight w:val="none"/>
          <w:lang w:val="en-US" w:eastAsia="zh-CN" w:bidi="ar"/>
        </w:rPr>
        <w:t>，全面建成小康社会如期实现。</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综合实力显著增强。</w:t>
      </w:r>
      <w:r>
        <w:rPr>
          <w:rFonts w:hint="default" w:ascii="Times New Roman" w:hAnsi="Times New Roman" w:eastAsia="仿宋_GB2312" w:cs="Times New Roman"/>
          <w:color w:val="auto"/>
          <w:spacing w:val="0"/>
          <w:kern w:val="2"/>
          <w:sz w:val="32"/>
          <w:szCs w:val="32"/>
          <w:highlight w:val="none"/>
          <w:lang w:val="en-US" w:eastAsia="zh-CN"/>
        </w:rPr>
        <w:t>2020年地区生产总值突破300亿元，年均增长6.5%，一二三产业比重调整为1：33：66。</w:t>
      </w:r>
      <w:r>
        <w:rPr>
          <w:rFonts w:hint="eastAsia" w:eastAsia="仿宋_GB2312" w:cs="Times New Roman"/>
          <w:color w:val="auto"/>
          <w:spacing w:val="0"/>
          <w:kern w:val="2"/>
          <w:sz w:val="32"/>
          <w:szCs w:val="32"/>
          <w:highlight w:val="none"/>
          <w:lang w:val="en-US" w:eastAsia="zh-CN"/>
        </w:rPr>
        <w:t>“</w:t>
      </w:r>
      <w:r>
        <w:rPr>
          <w:rFonts w:hint="default" w:ascii="Times New Roman" w:hAnsi="Times New Roman" w:eastAsia="仿宋_GB2312" w:cs="Times New Roman"/>
          <w:color w:val="auto"/>
          <w:spacing w:val="0"/>
          <w:kern w:val="2"/>
          <w:sz w:val="32"/>
          <w:szCs w:val="32"/>
          <w:highlight w:val="none"/>
          <w:lang w:val="en-US" w:eastAsia="zh-CN"/>
        </w:rPr>
        <w:t>十三五</w:t>
      </w:r>
      <w:r>
        <w:rPr>
          <w:rFonts w:hint="eastAsia" w:eastAsia="仿宋_GB2312" w:cs="Times New Roman"/>
          <w:color w:val="auto"/>
          <w:spacing w:val="0"/>
          <w:kern w:val="2"/>
          <w:sz w:val="32"/>
          <w:szCs w:val="32"/>
          <w:highlight w:val="none"/>
          <w:lang w:val="en-US" w:eastAsia="zh-CN"/>
        </w:rPr>
        <w:t>”</w:t>
      </w:r>
      <w:r>
        <w:rPr>
          <w:rFonts w:hint="default" w:ascii="Times New Roman" w:hAnsi="Times New Roman" w:eastAsia="仿宋_GB2312" w:cs="Times New Roman"/>
          <w:color w:val="auto"/>
          <w:spacing w:val="0"/>
          <w:kern w:val="2"/>
          <w:sz w:val="32"/>
          <w:szCs w:val="32"/>
          <w:highlight w:val="none"/>
          <w:lang w:val="en-US" w:eastAsia="zh-CN"/>
        </w:rPr>
        <w:t>期间，</w:t>
      </w:r>
      <w:r>
        <w:rPr>
          <w:rFonts w:hint="default" w:ascii="Times New Roman" w:hAnsi="Times New Roman" w:eastAsia="仿宋_GB2312" w:cs="Times New Roman"/>
          <w:color w:val="auto"/>
          <w:spacing w:val="0"/>
          <w:kern w:val="2"/>
          <w:sz w:val="32"/>
          <w:szCs w:val="32"/>
          <w:highlight w:val="none"/>
        </w:rPr>
        <w:t>社会消费品零售总额年均增长7%，总量连续五年稳居全市</w:t>
      </w:r>
      <w:r>
        <w:rPr>
          <w:rFonts w:hint="default" w:ascii="Times New Roman" w:hAnsi="Times New Roman" w:eastAsia="仿宋_GB2312" w:cs="Times New Roman"/>
          <w:color w:val="auto"/>
          <w:spacing w:val="0"/>
          <w:kern w:val="2"/>
          <w:sz w:val="32"/>
          <w:szCs w:val="32"/>
          <w:highlight w:val="none"/>
          <w:lang w:val="en-US" w:eastAsia="zh-CN"/>
        </w:rPr>
        <w:t>第1位</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固定资产投资年均增长11.3%，其中工业投资年均增长37.5%</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实施千万元以上项目460个，累计完成投资286.9亿元</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全区粮食播种面积保持在5万亩以上，粮食总产量维持在2.5万吨以上。</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产业转型成效明显。</w:t>
      </w:r>
      <w:r>
        <w:rPr>
          <w:rFonts w:hint="default" w:ascii="Times New Roman" w:hAnsi="Times New Roman" w:eastAsia="仿宋_GB2312" w:cs="Times New Roman"/>
          <w:color w:val="auto"/>
          <w:spacing w:val="0"/>
          <w:kern w:val="2"/>
          <w:sz w:val="32"/>
          <w:szCs w:val="32"/>
          <w:highlight w:val="none"/>
        </w:rPr>
        <w:t>倾力打造高端装备专业园区、特色商业区、铁西区域改造、南环区域开发“四大平台”，加快发展装备制造、现代服务、两改地产、商贸物流“四大产业”发展，高端装备制造业专业园区纳入全省首批智能装备产业园区和全市首批先进制造业专业园区范畴，建成省、市级研发中心6个、标准厂房</w:t>
      </w:r>
      <w:r>
        <w:rPr>
          <w:rFonts w:hint="default" w:ascii="Times New Roman" w:hAnsi="Times New Roman" w:eastAsia="仿宋_GB2312" w:cs="Times New Roman"/>
          <w:color w:val="auto"/>
          <w:spacing w:val="0"/>
          <w:kern w:val="2"/>
          <w:sz w:val="32"/>
          <w:szCs w:val="32"/>
          <w:highlight w:val="none"/>
          <w:lang w:val="en-US" w:eastAsia="zh-CN"/>
        </w:rPr>
        <w:t>23</w:t>
      </w:r>
      <w:r>
        <w:rPr>
          <w:rFonts w:hint="default" w:ascii="Times New Roman" w:hAnsi="Times New Roman" w:eastAsia="仿宋_GB2312" w:cs="Times New Roman"/>
          <w:color w:val="auto"/>
          <w:spacing w:val="0"/>
          <w:kern w:val="2"/>
          <w:sz w:val="32"/>
          <w:szCs w:val="32"/>
          <w:highlight w:val="none"/>
        </w:rPr>
        <w:t xml:space="preserve">万平方米，中铁设备、金龙精密制造、凯美龙铜板带、勤工机器人等企业拳头产品产销两旺。特色商业区荣获河南省先进服务业“两区”称号，成功晋级全省“两区”一星行列，“石榴巷”城市文化走廊、猪八戒网新乡园区、金融保险超市等项目建成运营，金融保险业实现新突破。 </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三大攻坚战取得实效。</w:t>
      </w:r>
      <w:r>
        <w:rPr>
          <w:rFonts w:hint="default" w:ascii="Times New Roman" w:hAnsi="Times New Roman" w:eastAsia="仿宋_GB2312" w:cs="Times New Roman"/>
          <w:color w:val="auto"/>
          <w:spacing w:val="0"/>
          <w:kern w:val="2"/>
          <w:sz w:val="32"/>
          <w:szCs w:val="32"/>
          <w:highlight w:val="none"/>
        </w:rPr>
        <w:t>现行标准下农村贫困人口实现脱贫，饮水安全全面达标，农村存量危房全部清零，新时代脱贫攻坚目标任务胜利完成。全区环境质量明显改善，PM2.5、PM</w:t>
      </w:r>
      <w:r>
        <w:rPr>
          <w:rFonts w:hint="default" w:ascii="Times New Roman" w:hAnsi="Times New Roman" w:eastAsia="仿宋_GB2312" w:cs="Times New Roman"/>
          <w:color w:val="auto"/>
          <w:spacing w:val="0"/>
          <w:kern w:val="2"/>
          <w:sz w:val="32"/>
          <w:szCs w:val="32"/>
          <w:highlight w:val="none"/>
          <w:lang w:val="en-US" w:eastAsia="zh-CN"/>
        </w:rPr>
        <w:t>10</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优良天数稳定实现两降一升</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河流出境断面水质</w:t>
      </w:r>
      <w:r>
        <w:rPr>
          <w:rFonts w:hint="default" w:ascii="Times New Roman" w:hAnsi="Times New Roman" w:eastAsia="仿宋_GB2312" w:cs="Times New Roman"/>
          <w:color w:val="auto"/>
          <w:spacing w:val="0"/>
          <w:kern w:val="2"/>
          <w:sz w:val="32"/>
          <w:szCs w:val="32"/>
          <w:highlight w:val="none"/>
          <w:lang w:eastAsia="zh-CN"/>
        </w:rPr>
        <w:t>全部达标</w:t>
      </w:r>
      <w:r>
        <w:rPr>
          <w:rFonts w:hint="default" w:ascii="Times New Roman" w:hAnsi="Times New Roman" w:eastAsia="仿宋_GB2312" w:cs="Times New Roman"/>
          <w:color w:val="auto"/>
          <w:spacing w:val="0"/>
          <w:kern w:val="2"/>
          <w:sz w:val="32"/>
          <w:szCs w:val="32"/>
          <w:highlight w:val="none"/>
        </w:rPr>
        <w:t>，土壤环境质量总体保持稳定</w:t>
      </w:r>
      <w:r>
        <w:rPr>
          <w:rFonts w:hint="default" w:ascii="Times New Roman" w:hAnsi="Times New Roman" w:eastAsia="仿宋_GB2312" w:cs="Times New Roman"/>
          <w:color w:val="auto"/>
          <w:spacing w:val="0"/>
          <w:kern w:val="2"/>
          <w:sz w:val="32"/>
          <w:szCs w:val="32"/>
          <w:highlight w:val="none"/>
          <w:lang w:eastAsia="zh-CN"/>
        </w:rPr>
        <w:t>，全区环保综合考评连续</w:t>
      </w:r>
      <w:r>
        <w:rPr>
          <w:rFonts w:hint="default" w:ascii="Times New Roman" w:hAnsi="Times New Roman" w:eastAsia="仿宋_GB2312" w:cs="Times New Roman"/>
          <w:color w:val="auto"/>
          <w:spacing w:val="0"/>
          <w:kern w:val="2"/>
          <w:sz w:val="32"/>
          <w:szCs w:val="32"/>
          <w:highlight w:val="none"/>
          <w:lang w:val="en-US" w:eastAsia="zh-CN"/>
        </w:rPr>
        <w:t>4年位居全市前列</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政府债务风险率处于全市较低水平，一批问题楼盘得到妥善化解，守住了不发生系统性区域性风险底线。</w:t>
      </w:r>
    </w:p>
    <w:p>
      <w:pPr>
        <w:keepNext w:val="0"/>
        <w:keepLines w:val="0"/>
        <w:pageBreakBefore w:val="0"/>
        <w:widowControl w:val="0"/>
        <w:kinsoku/>
        <w:wordWrap/>
        <w:overflowPunct/>
        <w:topLinePunct w:val="0"/>
        <w:autoSpaceDE/>
        <w:autoSpaceDN/>
        <w:bidi w:val="0"/>
        <w:spacing w:beforeAutospacing="0" w:after="0" w:afterAutospacing="0" w:line="240" w:lineRule="auto"/>
        <w:ind w:left="0" w:leftChars="0" w:right="0" w:rightChars="0" w:firstLine="643" w:firstLineChars="200"/>
        <w:jc w:val="both"/>
        <w:textAlignment w:val="auto"/>
        <w:outlineLvl w:val="9"/>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城乡面貌明显改善。</w:t>
      </w:r>
      <w:r>
        <w:rPr>
          <w:rFonts w:hint="default" w:ascii="Times New Roman" w:hAnsi="Times New Roman" w:eastAsia="仿宋_GB2312" w:cs="Times New Roman"/>
          <w:color w:val="auto"/>
          <w:spacing w:val="0"/>
          <w:kern w:val="2"/>
          <w:sz w:val="32"/>
          <w:szCs w:val="32"/>
          <w:highlight w:val="none"/>
        </w:rPr>
        <w:t>深入推进铁西和南部区域整体开发，高标准打造以东方文化商业步行街为主线的百城提质示范区。17个棚改（城中村）项目有序推进，150个老旧小区得以提升改造，劳动街南延工程等10条市政道路建成通车，幸福路等57条小街巷全面翻新</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既有建筑节能改造完成197万平方米。建成供热交换站54座，新增供热面积479万平方米，城区供热普及率达9</w:t>
      </w:r>
      <w:r>
        <w:rPr>
          <w:rFonts w:hint="default" w:ascii="Times New Roman" w:hAnsi="Times New Roman" w:eastAsia="仿宋_GB2312" w:cs="Times New Roman"/>
          <w:color w:val="auto"/>
          <w:spacing w:val="0"/>
          <w:kern w:val="2"/>
          <w:sz w:val="32"/>
          <w:szCs w:val="32"/>
          <w:highlight w:val="none"/>
          <w:lang w:val="en-US" w:eastAsia="zh-CN"/>
        </w:rPr>
        <w:t>8</w:t>
      </w:r>
      <w:r>
        <w:rPr>
          <w:rFonts w:hint="default" w:ascii="Times New Roman" w:hAnsi="Times New Roman" w:eastAsia="仿宋_GB2312" w:cs="Times New Roman"/>
          <w:color w:val="auto"/>
          <w:spacing w:val="0"/>
          <w:kern w:val="2"/>
          <w:sz w:val="32"/>
          <w:szCs w:val="32"/>
          <w:highlight w:val="none"/>
        </w:rPr>
        <w:t>%以上。乡村振兴战略实施开局良好，美丽乡村建设扎实推进，乡村环境面貌明显改善，平原镇荣获河南省文明村镇称号，南高村达到人居环境示范村标准。</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改革开放统筹深化。</w:t>
      </w:r>
      <w:r>
        <w:rPr>
          <w:rFonts w:hint="default" w:ascii="Times New Roman" w:hAnsi="Times New Roman" w:eastAsia="仿宋_GB2312" w:cs="Times New Roman"/>
          <w:color w:val="auto"/>
          <w:spacing w:val="0"/>
          <w:kern w:val="2"/>
          <w:sz w:val="32"/>
          <w:szCs w:val="32"/>
          <w:highlight w:val="none"/>
        </w:rPr>
        <w:t>持续深化放管服改革，推行“互联网+监管”，所有政务服务事项实现“一网通办”，工商营业执照注册登记全程电子化率90%以上，工商电子化办证先进经验率先在全省推广。全面完成全区党政机构改革，建立健全社会信用体系，持续推动营商环境优化，财税、价格、农村等领域改革取得积极进展。持续深入开展“一招四引”工作，</w:t>
      </w:r>
      <w:r>
        <w:rPr>
          <w:rFonts w:hint="eastAsia"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lang w:val="en-US" w:eastAsia="zh-CN"/>
        </w:rPr>
        <w:t>十三五</w:t>
      </w:r>
      <w:r>
        <w:rPr>
          <w:rFonts w:hint="eastAsia"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lang w:val="en-US" w:eastAsia="zh-CN"/>
        </w:rPr>
        <w:t>期间</w:t>
      </w:r>
      <w:r>
        <w:rPr>
          <w:rFonts w:hint="default" w:ascii="Times New Roman" w:hAnsi="Times New Roman" w:eastAsia="仿宋_GB2312" w:cs="Times New Roman"/>
          <w:color w:val="auto"/>
          <w:spacing w:val="0"/>
          <w:kern w:val="2"/>
          <w:sz w:val="32"/>
          <w:szCs w:val="32"/>
          <w:highlight w:val="none"/>
        </w:rPr>
        <w:t>全区实际利用境外资金2.</w:t>
      </w:r>
      <w:r>
        <w:rPr>
          <w:rFonts w:hint="default" w:ascii="Times New Roman" w:hAnsi="Times New Roman" w:eastAsia="仿宋_GB2312" w:cs="Times New Roman"/>
          <w:color w:val="auto"/>
          <w:spacing w:val="0"/>
          <w:kern w:val="2"/>
          <w:sz w:val="32"/>
          <w:szCs w:val="32"/>
          <w:highlight w:val="none"/>
          <w:lang w:val="en-US" w:eastAsia="zh-CN"/>
        </w:rPr>
        <w:t>7</w:t>
      </w:r>
      <w:r>
        <w:rPr>
          <w:rFonts w:hint="default" w:ascii="Times New Roman" w:hAnsi="Times New Roman" w:eastAsia="仿宋_GB2312" w:cs="Times New Roman"/>
          <w:color w:val="auto"/>
          <w:spacing w:val="0"/>
          <w:kern w:val="2"/>
          <w:sz w:val="32"/>
          <w:szCs w:val="32"/>
          <w:highlight w:val="none"/>
        </w:rPr>
        <w:t>亿美元，吸收市外资金</w:t>
      </w:r>
      <w:r>
        <w:rPr>
          <w:rFonts w:hint="default" w:ascii="Times New Roman" w:hAnsi="Times New Roman" w:eastAsia="仿宋_GB2312" w:cs="Times New Roman"/>
          <w:color w:val="auto"/>
          <w:spacing w:val="0"/>
          <w:kern w:val="2"/>
          <w:sz w:val="32"/>
          <w:szCs w:val="32"/>
          <w:highlight w:val="none"/>
          <w:lang w:val="en-US" w:eastAsia="zh-CN"/>
        </w:rPr>
        <w:t>156.1</w:t>
      </w:r>
      <w:r>
        <w:rPr>
          <w:rFonts w:hint="default" w:ascii="Times New Roman" w:hAnsi="Times New Roman" w:eastAsia="仿宋_GB2312" w:cs="Times New Roman"/>
          <w:color w:val="auto"/>
          <w:spacing w:val="0"/>
          <w:kern w:val="2"/>
          <w:sz w:val="32"/>
          <w:szCs w:val="32"/>
          <w:highlight w:val="none"/>
        </w:rPr>
        <w:t>亿元，实现外贸进出口</w:t>
      </w:r>
      <w:r>
        <w:rPr>
          <w:rFonts w:hint="default" w:ascii="Times New Roman" w:hAnsi="Times New Roman" w:eastAsia="仿宋_GB2312" w:cs="Times New Roman"/>
          <w:b w:val="0"/>
          <w:bCs w:val="0"/>
          <w:color w:val="auto"/>
          <w:spacing w:val="0"/>
          <w:kern w:val="2"/>
          <w:sz w:val="32"/>
          <w:szCs w:val="32"/>
          <w:highlight w:val="none"/>
          <w:lang w:val="en-US" w:eastAsia="zh-CN"/>
        </w:rPr>
        <w:t>28.1</w:t>
      </w:r>
      <w:r>
        <w:rPr>
          <w:rFonts w:hint="default" w:ascii="Times New Roman" w:hAnsi="Times New Roman" w:eastAsia="仿宋_GB2312" w:cs="Times New Roman"/>
          <w:color w:val="auto"/>
          <w:spacing w:val="0"/>
          <w:kern w:val="2"/>
          <w:sz w:val="32"/>
          <w:szCs w:val="32"/>
          <w:highlight w:val="none"/>
        </w:rPr>
        <w:t>亿元，对外开放水平进一步提升。</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民生福祉持续增进。</w:t>
      </w:r>
      <w:r>
        <w:rPr>
          <w:rFonts w:hint="default" w:ascii="Times New Roman" w:hAnsi="Times New Roman" w:eastAsia="仿宋_GB2312" w:cs="Times New Roman"/>
          <w:color w:val="auto"/>
          <w:spacing w:val="0"/>
          <w:kern w:val="2"/>
          <w:sz w:val="32"/>
          <w:szCs w:val="32"/>
          <w:highlight w:val="none"/>
        </w:rPr>
        <w:t>城镇居民人均可支配收入达到3.</w:t>
      </w:r>
      <w:r>
        <w:rPr>
          <w:rFonts w:hint="default" w:ascii="Times New Roman" w:hAnsi="Times New Roman" w:eastAsia="仿宋_GB2312" w:cs="Times New Roman"/>
          <w:color w:val="auto"/>
          <w:spacing w:val="0"/>
          <w:kern w:val="2"/>
          <w:sz w:val="32"/>
          <w:szCs w:val="32"/>
          <w:highlight w:val="none"/>
          <w:lang w:val="en-US" w:eastAsia="zh-CN"/>
        </w:rPr>
        <w:t>7</w:t>
      </w:r>
      <w:r>
        <w:rPr>
          <w:rFonts w:hint="default" w:ascii="Times New Roman" w:hAnsi="Times New Roman" w:eastAsia="仿宋_GB2312" w:cs="Times New Roman"/>
          <w:color w:val="auto"/>
          <w:spacing w:val="0"/>
          <w:kern w:val="2"/>
          <w:sz w:val="32"/>
          <w:szCs w:val="32"/>
          <w:highlight w:val="none"/>
        </w:rPr>
        <w:t>万元</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城镇累计新增就业3.3万人，城镇登记失业率控制在4%以内。社会保障体系更趋完善，城乡低保和特困供养等补助标准全面提高。义务教育优质均衡，改扩建学校4所，适龄儿童入学率、巩固率达100%。基本公共卫生服务项目实现全部覆盖，新生儿疾病筛查、妇女“两癌筛查”等工作走在全市前列。民主法治建设扎实推进，获得全国先进法治区称号。成功战胜2016年“7.9”“7.19”特大暴雨洪涝灾害</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全面落实安全生产、消防安全、食品安全责任制，社会大局保持和谐稳定。</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管党治党扎实有效。</w:t>
      </w:r>
      <w:r>
        <w:rPr>
          <w:rFonts w:hint="default" w:ascii="Times New Roman" w:hAnsi="Times New Roman" w:eastAsia="仿宋_GB2312" w:cs="Times New Roman"/>
          <w:color w:val="auto"/>
          <w:spacing w:val="0"/>
          <w:kern w:val="2"/>
          <w:sz w:val="32"/>
          <w:szCs w:val="32"/>
          <w:highlight w:val="none"/>
        </w:rPr>
        <w:t>党内学习教育深入开展，深化“六种学习方式”，推动学习贯彻习近平新时代中国特色社会主义思想走深走心走实</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以“大党建”为统领，创新实施“521”党建引领基层治理工作理念，探索开展“党建+”月观摩、基层党建论坛、城市“红分”管理等制度机制，实现基层组织全面进步，党建工作质量全面提升</w:t>
      </w:r>
      <w:r>
        <w:rPr>
          <w:rFonts w:hint="default" w:ascii="Times New Roman" w:hAnsi="Times New Roman" w:eastAsia="仿宋_GB2312" w:cs="Times New Roman"/>
          <w:color w:val="auto"/>
          <w:spacing w:val="0"/>
          <w:kern w:val="2"/>
          <w:sz w:val="32"/>
          <w:szCs w:val="32"/>
          <w:highlight w:val="none"/>
          <w:lang w:eastAsia="zh-CN"/>
        </w:rPr>
        <w:t>。</w:t>
      </w:r>
      <w:r>
        <w:rPr>
          <w:rFonts w:hint="eastAsia"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以案促改</w:t>
      </w:r>
      <w:r>
        <w:rPr>
          <w:rFonts w:hint="eastAsia"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扎实推进，反腐败斗争压倒性胜利巩固拓展，“敢转争”实践活动持续深化，政治环境不断优化，连续6年获得市党风廉政建设责任制先进单位。</w:t>
      </w:r>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color w:val="auto"/>
          <w:spacing w:val="0"/>
          <w:kern w:val="2"/>
          <w:sz w:val="32"/>
          <w:szCs w:val="32"/>
          <w:highlight w:val="none"/>
        </w:rPr>
        <w:t>特别是面对突如其来的新冠肺炎疫情，在中央和省、市的坚强领导下，区委区政府坚持外防输入、内防反弹、人物同防，带领全区人民联防联控、群防群治，筑牢了疫情防控的坚固防线，有效保障了全区人民生命安全，展现了伟大抗疫精神的卫滨风采，被授予河南省抗击新冠肺炎疫情先进集体。</w:t>
      </w:r>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bCs/>
          <w:color w:val="auto"/>
          <w:spacing w:val="0"/>
          <w:sz w:val="32"/>
          <w:szCs w:val="32"/>
          <w:highlight w:val="none"/>
        </w:rPr>
      </w:pPr>
      <w:r>
        <w:rPr>
          <w:rFonts w:hint="default" w:ascii="Times New Roman" w:hAnsi="Times New Roman" w:eastAsia="仿宋_GB2312" w:cs="Times New Roman"/>
          <w:bCs/>
          <w:color w:val="auto"/>
          <w:spacing w:val="0"/>
          <w:sz w:val="32"/>
          <w:szCs w:val="32"/>
          <w:highlight w:val="none"/>
        </w:rPr>
        <w:t>五年来，我区坚持稳中求进工作总基调，以党建高质量推动发展高质量，转型发展成效显著、形象品质提升明显，发展后劲蓄积壮大，生态环境持续改善，全区经济社会发展跃上了新起点，为开启现代化卫滨建设新征程奠定了坚实基础。</w:t>
      </w:r>
      <w:r>
        <w:rPr>
          <w:rFonts w:hint="default" w:ascii="Times New Roman" w:hAnsi="Times New Roman" w:eastAsia="仿宋_GB2312" w:cs="Times New Roman"/>
          <w:b/>
          <w:bCs/>
          <w:color w:val="auto"/>
          <w:spacing w:val="0"/>
          <w:sz w:val="32"/>
          <w:szCs w:val="32"/>
          <w:highlight w:val="none"/>
        </w:rPr>
        <w:t>坚持党建引领，不断凝心聚力</w:t>
      </w:r>
      <w:r>
        <w:rPr>
          <w:rFonts w:hint="default" w:ascii="Times New Roman" w:hAnsi="Times New Roman" w:eastAsia="仿宋_GB2312" w:cs="Times New Roman"/>
          <w:bCs/>
          <w:color w:val="auto"/>
          <w:spacing w:val="0"/>
          <w:sz w:val="32"/>
          <w:szCs w:val="32"/>
          <w:highlight w:val="none"/>
        </w:rPr>
        <w:t>。始终用党的最新理论成果武装头脑，从习近平新时代中国特色社会主义思想中寻找方法，提升党组织的领导力、引领力、号召力和组织力，充分调动各方力量，发挥群众智慧，用心唱响主旋律，汇聚起攻坚克难的强大力量。</w:t>
      </w:r>
      <w:r>
        <w:rPr>
          <w:rFonts w:hint="default" w:ascii="Times New Roman" w:hAnsi="Times New Roman" w:eastAsia="仿宋_GB2312" w:cs="Times New Roman"/>
          <w:b/>
          <w:bCs/>
          <w:color w:val="auto"/>
          <w:spacing w:val="0"/>
          <w:sz w:val="32"/>
          <w:szCs w:val="32"/>
          <w:highlight w:val="none"/>
        </w:rPr>
        <w:t>坚持融入大局，抢抓发展机遇</w:t>
      </w:r>
      <w:r>
        <w:rPr>
          <w:rFonts w:hint="default" w:ascii="Times New Roman" w:hAnsi="Times New Roman" w:eastAsia="仿宋_GB2312" w:cs="Times New Roman"/>
          <w:bCs/>
          <w:color w:val="auto"/>
          <w:spacing w:val="0"/>
          <w:sz w:val="32"/>
          <w:szCs w:val="32"/>
          <w:highlight w:val="none"/>
        </w:rPr>
        <w:t>。无论是确定发展思路，还是提出西南部区域整体规划的重大布局，每一项重点工作推进，都坚持把全区放在全省、全市大背景下审视考量，认真研究政策，紧密结合实际，在创新中找出路，在实践中求发展。</w:t>
      </w:r>
      <w:r>
        <w:rPr>
          <w:rFonts w:hint="default" w:ascii="Times New Roman" w:hAnsi="Times New Roman" w:eastAsia="仿宋_GB2312" w:cs="Times New Roman"/>
          <w:b/>
          <w:bCs/>
          <w:color w:val="auto"/>
          <w:spacing w:val="0"/>
          <w:sz w:val="32"/>
          <w:szCs w:val="32"/>
          <w:highlight w:val="none"/>
        </w:rPr>
        <w:t>坚持项目带动，强化基础支撑</w:t>
      </w:r>
      <w:r>
        <w:rPr>
          <w:rFonts w:hint="default" w:ascii="Times New Roman" w:hAnsi="Times New Roman" w:eastAsia="仿宋_GB2312" w:cs="Times New Roman"/>
          <w:bCs/>
          <w:color w:val="auto"/>
          <w:spacing w:val="0"/>
          <w:sz w:val="32"/>
          <w:szCs w:val="32"/>
          <w:highlight w:val="none"/>
        </w:rPr>
        <w:t>。始终坚持“抓项目就是抓发展”的理念，以推进项目建设的实际成效比业绩、论英雄，持续完善县级领导分包服务重点项目、定期召开项目例会、现场观摩讲评等推进机制，加强对重点工作、重点项目公开承诺事项的督导考核，为高质量发展提供有力支持。</w:t>
      </w:r>
      <w:r>
        <w:rPr>
          <w:rFonts w:hint="default" w:ascii="Times New Roman" w:hAnsi="Times New Roman" w:eastAsia="仿宋_GB2312" w:cs="Times New Roman"/>
          <w:b/>
          <w:bCs/>
          <w:color w:val="auto"/>
          <w:spacing w:val="0"/>
          <w:sz w:val="32"/>
          <w:szCs w:val="32"/>
          <w:highlight w:val="none"/>
        </w:rPr>
        <w:t>坚持人民至上，做到民生优先</w:t>
      </w:r>
      <w:r>
        <w:rPr>
          <w:rFonts w:hint="default" w:ascii="Times New Roman" w:hAnsi="Times New Roman" w:eastAsia="仿宋_GB2312" w:cs="Times New Roman"/>
          <w:bCs/>
          <w:color w:val="auto"/>
          <w:spacing w:val="0"/>
          <w:sz w:val="32"/>
          <w:szCs w:val="32"/>
          <w:highlight w:val="none"/>
        </w:rPr>
        <w:t>。始终坚持以人民为中心的发展思想，着力解决一批群众急难愁盼的问题，抓实抓好脱贫攻坚任务、大力实施老旧小区改造提升、全力化解问题楼盘等，真正让群众有了切身的幸福感、获得感和安全感。</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9" w:name="_Toc27787"/>
      <w:bookmarkStart w:id="10" w:name="_Toc214"/>
      <w:bookmarkStart w:id="11" w:name="_Toc62382232"/>
      <w:r>
        <w:rPr>
          <w:rFonts w:hint="default" w:ascii="Times New Roman" w:hAnsi="Times New Roman" w:eastAsia="楷体_GB2312" w:cs="Times New Roman"/>
          <w:snapToGrid w:val="0"/>
          <w:color w:val="auto"/>
          <w:spacing w:val="0"/>
          <w:sz w:val="32"/>
          <w:szCs w:val="32"/>
          <w:highlight w:val="none"/>
        </w:rPr>
        <w:t>第二</w:t>
      </w:r>
      <w:bookmarkStart w:id="12" w:name="_Toc1064"/>
      <w:r>
        <w:rPr>
          <w:rFonts w:hint="default" w:ascii="Times New Roman" w:hAnsi="Times New Roman" w:eastAsia="楷体_GB2312" w:cs="Times New Roman"/>
          <w:snapToGrid w:val="0"/>
          <w:color w:val="auto"/>
          <w:spacing w:val="0"/>
          <w:sz w:val="32"/>
          <w:szCs w:val="32"/>
          <w:highlight w:val="none"/>
        </w:rPr>
        <w:t>节 新发展阶段面临的新机遇新挑战</w:t>
      </w:r>
      <w:bookmarkEnd w:id="9"/>
      <w:bookmarkEnd w:id="10"/>
      <w:bookmarkEnd w:id="11"/>
      <w:bookmarkEnd w:id="12"/>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当今世界正经历百年未有之大变局，国际力量对比深刻调整，新一轮科技革命和产业变革深入发展，新冠肺炎疫情影响广泛深远，世界进入动荡变革期。我国已进入新发展阶段，经济长期向好的基本面没有改变。纵观国内外发展环境，我区经济社会发展既面临难得的历史机遇，也面临诸多风险挑战。</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color w:val="auto"/>
          <w:spacing w:val="0"/>
          <w:sz w:val="32"/>
          <w:szCs w:val="32"/>
          <w:highlight w:val="none"/>
        </w:rPr>
        <w:t>从面临的机遇来看：融入新发展格局带来机遇。</w:t>
      </w:r>
      <w:r>
        <w:rPr>
          <w:rFonts w:hint="default" w:ascii="Times New Roman" w:hAnsi="Times New Roman" w:eastAsia="仿宋_GB2312" w:cs="Times New Roman"/>
          <w:bCs/>
          <w:color w:val="auto"/>
          <w:spacing w:val="0"/>
          <w:sz w:val="32"/>
          <w:szCs w:val="32"/>
          <w:highlight w:val="none"/>
        </w:rPr>
        <w:t>以国内大循环为主体、国内国际双循环相互促进的新发展格局是未来中国经济发展的战略基点和底层逻辑。我区人口密集，商贸市场体量较大，市场需求潜力大，公路铁路便捷，融入以国内大循环为主的新发展格局有利于进一步开拓消费市场，扩大有效投资；同时新发展格局势必带动新基建、新型城镇化和重大工程的快速推进，拉动经济新一轮增长。</w:t>
      </w:r>
      <w:r>
        <w:rPr>
          <w:rFonts w:hint="default" w:ascii="Times New Roman" w:hAnsi="Times New Roman" w:eastAsia="仿宋_GB2312" w:cs="Times New Roman"/>
          <w:b/>
          <w:color w:val="auto"/>
          <w:spacing w:val="0"/>
          <w:sz w:val="32"/>
          <w:szCs w:val="32"/>
          <w:highlight w:val="none"/>
        </w:rPr>
        <w:t>重大战略叠加带来机遇。</w:t>
      </w:r>
      <w:r>
        <w:rPr>
          <w:rFonts w:hint="eastAsia" w:eastAsia="仿宋_GB2312" w:cs="Times New Roman"/>
          <w:bCs/>
          <w:color w:val="auto"/>
          <w:spacing w:val="0"/>
          <w:sz w:val="32"/>
          <w:szCs w:val="32"/>
          <w:highlight w:val="none"/>
          <w:lang w:val="en-US" w:eastAsia="zh-CN"/>
        </w:rPr>
        <w:t>我</w:t>
      </w:r>
      <w:r>
        <w:rPr>
          <w:rFonts w:hint="default" w:ascii="Times New Roman" w:hAnsi="Times New Roman" w:eastAsia="仿宋_GB2312" w:cs="Times New Roman"/>
          <w:bCs/>
          <w:color w:val="auto"/>
          <w:spacing w:val="0"/>
          <w:sz w:val="32"/>
          <w:szCs w:val="32"/>
          <w:highlight w:val="none"/>
        </w:rPr>
        <w:t>区位于河南省黄河流域生态保护和高质量发展核心区</w:t>
      </w:r>
      <w:r>
        <w:rPr>
          <w:rFonts w:hint="eastAsia" w:eastAsia="仿宋_GB2312" w:cs="Times New Roman"/>
          <w:bCs/>
          <w:color w:val="auto"/>
          <w:spacing w:val="0"/>
          <w:sz w:val="32"/>
          <w:szCs w:val="32"/>
          <w:highlight w:val="none"/>
          <w:lang w:eastAsia="zh-CN"/>
        </w:rPr>
        <w:t>，</w:t>
      </w:r>
      <w:r>
        <w:rPr>
          <w:rFonts w:hint="default" w:ascii="Times New Roman" w:hAnsi="Times New Roman" w:eastAsia="仿宋_GB2312" w:cs="Times New Roman"/>
          <w:bCs/>
          <w:color w:val="auto"/>
          <w:spacing w:val="0"/>
          <w:sz w:val="32"/>
          <w:szCs w:val="32"/>
          <w:highlight w:val="none"/>
        </w:rPr>
        <w:t>郑新一体化空间格局的“两心”之一的新乡市中心城区以及“三带”之一的郑新高新技术产业带，省市大运河文化保护传承利用重点区域</w:t>
      </w:r>
      <w:r>
        <w:rPr>
          <w:rFonts w:hint="eastAsia" w:eastAsia="仿宋_GB2312" w:cs="Times New Roman"/>
          <w:bCs/>
          <w:color w:val="auto"/>
          <w:spacing w:val="0"/>
          <w:sz w:val="32"/>
          <w:szCs w:val="32"/>
          <w:highlight w:val="none"/>
          <w:lang w:eastAsia="zh-CN"/>
        </w:rPr>
        <w:t>。</w:t>
      </w:r>
      <w:r>
        <w:rPr>
          <w:rFonts w:hint="default" w:ascii="Times New Roman" w:hAnsi="Times New Roman" w:eastAsia="仿宋_GB2312" w:cs="Times New Roman"/>
          <w:bCs/>
          <w:color w:val="auto"/>
          <w:spacing w:val="0"/>
          <w:sz w:val="32"/>
          <w:szCs w:val="32"/>
          <w:highlight w:val="none"/>
        </w:rPr>
        <w:t>黄河流域生态保护和高质量发展、大运河文化保护传承利用、郑新一体化建设等国家和省市重大战略叠加</w:t>
      </w:r>
      <w:r>
        <w:rPr>
          <w:rFonts w:hint="eastAsia" w:eastAsia="仿宋_GB2312" w:cs="Times New Roman"/>
          <w:bCs/>
          <w:color w:val="auto"/>
          <w:spacing w:val="0"/>
          <w:sz w:val="32"/>
          <w:szCs w:val="32"/>
          <w:highlight w:val="none"/>
          <w:lang w:eastAsia="zh-CN"/>
        </w:rPr>
        <w:t>，</w:t>
      </w:r>
      <w:r>
        <w:rPr>
          <w:rFonts w:hint="default" w:ascii="Times New Roman" w:hAnsi="Times New Roman" w:eastAsia="仿宋_GB2312" w:cs="Times New Roman"/>
          <w:bCs/>
          <w:color w:val="auto"/>
          <w:spacing w:val="0"/>
          <w:sz w:val="32"/>
          <w:szCs w:val="32"/>
          <w:highlight w:val="none"/>
        </w:rPr>
        <w:t>有利于我区在生态保护、基础设施和产业体系等领域加快谋划实施重大基础工程项目，推动全区生态文明建设和高质量发展。</w:t>
      </w:r>
      <w:r>
        <w:rPr>
          <w:rFonts w:hint="default" w:ascii="Times New Roman" w:hAnsi="Times New Roman" w:eastAsia="仿宋_GB2312" w:cs="Times New Roman"/>
          <w:b/>
          <w:color w:val="auto"/>
          <w:spacing w:val="0"/>
          <w:sz w:val="32"/>
          <w:szCs w:val="32"/>
          <w:highlight w:val="none"/>
        </w:rPr>
        <w:t>与高新区管理体制套合带来机遇。</w:t>
      </w:r>
      <w:r>
        <w:rPr>
          <w:rFonts w:hint="default" w:ascii="Times New Roman" w:hAnsi="Times New Roman" w:eastAsia="仿宋_GB2312" w:cs="Times New Roman"/>
          <w:bCs/>
          <w:color w:val="auto"/>
          <w:spacing w:val="0"/>
          <w:sz w:val="32"/>
          <w:szCs w:val="32"/>
          <w:highlight w:val="none"/>
        </w:rPr>
        <w:t>“十四五”期间，新乡市将推进卫滨区与高新区套合、高端装备专业园区与高新区融合工作。我区作为郑洛新国家自主创新示范区新乡片区核心区之一，与高新区套合有利于抢抓创新驱动政策机遇，在产业培育壮大、创新要素集聚等方面与高新区协同发展，抢占未来发展制高点。</w:t>
      </w:r>
      <w:r>
        <w:rPr>
          <w:rFonts w:hint="default" w:ascii="Times New Roman" w:hAnsi="Times New Roman" w:eastAsia="仿宋_GB2312" w:cs="Times New Roman"/>
          <w:b/>
          <w:color w:val="auto"/>
          <w:spacing w:val="0"/>
          <w:sz w:val="32"/>
          <w:szCs w:val="32"/>
          <w:highlight w:val="none"/>
        </w:rPr>
        <w:t>铁西和南部区域整体开发建设带来机遇。</w:t>
      </w:r>
      <w:r>
        <w:rPr>
          <w:rFonts w:hint="default" w:ascii="Times New Roman" w:hAnsi="Times New Roman" w:eastAsia="仿宋_GB2312" w:cs="Times New Roman"/>
          <w:bCs/>
          <w:color w:val="auto"/>
          <w:spacing w:val="0"/>
          <w:sz w:val="32"/>
          <w:szCs w:val="32"/>
          <w:highlight w:val="none"/>
        </w:rPr>
        <w:t>“十四五”期间新乡市将大力推进铁西区域和南部区域整体开发，飞机场、火葬场、植物园迁建等重大布局，将进一步拓展我区城市发展空间，突出城市面貌和功能配套等优势，有效缓解土地等要素制约，为全区经济社会发展提供良好的发展环境和强劲动力。</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bCs/>
          <w:color w:val="auto"/>
          <w:spacing w:val="0"/>
          <w:sz w:val="32"/>
          <w:szCs w:val="32"/>
          <w:highlight w:val="none"/>
        </w:rPr>
      </w:pPr>
      <w:r>
        <w:rPr>
          <w:rFonts w:hint="default" w:ascii="Times New Roman" w:hAnsi="Times New Roman" w:eastAsia="仿宋_GB2312" w:cs="Times New Roman"/>
          <w:b/>
          <w:color w:val="auto"/>
          <w:spacing w:val="0"/>
          <w:sz w:val="32"/>
          <w:szCs w:val="32"/>
          <w:highlight w:val="none"/>
        </w:rPr>
        <w:t>从面临的挑战来看：发展动能转换滞后。</w:t>
      </w:r>
      <w:r>
        <w:rPr>
          <w:rFonts w:hint="default" w:ascii="Times New Roman" w:hAnsi="Times New Roman" w:eastAsia="仿宋_GB2312" w:cs="Times New Roman"/>
          <w:color w:val="auto"/>
          <w:spacing w:val="0"/>
          <w:kern w:val="2"/>
          <w:sz w:val="32"/>
          <w:szCs w:val="32"/>
          <w:highlight w:val="none"/>
        </w:rPr>
        <w:t>区域经济总量偏小，建设用地指标约束矛盾突出，重点项目落地周期较长；作为黄河流域生态保护和高质量发展的重要区域，我区面临的生态环境保护压力将持续加大；主导产业支撑能力不强，新兴产业发展缓慢，主要经济指标增长乏力，加之外部不确定性不稳定性因素增多，稳增长保态势仍将是“十四五”时期的主旋律。</w:t>
      </w:r>
      <w:r>
        <w:rPr>
          <w:rFonts w:hint="default" w:ascii="Times New Roman" w:hAnsi="Times New Roman" w:eastAsia="仿宋_GB2312" w:cs="Times New Roman"/>
          <w:b/>
          <w:bCs/>
          <w:color w:val="auto"/>
          <w:spacing w:val="0"/>
          <w:kern w:val="2"/>
          <w:sz w:val="32"/>
          <w:szCs w:val="32"/>
          <w:highlight w:val="none"/>
        </w:rPr>
        <w:t>竞争压力明显增大。</w:t>
      </w:r>
      <w:r>
        <w:rPr>
          <w:rFonts w:hint="default" w:ascii="Times New Roman" w:hAnsi="Times New Roman" w:eastAsia="仿宋_GB2312" w:cs="Times New Roman"/>
          <w:color w:val="auto"/>
          <w:spacing w:val="0"/>
          <w:kern w:val="2"/>
          <w:sz w:val="32"/>
          <w:szCs w:val="32"/>
          <w:highlight w:val="none"/>
        </w:rPr>
        <w:t>当前，发达国家与我国产业结构的关系由互补为主向互补与竞争替代转变，新兴经济体对我国劳动密集型产业也形成了明显挤压，国内各地为实现新常态下新发展，纷纷谋划布局新产业、新业态，竞争态势白热化。此外，兄弟县区竞争激烈，</w:t>
      </w:r>
      <w:r>
        <w:rPr>
          <w:rFonts w:hint="default" w:ascii="Times New Roman" w:hAnsi="Times New Roman" w:eastAsia="仿宋_GB2312" w:cs="Times New Roman"/>
          <w:snapToGrid w:val="0"/>
          <w:color w:val="auto"/>
          <w:spacing w:val="0"/>
          <w:kern w:val="0"/>
          <w:sz w:val="32"/>
          <w:szCs w:val="32"/>
          <w:highlight w:val="none"/>
        </w:rPr>
        <w:t>我区</w:t>
      </w:r>
      <w:r>
        <w:rPr>
          <w:rFonts w:hint="default" w:ascii="Times New Roman" w:hAnsi="Times New Roman" w:eastAsia="仿宋_GB2312" w:cs="Times New Roman"/>
          <w:b w:val="0"/>
          <w:i w:val="0"/>
          <w:snapToGrid/>
          <w:color w:val="auto"/>
          <w:spacing w:val="0"/>
          <w:sz w:val="32"/>
          <w:szCs w:val="32"/>
          <w:highlight w:val="none"/>
          <w:shd w:val="clear" w:color="auto" w:fill="FFFFFF"/>
          <w:lang w:eastAsia="zh-CN"/>
        </w:rPr>
        <w:t>城市更新速度慢，</w:t>
      </w:r>
      <w:r>
        <w:rPr>
          <w:rFonts w:hint="default" w:ascii="Times New Roman" w:hAnsi="Times New Roman" w:eastAsia="仿宋_GB2312" w:cs="Times New Roman"/>
          <w:snapToGrid w:val="0"/>
          <w:color w:val="auto"/>
          <w:spacing w:val="0"/>
          <w:kern w:val="0"/>
          <w:sz w:val="32"/>
          <w:szCs w:val="32"/>
          <w:highlight w:val="none"/>
        </w:rPr>
        <w:t>基础设施</w:t>
      </w:r>
      <w:r>
        <w:rPr>
          <w:rFonts w:hint="default" w:ascii="Times New Roman" w:hAnsi="Times New Roman" w:eastAsia="仿宋_GB2312" w:cs="Times New Roman"/>
          <w:snapToGrid w:val="0"/>
          <w:color w:val="auto"/>
          <w:spacing w:val="0"/>
          <w:kern w:val="0"/>
          <w:sz w:val="32"/>
          <w:szCs w:val="32"/>
          <w:highlight w:val="none"/>
          <w:lang w:val="en-US" w:eastAsia="zh-CN"/>
        </w:rPr>
        <w:t>建设</w:t>
      </w:r>
      <w:r>
        <w:rPr>
          <w:rFonts w:hint="default" w:ascii="Times New Roman" w:hAnsi="Times New Roman" w:eastAsia="仿宋_GB2312" w:cs="Times New Roman"/>
          <w:snapToGrid w:val="0"/>
          <w:color w:val="auto"/>
          <w:spacing w:val="0"/>
          <w:kern w:val="0"/>
          <w:sz w:val="32"/>
          <w:szCs w:val="32"/>
          <w:highlight w:val="none"/>
        </w:rPr>
        <w:t>相对滞后</w:t>
      </w:r>
      <w:r>
        <w:rPr>
          <w:rFonts w:hint="default" w:ascii="Times New Roman" w:hAnsi="Times New Roman" w:eastAsia="仿宋_GB2312" w:cs="Times New Roman"/>
          <w:color w:val="auto"/>
          <w:spacing w:val="0"/>
          <w:kern w:val="2"/>
          <w:sz w:val="32"/>
          <w:szCs w:val="32"/>
          <w:highlight w:val="none"/>
        </w:rPr>
        <w:t>，公共服务</w:t>
      </w:r>
      <w:r>
        <w:rPr>
          <w:rFonts w:hint="default" w:ascii="Times New Roman" w:hAnsi="Times New Roman" w:eastAsia="仿宋_GB2312" w:cs="Times New Roman"/>
          <w:bCs/>
          <w:color w:val="auto"/>
          <w:spacing w:val="0"/>
          <w:sz w:val="32"/>
          <w:szCs w:val="32"/>
          <w:highlight w:val="none"/>
        </w:rPr>
        <w:t>供给不足，创新创业人才、高层次人才缺乏，实现经济高质量发展任重道远。</w:t>
      </w:r>
      <w:r>
        <w:rPr>
          <w:rFonts w:hint="default" w:ascii="Times New Roman" w:hAnsi="Times New Roman" w:eastAsia="仿宋_GB2312" w:cs="Times New Roman"/>
          <w:b/>
          <w:color w:val="auto"/>
          <w:spacing w:val="0"/>
          <w:sz w:val="32"/>
          <w:szCs w:val="32"/>
          <w:highlight w:val="none"/>
        </w:rPr>
        <w:t>社会民生短板凸显。</w:t>
      </w:r>
      <w:r>
        <w:rPr>
          <w:rFonts w:hint="default" w:ascii="Times New Roman" w:hAnsi="Times New Roman" w:eastAsia="仿宋_GB2312" w:cs="Times New Roman"/>
          <w:bCs/>
          <w:color w:val="auto"/>
          <w:spacing w:val="0"/>
          <w:sz w:val="32"/>
          <w:szCs w:val="32"/>
          <w:highlight w:val="none"/>
        </w:rPr>
        <w:t>“十四五”期间，我国社会结构、社会组织、社会利益格局将发生深刻变化，内生性社会矛盾进入易发期。我区正处在转型发展的关键时期，随着铁西区域和南部区域整体开发建设的加快推进，土地征收、劳资纠纷等问题引发的群体性矛盾将呈上升趋势，居民对就业、医疗、教育、住房等社会事业和公共服务需求也将提出更高的要求，</w:t>
      </w:r>
      <w:r>
        <w:rPr>
          <w:rFonts w:hint="default" w:ascii="Times New Roman" w:hAnsi="Times New Roman" w:eastAsia="仿宋_GB2312" w:cs="Times New Roman"/>
          <w:color w:val="auto"/>
          <w:spacing w:val="0"/>
          <w:kern w:val="2"/>
          <w:sz w:val="32"/>
          <w:szCs w:val="32"/>
          <w:highlight w:val="none"/>
        </w:rPr>
        <w:t>这将为我区“十四五”时期强化运用新发展理念、强化社会管理创新、推动经济社会发展的能力提出了新挑战。生态</w:t>
      </w:r>
      <w:r>
        <w:rPr>
          <w:rFonts w:hint="default" w:ascii="Times New Roman" w:hAnsi="Times New Roman" w:eastAsia="仿宋_GB2312" w:cs="Times New Roman"/>
          <w:bCs/>
          <w:color w:val="auto"/>
          <w:spacing w:val="0"/>
          <w:sz w:val="32"/>
          <w:szCs w:val="32"/>
          <w:highlight w:val="none"/>
        </w:rPr>
        <w:t>环保、生产安全、公共服务、防灾减灾等领域依然存在短板，问题楼盘、非法集资等引发的矛盾仍需高度重视。</w:t>
      </w:r>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bCs/>
          <w:color w:val="auto"/>
          <w:spacing w:val="0"/>
          <w:sz w:val="32"/>
          <w:szCs w:val="32"/>
          <w:highlight w:val="none"/>
        </w:rPr>
      </w:pPr>
      <w:r>
        <w:rPr>
          <w:rFonts w:hint="default" w:ascii="Times New Roman" w:hAnsi="Times New Roman" w:eastAsia="仿宋_GB2312" w:cs="Times New Roman"/>
          <w:bCs/>
          <w:color w:val="auto"/>
          <w:spacing w:val="0"/>
          <w:sz w:val="32"/>
          <w:szCs w:val="32"/>
          <w:highlight w:val="none"/>
        </w:rPr>
        <w:t>综合判断，我区正处于战略叠加的机遇期、融入新发展格局的关键期、区域竞相发展的比拼期、经济蓄势跃升的突破期。必须坚持发展第一要务不动摇，锚定现代化建设目标不放松，增强机遇意识和风险意识，坚定必胜信心，树立底线思维，凝聚奋进力量，厚植竞争优势，在危机中育先机、于变局中开新局，奋力开拓现代化卫滨建设新局面。</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3" w:name="_Toc139683462"/>
      <w:bookmarkStart w:id="14" w:name="_Toc424543801"/>
      <w:bookmarkStart w:id="15" w:name="_Toc436955972"/>
      <w:bookmarkStart w:id="16" w:name="_Toc55225176"/>
      <w:bookmarkStart w:id="17" w:name="_Toc15441"/>
      <w:bookmarkStart w:id="18" w:name="_Toc24232"/>
      <w:r>
        <w:rPr>
          <w:rFonts w:hint="default" w:ascii="Times New Roman" w:hAnsi="Times New Roman" w:eastAsia="楷体_GB2312" w:cs="Times New Roman"/>
          <w:snapToGrid w:val="0"/>
          <w:color w:val="auto"/>
          <w:spacing w:val="0"/>
          <w:sz w:val="32"/>
          <w:szCs w:val="32"/>
          <w:highlight w:val="none"/>
        </w:rPr>
        <w:t>第三节</w:t>
      </w:r>
      <w:bookmarkEnd w:id="13"/>
      <w:bookmarkEnd w:id="14"/>
      <w:bookmarkEnd w:id="15"/>
      <w:r>
        <w:rPr>
          <w:rFonts w:hint="default" w:ascii="Times New Roman" w:hAnsi="Times New Roman" w:eastAsia="楷体_GB2312" w:cs="Times New Roman"/>
          <w:snapToGrid w:val="0"/>
          <w:color w:val="auto"/>
          <w:spacing w:val="0"/>
          <w:sz w:val="32"/>
          <w:szCs w:val="32"/>
          <w:highlight w:val="none"/>
        </w:rPr>
        <w:t xml:space="preserve"> 指导</w:t>
      </w:r>
      <w:bookmarkEnd w:id="16"/>
      <w:r>
        <w:rPr>
          <w:rFonts w:hint="default" w:ascii="Times New Roman" w:hAnsi="Times New Roman" w:eastAsia="楷体_GB2312" w:cs="Times New Roman"/>
          <w:snapToGrid w:val="0"/>
          <w:color w:val="auto"/>
          <w:spacing w:val="0"/>
          <w:sz w:val="32"/>
          <w:szCs w:val="32"/>
          <w:highlight w:val="none"/>
        </w:rPr>
        <w:t>方针</w:t>
      </w:r>
      <w:bookmarkEnd w:id="17"/>
      <w:bookmarkEnd w:id="18"/>
    </w:p>
    <w:p>
      <w:pPr>
        <w:pageBreakBefore w:val="0"/>
        <w:kinsoku/>
        <w:wordWrap/>
        <w:overflowPunct/>
        <w:topLinePunct w:val="0"/>
        <w:autoSpaceDE/>
        <w:autoSpaceDN/>
        <w:bidi w:val="0"/>
        <w:spacing w:after="0" w:line="240" w:lineRule="auto"/>
        <w:ind w:firstLine="640" w:firstLineChars="200"/>
        <w:jc w:val="both"/>
        <w:textAlignment w:val="auto"/>
        <w:rPr>
          <w:rFonts w:hint="default" w:ascii="Times New Roman" w:hAnsi="Times New Roman" w:eastAsia="仿宋_GB2312" w:cs="Times New Roman"/>
          <w:color w:val="auto"/>
          <w:spacing w:val="0"/>
          <w:sz w:val="32"/>
          <w:szCs w:val="32"/>
          <w:highlight w:val="none"/>
          <w:lang w:bidi="ar"/>
        </w:rPr>
      </w:pPr>
      <w:r>
        <w:rPr>
          <w:rFonts w:hint="default" w:ascii="Times New Roman" w:hAnsi="Times New Roman" w:eastAsia="仿宋_GB2312" w:cs="Times New Roman"/>
          <w:color w:val="auto"/>
          <w:spacing w:val="0"/>
          <w:sz w:val="32"/>
          <w:szCs w:val="32"/>
          <w:highlight w:val="none"/>
        </w:rPr>
        <w:t>“十四五”时期</w:t>
      </w:r>
      <w:r>
        <w:rPr>
          <w:rFonts w:hint="default" w:ascii="Times New Roman" w:hAnsi="Times New Roman" w:eastAsia="仿宋_GB2312" w:cs="Times New Roman"/>
          <w:color w:val="auto"/>
          <w:spacing w:val="0"/>
          <w:sz w:val="32"/>
          <w:szCs w:val="32"/>
          <w:highlight w:val="none"/>
          <w:lang w:bidi="ar"/>
        </w:rPr>
        <w:t>，我区经济社会发展的指导思想是：</w:t>
      </w:r>
      <w:r>
        <w:rPr>
          <w:rFonts w:hint="default" w:ascii="Times New Roman" w:hAnsi="Times New Roman" w:eastAsia="黑体" w:cs="Times New Roman"/>
          <w:color w:val="auto"/>
          <w:spacing w:val="0"/>
          <w:sz w:val="32"/>
          <w:szCs w:val="32"/>
          <w:highlight w:val="none"/>
        </w:rPr>
        <w:t>高举中国特色社会主义伟大旗帜，全面贯彻党的十九大和十九届二中、三中、四中、五中全会精神，坚持以马克思列宁主义、毛泽东思想、邓小平理论、“三个代表”重要思想、科学发展观、习近平新时代中国特色社会主义思想为指导，深入学习贯彻习近平总书记关于河南工作的重要讲话和指示批示精神，统筹推进“五位一体”总体布局，协调推进“四个全面”战略布局，坚定不移贯彻新发展理念，坚持稳中求进工作总基调，以推动高质量发展为主题，以深化供给侧结构性改革为主线，以改革开放创新为根本动力，以满足人民日益增长的美好生活需要为根本目的，统筹发展和安全，加快建设现代化经济体系，积极融入新发展格局，着力推进治理体系和治理能力现代化，以党建高质量推动发展高质量，确保社会主义现代化建设新征程开好局起好步，整体工作进入全省城区第一方阵，奋力谱写新时代中原更加出彩的卫滨绚丽篇章。</w:t>
      </w:r>
    </w:p>
    <w:p>
      <w:pPr>
        <w:pageBreakBefore w:val="0"/>
        <w:widowControl w:val="0"/>
        <w:kinsoku/>
        <w:wordWrap/>
        <w:overflowPunct/>
        <w:topLinePunct w:val="0"/>
        <w:autoSpaceDE/>
        <w:autoSpaceDN/>
        <w:bidi w:val="0"/>
        <w:spacing w:after="0" w:line="240" w:lineRule="auto"/>
        <w:ind w:firstLine="640"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推动“十四五”时期经济社会发展，实现经济行稳致远、社会安定和谐，要深刻领会和牢牢把握“七个坚持”的基本要求。</w:t>
      </w:r>
    </w:p>
    <w:p>
      <w:pPr>
        <w:pageBreakBefore w:val="0"/>
        <w:widowControl w:val="0"/>
        <w:kinsoku/>
        <w:wordWrap/>
        <w:overflowPunct/>
        <w:topLinePunct w:val="0"/>
        <w:autoSpaceDE/>
        <w:autoSpaceDN/>
        <w:bidi w:val="0"/>
        <w:spacing w:after="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——坚持党的全面领导。</w:t>
      </w:r>
      <w:r>
        <w:rPr>
          <w:rFonts w:hint="default" w:ascii="Times New Roman" w:hAnsi="Times New Roman" w:eastAsia="仿宋_GB2312" w:cs="Times New Roman"/>
          <w:color w:val="auto"/>
          <w:spacing w:val="0"/>
          <w:sz w:val="32"/>
          <w:szCs w:val="32"/>
          <w:highlight w:val="none"/>
        </w:rPr>
        <w:t>坚持和完善党领导经济社会发展的体制机制，确保党始终总揽全局、协调各方，不断提高贯彻新发展理念、融入新发展格局能力和水平，为实现高质量发展提供根本保证。</w:t>
      </w:r>
    </w:p>
    <w:p>
      <w:pPr>
        <w:pageBreakBefore w:val="0"/>
        <w:widowControl w:val="0"/>
        <w:kinsoku/>
        <w:wordWrap/>
        <w:overflowPunct/>
        <w:topLinePunct w:val="0"/>
        <w:autoSpaceDE/>
        <w:autoSpaceDN/>
        <w:bidi w:val="0"/>
        <w:spacing w:after="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——坚持以人民为中心。</w:t>
      </w:r>
      <w:r>
        <w:rPr>
          <w:rFonts w:hint="default" w:ascii="Times New Roman" w:hAnsi="Times New Roman" w:eastAsia="仿宋_GB2312" w:cs="Times New Roman"/>
          <w:color w:val="auto"/>
          <w:spacing w:val="0"/>
          <w:sz w:val="32"/>
          <w:szCs w:val="32"/>
          <w:highlight w:val="none"/>
        </w:rPr>
        <w:t>坚持人民主体地位，坚持共同富裕方向，始终做到发展为了人民、发展依靠人民、发展成果由人民共享，持续提升民生保障水平，维护人民根本利益，用心用情用力办好人民所需所急所盼的民生实事，不断实现人民对美好生活的向往。</w:t>
      </w:r>
    </w:p>
    <w:p>
      <w:pPr>
        <w:pageBreakBefore w:val="0"/>
        <w:widowControl w:val="0"/>
        <w:kinsoku/>
        <w:wordWrap/>
        <w:overflowPunct/>
        <w:topLinePunct w:val="0"/>
        <w:autoSpaceDE/>
        <w:autoSpaceDN/>
        <w:bidi w:val="0"/>
        <w:spacing w:after="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——坚持新发展理念。</w:t>
      </w:r>
      <w:r>
        <w:rPr>
          <w:rFonts w:hint="default" w:ascii="Times New Roman" w:hAnsi="Times New Roman" w:eastAsia="仿宋_GB2312" w:cs="Times New Roman"/>
          <w:color w:val="auto"/>
          <w:spacing w:val="0"/>
          <w:sz w:val="32"/>
          <w:szCs w:val="32"/>
          <w:highlight w:val="none"/>
        </w:rPr>
        <w:t>把新发展理念贯穿发展全过程和各领域，发挥科技创新驱动作用，切实转变发展方式，加快构建现代产业体系，推动卫滨在融入新发展格局中展现新作为，实现更高质量、更有效率、更加公平、更可持续、更为安全的发展。</w:t>
      </w:r>
    </w:p>
    <w:p>
      <w:pPr>
        <w:pageBreakBefore w:val="0"/>
        <w:widowControl w:val="0"/>
        <w:kinsoku/>
        <w:wordWrap/>
        <w:overflowPunct/>
        <w:topLinePunct w:val="0"/>
        <w:autoSpaceDE/>
        <w:autoSpaceDN/>
        <w:bidi w:val="0"/>
        <w:spacing w:after="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——坚持改革开放创新。</w:t>
      </w:r>
      <w:r>
        <w:rPr>
          <w:rFonts w:hint="default" w:ascii="Times New Roman" w:hAnsi="Times New Roman" w:eastAsia="仿宋_GB2312" w:cs="Times New Roman"/>
          <w:color w:val="auto"/>
          <w:spacing w:val="0"/>
          <w:sz w:val="32"/>
          <w:szCs w:val="32"/>
          <w:highlight w:val="none"/>
        </w:rPr>
        <w:t>破除制约高质量发展、高品质生活的体制机制障碍，加强治理体系和治理能力现代化建设，持续优化营商环境，加快形成全方位、多层次、宽领域的开放格局，持续增强发展动力和活力。</w:t>
      </w:r>
    </w:p>
    <w:p>
      <w:pPr>
        <w:pageBreakBefore w:val="0"/>
        <w:widowControl w:val="0"/>
        <w:kinsoku/>
        <w:wordWrap/>
        <w:overflowPunct/>
        <w:topLinePunct w:val="0"/>
        <w:autoSpaceDE/>
        <w:autoSpaceDN/>
        <w:bidi w:val="0"/>
        <w:spacing w:after="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——坚持系统观念。</w:t>
      </w:r>
      <w:r>
        <w:rPr>
          <w:rFonts w:hint="default" w:ascii="Times New Roman" w:hAnsi="Times New Roman" w:eastAsia="仿宋_GB2312" w:cs="Times New Roman"/>
          <w:color w:val="auto"/>
          <w:spacing w:val="0"/>
          <w:sz w:val="32"/>
          <w:szCs w:val="32"/>
          <w:highlight w:val="none"/>
        </w:rPr>
        <w:t>主动把卫滨区放在全省、全市的大布局中谋划推动，加强前瞻性思考、全局性谋划、整体性推进，着力固根基、扬优势、补短板、强弱项，注重防范化解重大风险挑战，实现发展质量、结构、规模、速度、效益、安全相统一。</w:t>
      </w:r>
    </w:p>
    <w:p>
      <w:pPr>
        <w:pageBreakBefore w:val="0"/>
        <w:widowControl w:val="0"/>
        <w:kinsoku/>
        <w:wordWrap/>
        <w:overflowPunct/>
        <w:topLinePunct w:val="0"/>
        <w:autoSpaceDE/>
        <w:autoSpaceDN/>
        <w:bidi w:val="0"/>
        <w:spacing w:after="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——坚持项目支撑。</w:t>
      </w:r>
      <w:r>
        <w:rPr>
          <w:rFonts w:hint="default" w:ascii="Times New Roman" w:hAnsi="Times New Roman" w:eastAsia="仿宋_GB2312" w:cs="Times New Roman"/>
          <w:color w:val="auto"/>
          <w:spacing w:val="0"/>
          <w:sz w:val="32"/>
          <w:szCs w:val="32"/>
          <w:highlight w:val="none"/>
        </w:rPr>
        <w:t>突出项目建设这一总抓手，切实将经济社会发展目标细化落实到具体项目上，围绕产业发展、科技创新、基础设施、乡村振兴、社会事业等领域谋划实施一批投资规模大、科技含量高、示范带动作用强的重大项目，激发投资活力、优化投资结构，持续增强我区发展优势。</w:t>
      </w:r>
    </w:p>
    <w:p>
      <w:pPr>
        <w:pageBreakBefore w:val="0"/>
        <w:widowControl w:val="0"/>
        <w:kinsoku/>
        <w:wordWrap/>
        <w:overflowPunct/>
        <w:topLinePunct w:val="0"/>
        <w:autoSpaceDE/>
        <w:autoSpaceDN/>
        <w:bidi w:val="0"/>
        <w:spacing w:after="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——坚持求真务实。</w:t>
      </w:r>
      <w:r>
        <w:rPr>
          <w:rFonts w:hint="default" w:ascii="Times New Roman" w:hAnsi="Times New Roman" w:eastAsia="仿宋_GB2312" w:cs="Times New Roman"/>
          <w:color w:val="auto"/>
          <w:spacing w:val="0"/>
          <w:sz w:val="32"/>
          <w:szCs w:val="32"/>
          <w:highlight w:val="none"/>
        </w:rPr>
        <w:t>树牢干的导向，多干打基础利长远、积势蓄势谋势的事，多干抓机遇用机遇、应变局开新局的事，多干解民忧顺民意、惠民生暖民心的事，久久为功、善作善成、争创一流，共绘卫滨发展美好蓝图。</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9" w:name="_Toc54886248"/>
      <w:bookmarkStart w:id="20" w:name="_Toc18021"/>
      <w:bookmarkStart w:id="21" w:name="_Toc23144"/>
      <w:r>
        <w:rPr>
          <w:rFonts w:hint="default" w:ascii="Times New Roman" w:hAnsi="Times New Roman" w:eastAsia="楷体_GB2312" w:cs="Times New Roman"/>
          <w:snapToGrid w:val="0"/>
          <w:color w:val="auto"/>
          <w:spacing w:val="0"/>
          <w:sz w:val="32"/>
          <w:szCs w:val="32"/>
          <w:highlight w:val="none"/>
        </w:rPr>
        <w:t>第四节 战略重点</w:t>
      </w:r>
      <w:bookmarkEnd w:id="19"/>
      <w:bookmarkEnd w:id="20"/>
      <w:bookmarkEnd w:id="21"/>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color w:val="auto"/>
          <w:spacing w:val="0"/>
          <w:kern w:val="2"/>
          <w:sz w:val="32"/>
          <w:szCs w:val="32"/>
          <w:highlight w:val="none"/>
        </w:rPr>
        <w:t>“十四五”期间，全区大力实施智造强区、服务兴区、生态美区、民生惠区“四大战略”，倾力打造高端装备专业园区先进制造平台、特色商业区中心商务平台、铁西区域生态康养平台、南部区域智慧创新平台“四大平台”，加快发展高端装备制造、铜材料深加工、楼宇总部经济、现代商贸物流“四大产业”，着力建设活力卫滨、繁荣卫滨、美丽卫滨、幸福卫滨“四个卫滨”，奋力谱写新时代中原更加出彩的卫滨绚丽篇章。</w:t>
      </w:r>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color w:val="auto"/>
          <w:spacing w:val="0"/>
          <w:kern w:val="2"/>
          <w:sz w:val="32"/>
          <w:szCs w:val="32"/>
          <w:highlight w:val="none"/>
        </w:rPr>
        <w:t>——大力实施“四大战略”</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智造强区。</w:t>
      </w:r>
      <w:r>
        <w:rPr>
          <w:rFonts w:hint="default" w:ascii="Times New Roman" w:hAnsi="Times New Roman" w:eastAsia="仿宋_GB2312" w:cs="Times New Roman"/>
          <w:color w:val="auto"/>
          <w:spacing w:val="0"/>
          <w:kern w:val="2"/>
          <w:sz w:val="32"/>
          <w:szCs w:val="32"/>
          <w:highlight w:val="none"/>
        </w:rPr>
        <w:t>坚持把发展经济着力点放在实体经济上，把牢先进制造业主攻方向，推进高端装备专业园区建设，推进在高新区套合拓展区域落地战略新兴产业的关键布局，强化创新驱动，完善产业链条，做大产业集群，推动装备制造、铜产品深加工等产业高端化、智能化、数字化发展，形成全区经济高质量发展的“主引擎”。</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服务兴区。</w:t>
      </w:r>
      <w:r>
        <w:rPr>
          <w:rFonts w:hint="default" w:ascii="Times New Roman" w:hAnsi="Times New Roman" w:eastAsia="仿宋_GB2312" w:cs="Times New Roman"/>
          <w:color w:val="auto"/>
          <w:spacing w:val="0"/>
          <w:kern w:val="2"/>
          <w:sz w:val="32"/>
          <w:szCs w:val="32"/>
          <w:highlight w:val="none"/>
        </w:rPr>
        <w:t>着眼畅通国内大循环和消费升级，推动生活性服务业向高品质和多样化升级，引入电商消费、体验式消费、定制消费、智能消费、夜间消费等新模式，打造城市生活消费新时尚；加强楼宇经济发展，推动金融服务等生产性服务业集聚，加快文旅融合产业发展，提升产业发展竞争力。</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生态美区。</w:t>
      </w:r>
      <w:r>
        <w:rPr>
          <w:rFonts w:hint="default" w:ascii="Times New Roman" w:hAnsi="Times New Roman" w:eastAsia="仿宋_GB2312" w:cs="Times New Roman"/>
          <w:color w:val="auto"/>
          <w:spacing w:val="0"/>
          <w:kern w:val="2"/>
          <w:sz w:val="32"/>
          <w:szCs w:val="32"/>
          <w:highlight w:val="none"/>
        </w:rPr>
        <w:t>抢抓黄河流域生态保护和高质量发展重大国家战略机遇，以铁西区域、南部区域、老城商业区、乡村人居环境提升为重点，持续改善区域空气、水环境质量，打造近郊环城绿色廊道，着力提升卫滨区生态宜居水平。</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民生惠区。</w:t>
      </w:r>
      <w:r>
        <w:rPr>
          <w:rFonts w:hint="default" w:ascii="Times New Roman" w:hAnsi="Times New Roman" w:eastAsia="仿宋_GB2312" w:cs="Times New Roman"/>
          <w:color w:val="auto"/>
          <w:spacing w:val="0"/>
          <w:kern w:val="2"/>
          <w:sz w:val="32"/>
          <w:szCs w:val="32"/>
          <w:highlight w:val="none"/>
        </w:rPr>
        <w:t>顺应人民群众过上美好生活的期盼，全力保障和改善民生，集中精力关注民生、集中力量改善民生，解决好群众最关心、最直接、最现实的利益问题，提供多样化服务，让改革发展的成果更多更公平地惠及群众。</w:t>
      </w:r>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color w:val="auto"/>
          <w:spacing w:val="0"/>
          <w:kern w:val="2"/>
          <w:sz w:val="32"/>
          <w:szCs w:val="32"/>
          <w:highlight w:val="none"/>
        </w:rPr>
        <w:t>——倾力打造“四大平台”</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高端装备专业园区先进制造平台。</w:t>
      </w:r>
      <w:r>
        <w:rPr>
          <w:rFonts w:hint="default" w:ascii="Times New Roman" w:hAnsi="Times New Roman" w:eastAsia="仿宋_GB2312" w:cs="Times New Roman"/>
          <w:color w:val="auto"/>
          <w:spacing w:val="0"/>
          <w:kern w:val="2"/>
          <w:sz w:val="32"/>
          <w:szCs w:val="32"/>
          <w:highlight w:val="none"/>
        </w:rPr>
        <w:t>发挥高端装备专业园区作为河南省智能装备产业园区、新乡市先进制造业专业园区、高新区“西区”的载体优势，拓展发展空间，完善配套设施，推进区中园建设，加快高端装备制造产业集群集约发展。</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特色商业区中心商务平台。</w:t>
      </w:r>
      <w:r>
        <w:rPr>
          <w:rFonts w:hint="default" w:ascii="Times New Roman" w:hAnsi="Times New Roman" w:eastAsia="仿宋_GB2312" w:cs="Times New Roman"/>
          <w:color w:val="auto"/>
          <w:spacing w:val="0"/>
          <w:kern w:val="2"/>
          <w:sz w:val="32"/>
          <w:szCs w:val="32"/>
          <w:highlight w:val="none"/>
        </w:rPr>
        <w:t>充分利用特色商业区现有优质商业资源，整合提升商务楼宇发展载体，大力引入高端服务业态，加快传统服务业转型升级。推动城市有机更新，加强配套基础设施建设，切实完善功能配套，提升公共服务水平。</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铁西区域生态康养平台。</w:t>
      </w:r>
      <w:r>
        <w:rPr>
          <w:rFonts w:hint="default" w:ascii="Times New Roman" w:hAnsi="Times New Roman" w:eastAsia="仿宋_GB2312" w:cs="Times New Roman"/>
          <w:color w:val="auto"/>
          <w:spacing w:val="0"/>
          <w:kern w:val="2"/>
          <w:sz w:val="32"/>
          <w:szCs w:val="32"/>
          <w:highlight w:val="none"/>
        </w:rPr>
        <w:t>围绕全市“东扩西提南融北治中优”战略，加快推动铁西区域军用机场迁建、市殡仪馆搬迁工作，完善基础设施和公共服务，推动卫源湖及景观设计建设，修复卫河生态水系，推进形成大运河文化观光带，建设宜居宜业宜游宜养的现代化城市综合功能区。</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南部区域智慧创新平台。</w:t>
      </w:r>
      <w:r>
        <w:rPr>
          <w:rFonts w:hint="default" w:ascii="Times New Roman" w:hAnsi="Times New Roman" w:eastAsia="仿宋_GB2312" w:cs="Times New Roman"/>
          <w:color w:val="auto"/>
          <w:spacing w:val="0"/>
          <w:kern w:val="2"/>
          <w:sz w:val="32"/>
          <w:szCs w:val="32"/>
          <w:highlight w:val="none"/>
        </w:rPr>
        <w:t>推进南部与高新区套合拓展区域产业承载能力建设，加快培育战略新兴产业，打造新的增长极。按照“一路一带一河”规划理念，推进贾太湖提升改造、夏荷公园扩建、植物园搬迁，统筹基础设施、经营性土地开发和公共设施一体化建设。</w:t>
      </w:r>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color w:val="auto"/>
          <w:spacing w:val="0"/>
          <w:kern w:val="2"/>
          <w:sz w:val="32"/>
          <w:szCs w:val="32"/>
          <w:highlight w:val="none"/>
        </w:rPr>
        <w:t>——加快发展“四大产业”</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高端装备制造。</w:t>
      </w:r>
      <w:r>
        <w:rPr>
          <w:rFonts w:hint="default" w:ascii="Times New Roman" w:hAnsi="Times New Roman" w:eastAsia="仿宋_GB2312" w:cs="Times New Roman"/>
          <w:color w:val="auto"/>
          <w:spacing w:val="0"/>
          <w:kern w:val="2"/>
          <w:sz w:val="32"/>
          <w:szCs w:val="32"/>
          <w:highlight w:val="none"/>
        </w:rPr>
        <w:t>围绕百亿产业集群发展目标，加快构建以智能隧道装备及后配套、智能机器人为主的产业体系，积极发展战略新兴产业，建设全国重要的智能隧道装备及后配套产业基地和中原地区重要的机器人产业基地。</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铜材料深加工。</w:t>
      </w:r>
      <w:r>
        <w:rPr>
          <w:rFonts w:hint="default" w:ascii="Times New Roman" w:hAnsi="Times New Roman" w:eastAsia="仿宋_GB2312" w:cs="Times New Roman"/>
          <w:color w:val="auto"/>
          <w:spacing w:val="0"/>
          <w:kern w:val="2"/>
          <w:sz w:val="32"/>
          <w:szCs w:val="32"/>
          <w:highlight w:val="none"/>
        </w:rPr>
        <w:t>坚持高端导向，加快引进发展高性能铜箔、覆铜板、积层板、电子级铜带等铜基新材料，开发上下游配套产业。加强技术研发，提高装备国产化率，促进区域铜材生产赶超先进水平，打造百亿产业集群。</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楼宇总部经济。</w:t>
      </w:r>
      <w:r>
        <w:rPr>
          <w:rFonts w:hint="default" w:ascii="Times New Roman" w:hAnsi="Times New Roman" w:eastAsia="仿宋_GB2312" w:cs="Times New Roman"/>
          <w:color w:val="auto"/>
          <w:spacing w:val="0"/>
          <w:kern w:val="2"/>
          <w:sz w:val="32"/>
          <w:szCs w:val="32"/>
          <w:highlight w:val="none"/>
        </w:rPr>
        <w:t>以提升发展质量为核心，发挥金融保险超市示范引领作用，推动商务办公、金融保险、生产服务等楼宇经济加快发展。完善楼宇总部经济政策体系，强化功能和服务提升，打造一批具有强大产业集聚力的楼宇经济新载体。</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现代商贸物流。</w:t>
      </w:r>
      <w:r>
        <w:rPr>
          <w:rFonts w:hint="default" w:ascii="Times New Roman" w:hAnsi="Times New Roman" w:eastAsia="仿宋_GB2312" w:cs="Times New Roman"/>
          <w:color w:val="auto"/>
          <w:spacing w:val="0"/>
          <w:kern w:val="2"/>
          <w:sz w:val="32"/>
          <w:szCs w:val="32"/>
          <w:highlight w:val="none"/>
        </w:rPr>
        <w:t>优化提升消费环境，积极打造现代商圈、特色街区、专业市场等，大力发展电子商务，鼓励消费新模式新业态发展，推动商贸服务业向高品质和多样化发展。依托区位交通优势，融入全市现代流通体系，推动现代物流服务产业链建设。</w:t>
      </w:r>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color w:val="auto"/>
          <w:spacing w:val="0"/>
          <w:kern w:val="2"/>
          <w:sz w:val="32"/>
          <w:szCs w:val="32"/>
          <w:highlight w:val="none"/>
        </w:rPr>
        <w:t>——着力建设“四个卫滨”</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活力卫滨。</w:t>
      </w:r>
      <w:r>
        <w:rPr>
          <w:rFonts w:hint="default" w:ascii="Times New Roman" w:hAnsi="Times New Roman" w:eastAsia="仿宋_GB2312" w:cs="Times New Roman"/>
          <w:color w:val="auto"/>
          <w:spacing w:val="0"/>
          <w:kern w:val="2"/>
          <w:sz w:val="32"/>
          <w:szCs w:val="32"/>
          <w:highlight w:val="none"/>
        </w:rPr>
        <w:t>加快转型升级，经济发展质量逐步提高，经济发展活力动力全面增强</w:t>
      </w:r>
      <w:r>
        <w:rPr>
          <w:rFonts w:hint="eastAsia"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强化创新驱动，加强对外开放，全面深化改革，促进发展活力进一步增强。</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繁荣卫滨。</w:t>
      </w:r>
      <w:r>
        <w:rPr>
          <w:rFonts w:hint="default" w:ascii="Times New Roman" w:hAnsi="Times New Roman" w:eastAsia="仿宋_GB2312" w:cs="Times New Roman"/>
          <w:color w:val="auto"/>
          <w:spacing w:val="0"/>
          <w:kern w:val="2"/>
          <w:sz w:val="32"/>
          <w:szCs w:val="32"/>
          <w:highlight w:val="none"/>
        </w:rPr>
        <w:t>积极融入双循环新格局，进一步增强城市综合服务功能，丰富城区经济业态，完善配套设施建设，强化城市精细管理，全面提升城区发展品质，集聚创新创业人才，挖掘消费潜力，促进市场繁荣发展。</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美丽卫滨。</w:t>
      </w:r>
      <w:r>
        <w:rPr>
          <w:rFonts w:hint="default" w:ascii="Times New Roman" w:hAnsi="Times New Roman" w:eastAsia="仿宋_GB2312" w:cs="Times New Roman"/>
          <w:color w:val="auto"/>
          <w:spacing w:val="0"/>
          <w:kern w:val="2"/>
          <w:sz w:val="32"/>
          <w:szCs w:val="32"/>
          <w:highlight w:val="none"/>
        </w:rPr>
        <w:t>注重功能品质提升，促进铁西和南部区域整体开发建设取得积极进展，老城区有机更新成效显著，生态宜居环境基本呈现，区域环境质量持续改善，美丽乡村全面建设，高质量发展的生态底色进一步彰显。</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幸福卫滨。</w:t>
      </w:r>
      <w:r>
        <w:rPr>
          <w:rFonts w:hint="default" w:ascii="Times New Roman" w:hAnsi="Times New Roman" w:eastAsia="仿宋_GB2312" w:cs="Times New Roman"/>
          <w:color w:val="auto"/>
          <w:spacing w:val="0"/>
          <w:kern w:val="2"/>
          <w:sz w:val="32"/>
          <w:szCs w:val="32"/>
          <w:highlight w:val="none"/>
        </w:rPr>
        <w:t>坚持以人民为中心，居民收入稳定增长，公共服务和社会保障体系更加健全，平安卫滨和法治卫滨建设成效显著，人民群众享有更多获得感幸福感安全感，全区幸福指数进一步提高。</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22" w:name="_Toc2640"/>
      <w:bookmarkStart w:id="23" w:name="_Toc14731"/>
      <w:r>
        <w:rPr>
          <w:rFonts w:hint="default" w:ascii="Times New Roman" w:hAnsi="Times New Roman" w:eastAsia="楷体_GB2312" w:cs="Times New Roman"/>
          <w:snapToGrid w:val="0"/>
          <w:color w:val="auto"/>
          <w:spacing w:val="0"/>
          <w:sz w:val="32"/>
          <w:szCs w:val="32"/>
          <w:highlight w:val="none"/>
          <w:lang w:val="en-US" w:eastAsia="zh-CN"/>
        </w:rPr>
        <w:t xml:space="preserve">第五节  </w:t>
      </w:r>
      <w:r>
        <w:rPr>
          <w:rFonts w:hint="default" w:ascii="Times New Roman" w:hAnsi="Times New Roman" w:eastAsia="楷体_GB2312" w:cs="Times New Roman"/>
          <w:snapToGrid w:val="0"/>
          <w:color w:val="auto"/>
          <w:spacing w:val="0"/>
          <w:sz w:val="32"/>
          <w:szCs w:val="32"/>
          <w:highlight w:val="none"/>
        </w:rPr>
        <w:t>发展目标</w:t>
      </w:r>
      <w:bookmarkEnd w:id="22"/>
      <w:bookmarkEnd w:id="23"/>
      <w:bookmarkStart w:id="24" w:name="_Toc63099124"/>
      <w:bookmarkStart w:id="25" w:name="_Toc1229"/>
      <w:bookmarkStart w:id="26" w:name="_Toc5928"/>
    </w:p>
    <w:bookmarkEnd w:id="24"/>
    <w:bookmarkEnd w:id="25"/>
    <w:bookmarkEnd w:id="26"/>
    <w:p>
      <w:pPr>
        <w:pStyle w:val="10"/>
        <w:pageBreakBefore w:val="0"/>
        <w:kinsoku/>
        <w:wordWrap/>
        <w:overflowPunct/>
        <w:topLinePunct w:val="0"/>
        <w:autoSpaceDE/>
        <w:autoSpaceDN/>
        <w:bidi w:val="0"/>
        <w:spacing w:before="0" w:beforeLines="0" w:beforeAutospacing="0" w:after="0" w:afterLines="0" w:afterAutospacing="0" w:line="240" w:lineRule="auto"/>
        <w:jc w:val="center"/>
        <w:textAlignment w:val="auto"/>
        <w:rPr>
          <w:rFonts w:hint="default" w:ascii="Times New Roman" w:hAnsi="Times New Roman" w:eastAsia="楷体_GB2312" w:cs="Times New Roman"/>
          <w:b w:val="0"/>
          <w:bCs/>
          <w:color w:val="auto"/>
          <w:spacing w:val="0"/>
          <w:kern w:val="0"/>
          <w:sz w:val="32"/>
          <w:szCs w:val="32"/>
          <w:highlight w:val="none"/>
          <w:lang w:val="en-US" w:eastAsia="zh-CN" w:bidi="ar-SA"/>
        </w:rPr>
      </w:pPr>
      <w:r>
        <w:rPr>
          <w:rFonts w:hint="default" w:ascii="Times New Roman" w:hAnsi="Times New Roman" w:eastAsia="楷体_GB2312" w:cs="Times New Roman"/>
          <w:b w:val="0"/>
          <w:bCs/>
          <w:color w:val="auto"/>
          <w:spacing w:val="0"/>
          <w:kern w:val="0"/>
          <w:sz w:val="32"/>
          <w:szCs w:val="32"/>
          <w:highlight w:val="none"/>
          <w:lang w:val="en-US" w:eastAsia="zh-CN" w:bidi="ar-SA"/>
        </w:rPr>
        <w:t>（一）二〇三五年远景目标</w:t>
      </w:r>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未来十五年，我区将</w:t>
      </w:r>
      <w:r>
        <w:rPr>
          <w:rFonts w:hint="default" w:ascii="Times New Roman" w:hAnsi="Times New Roman" w:eastAsia="仿宋_GB2312" w:cs="Times New Roman"/>
          <w:b/>
          <w:bCs/>
          <w:color w:val="auto"/>
          <w:spacing w:val="0"/>
          <w:sz w:val="32"/>
          <w:szCs w:val="32"/>
          <w:highlight w:val="none"/>
        </w:rPr>
        <w:t>坚持</w:t>
      </w:r>
      <w:r>
        <w:rPr>
          <w:rFonts w:hint="default" w:ascii="Times New Roman" w:hAnsi="Times New Roman" w:eastAsia="黑体" w:cs="Times New Roman"/>
          <w:color w:val="auto"/>
          <w:spacing w:val="0"/>
          <w:sz w:val="32"/>
          <w:szCs w:val="32"/>
          <w:highlight w:val="none"/>
        </w:rPr>
        <w:t>“两个高质量”，朝着“四个强区”“一个家园”</w:t>
      </w:r>
      <w:r>
        <w:rPr>
          <w:rFonts w:hint="default" w:ascii="Times New Roman" w:hAnsi="Times New Roman" w:eastAsia="仿宋_GB2312" w:cs="Times New Roman"/>
          <w:color w:val="auto"/>
          <w:spacing w:val="0"/>
          <w:sz w:val="32"/>
          <w:szCs w:val="32"/>
          <w:highlight w:val="none"/>
        </w:rPr>
        <w:t>的奋斗目标迈进，基本建成社会主义现代化卫滨。</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以党建高质量推动发展高质量上，</w:t>
      </w:r>
      <w:r>
        <w:rPr>
          <w:rFonts w:hint="default" w:ascii="Times New Roman" w:hAnsi="Times New Roman" w:eastAsia="仿宋_GB2312" w:cs="Times New Roman"/>
          <w:color w:val="auto"/>
          <w:spacing w:val="0"/>
          <w:sz w:val="32"/>
          <w:szCs w:val="32"/>
          <w:highlight w:val="none"/>
        </w:rPr>
        <w:t>思想政治统领更加有力，根本建设、基础建设、长远建设作用更加彰显，学的氛围、严的氛围、干的氛围更加浓厚，党建引领践行新发展理念、融入新发展格局、推动高质量发展的保证作用充分彰显。</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b w:val="0"/>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rPr>
        <w:t>在先进制造强区建设上，</w:t>
      </w:r>
      <w:r>
        <w:rPr>
          <w:rFonts w:hint="default" w:ascii="Times New Roman" w:hAnsi="Times New Roman" w:eastAsia="仿宋_GB2312" w:cs="Times New Roman"/>
          <w:b w:val="0"/>
          <w:bCs/>
          <w:color w:val="auto"/>
          <w:spacing w:val="0"/>
          <w:sz w:val="32"/>
          <w:szCs w:val="32"/>
          <w:highlight w:val="none"/>
          <w:lang w:eastAsia="zh-CN"/>
        </w:rPr>
        <w:t>大力发展主导产业，壮大战略新兴产业，推动先进制造业集群化、高端化、智能化、绿色化发展，实现高端装备产业发展全市引领，铜材料技术全国领先。</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lang w:val="en-US" w:eastAsia="zh-CN"/>
        </w:rPr>
        <w:t>在现代服务强区建设上，</w:t>
      </w:r>
      <w:r>
        <w:rPr>
          <w:rFonts w:hint="default" w:ascii="Times New Roman" w:hAnsi="Times New Roman" w:eastAsia="仿宋_GB2312" w:cs="Times New Roman"/>
          <w:b w:val="0"/>
          <w:bCs/>
          <w:color w:val="auto"/>
          <w:spacing w:val="0"/>
          <w:sz w:val="32"/>
          <w:szCs w:val="32"/>
          <w:highlight w:val="none"/>
          <w:lang w:eastAsia="zh-CN"/>
        </w:rPr>
        <w:t>充分挖掘消费潜力，大力发展楼宇经济，推动现代商贸提质增效，文旅康养产业发展壮大，现代服务业规模、质量明显提升。</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b w:val="0"/>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rPr>
        <w:t>在生态宜居强区建设上，</w:t>
      </w:r>
      <w:r>
        <w:rPr>
          <w:rFonts w:hint="default" w:ascii="Times New Roman" w:hAnsi="Times New Roman" w:eastAsia="仿宋_GB2312" w:cs="Times New Roman"/>
          <w:b w:val="0"/>
          <w:bCs/>
          <w:color w:val="auto"/>
          <w:spacing w:val="0"/>
          <w:sz w:val="32"/>
          <w:szCs w:val="32"/>
          <w:highlight w:val="none"/>
          <w:lang w:eastAsia="zh-CN"/>
        </w:rPr>
        <w:t>完成铁西和南部区域整体开发及老城区有机更新，绿色生产生活方式广泛形成，能源利用率大幅提高，生态环境根本好转。</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在开放活力强区建设上，</w:t>
      </w:r>
      <w:r>
        <w:rPr>
          <w:rFonts w:hint="default" w:ascii="Times New Roman" w:hAnsi="Times New Roman" w:eastAsia="仿宋_GB2312" w:cs="Times New Roman"/>
          <w:color w:val="auto"/>
          <w:spacing w:val="0"/>
          <w:sz w:val="32"/>
          <w:szCs w:val="32"/>
          <w:highlight w:val="none"/>
        </w:rPr>
        <w:t>经济实力、综合实力大幅提升，发展质量和效益</w:t>
      </w:r>
      <w:r>
        <w:rPr>
          <w:rFonts w:hint="default" w:ascii="Times New Roman" w:hAnsi="Times New Roman" w:eastAsia="仿宋_GB2312" w:cs="Times New Roman"/>
          <w:color w:val="auto"/>
          <w:spacing w:val="0"/>
          <w:sz w:val="32"/>
          <w:szCs w:val="32"/>
          <w:highlight w:val="none"/>
          <w:lang w:val="en-US" w:eastAsia="zh-CN"/>
        </w:rPr>
        <w:t>显著</w:t>
      </w:r>
      <w:r>
        <w:rPr>
          <w:rFonts w:hint="default" w:ascii="Times New Roman" w:hAnsi="Times New Roman" w:eastAsia="仿宋_GB2312" w:cs="Times New Roman"/>
          <w:color w:val="auto"/>
          <w:spacing w:val="0"/>
          <w:sz w:val="32"/>
          <w:szCs w:val="32"/>
          <w:highlight w:val="none"/>
        </w:rPr>
        <w:t>提升，营商便利度和创新能力居全市前列，全方位开放格局基本形成，创新驱动发展能力显著</w:t>
      </w:r>
      <w:r>
        <w:rPr>
          <w:rFonts w:hint="default" w:ascii="Times New Roman" w:hAnsi="Times New Roman" w:eastAsia="仿宋_GB2312" w:cs="Times New Roman"/>
          <w:color w:val="auto"/>
          <w:spacing w:val="0"/>
          <w:sz w:val="32"/>
          <w:szCs w:val="32"/>
          <w:highlight w:val="none"/>
          <w:lang w:val="en-US" w:eastAsia="zh-CN"/>
        </w:rPr>
        <w:t>增强</w:t>
      </w:r>
      <w:r>
        <w:rPr>
          <w:rFonts w:hint="default" w:ascii="Times New Roman" w:hAnsi="Times New Roman" w:eastAsia="仿宋_GB2312" w:cs="Times New Roman"/>
          <w:color w:val="auto"/>
          <w:spacing w:val="0"/>
          <w:sz w:val="32"/>
          <w:szCs w:val="32"/>
          <w:highlight w:val="none"/>
        </w:rPr>
        <w:t>。</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b w:val="0"/>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rPr>
        <w:t>在幸福美好家园建设上，</w:t>
      </w:r>
      <w:r>
        <w:rPr>
          <w:rFonts w:hint="default" w:ascii="Times New Roman" w:hAnsi="Times New Roman" w:eastAsia="仿宋_GB2312" w:cs="Times New Roman"/>
          <w:b w:val="0"/>
          <w:bCs/>
          <w:color w:val="auto"/>
          <w:spacing w:val="0"/>
          <w:sz w:val="32"/>
          <w:szCs w:val="32"/>
          <w:highlight w:val="none"/>
          <w:lang w:eastAsia="zh-CN"/>
        </w:rPr>
        <w:t>基本实现社会治理体系和治理能力现代化，公共服务实现均等化，经济总量、城乡居民收入迈上新台阶，社会主义精神文明和物质文明协调发展。</w:t>
      </w:r>
      <w:bookmarkStart w:id="27" w:name="_Toc29272"/>
      <w:bookmarkStart w:id="28" w:name="_Toc22426"/>
      <w:bookmarkStart w:id="29" w:name="_Toc55225180"/>
      <w:bookmarkStart w:id="30" w:name="_Toc63099125"/>
      <w:bookmarkStart w:id="31" w:name="_Toc139683463"/>
      <w:bookmarkStart w:id="32" w:name="_Toc436955975"/>
      <w:bookmarkStart w:id="33" w:name="_Toc424543803"/>
      <w:bookmarkStart w:id="34" w:name="_Toc23464"/>
    </w:p>
    <w:p>
      <w:pPr>
        <w:pStyle w:val="10"/>
        <w:pageBreakBefore w:val="0"/>
        <w:kinsoku/>
        <w:wordWrap/>
        <w:overflowPunct/>
        <w:topLinePunct w:val="0"/>
        <w:autoSpaceDE/>
        <w:autoSpaceDN/>
        <w:bidi w:val="0"/>
        <w:spacing w:before="0" w:beforeLines="0" w:beforeAutospacing="0" w:after="0" w:afterLines="0" w:afterAutospacing="0" w:line="240" w:lineRule="auto"/>
        <w:jc w:val="center"/>
        <w:textAlignment w:val="auto"/>
        <w:rPr>
          <w:rFonts w:hint="default" w:ascii="Times New Roman" w:hAnsi="Times New Roman" w:eastAsia="楷体_GB2312" w:cs="Times New Roman"/>
          <w:b w:val="0"/>
          <w:color w:val="auto"/>
          <w:spacing w:val="0"/>
          <w:kern w:val="0"/>
          <w:sz w:val="32"/>
          <w:szCs w:val="32"/>
          <w:highlight w:val="none"/>
        </w:rPr>
      </w:pPr>
      <w:r>
        <w:rPr>
          <w:rFonts w:hint="default" w:ascii="Times New Roman" w:hAnsi="Times New Roman" w:eastAsia="楷体_GB2312" w:cs="Times New Roman"/>
          <w:b w:val="0"/>
          <w:color w:val="auto"/>
          <w:spacing w:val="0"/>
          <w:kern w:val="0"/>
          <w:sz w:val="32"/>
          <w:szCs w:val="32"/>
          <w:highlight w:val="none"/>
        </w:rPr>
        <w:t>（二）“十四五”时期经济社会发展主要目标</w:t>
      </w:r>
      <w:bookmarkEnd w:id="27"/>
      <w:bookmarkEnd w:id="28"/>
      <w:bookmarkEnd w:id="29"/>
      <w:bookmarkEnd w:id="30"/>
      <w:bookmarkEnd w:id="31"/>
      <w:bookmarkEnd w:id="32"/>
      <w:bookmarkEnd w:id="33"/>
      <w:bookmarkEnd w:id="34"/>
    </w:p>
    <w:p>
      <w:pPr>
        <w:pStyle w:val="10"/>
        <w:pageBreakBefore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color w:val="auto"/>
          <w:spacing w:val="0"/>
          <w:kern w:val="2"/>
          <w:sz w:val="32"/>
          <w:szCs w:val="32"/>
          <w:highlight w:val="none"/>
        </w:rPr>
        <w:t>锚定二〇三五年远景目标，综合考虑我区发展基础和面临环境形势，坚持目标导向和问题导向相结合，坚持守正和创新相统一，努力实现以下主要目标。</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lang w:eastAsia="zh-CN"/>
        </w:rPr>
      </w:pPr>
      <w:r>
        <w:rPr>
          <w:rFonts w:hint="default" w:ascii="Times New Roman" w:hAnsi="Times New Roman" w:eastAsia="仿宋_GB2312" w:cs="Times New Roman"/>
          <w:b/>
          <w:bCs/>
          <w:color w:val="auto"/>
          <w:spacing w:val="0"/>
          <w:kern w:val="2"/>
          <w:sz w:val="32"/>
          <w:szCs w:val="32"/>
          <w:highlight w:val="none"/>
        </w:rPr>
        <w:t>经济高质量发展迈出更大步伐。</w:t>
      </w:r>
      <w:r>
        <w:rPr>
          <w:rFonts w:hint="default" w:ascii="Times New Roman" w:hAnsi="Times New Roman" w:eastAsia="仿宋_GB2312" w:cs="Times New Roman"/>
          <w:color w:val="auto"/>
          <w:spacing w:val="0"/>
          <w:kern w:val="2"/>
          <w:sz w:val="32"/>
          <w:szCs w:val="32"/>
          <w:highlight w:val="none"/>
        </w:rPr>
        <w:t>主要经济指标年均增速高于全市平均水平，</w:t>
      </w:r>
      <w:r>
        <w:rPr>
          <w:rFonts w:hint="default" w:ascii="Times New Roman" w:hAnsi="Times New Roman" w:eastAsia="仿宋_GB2312" w:cs="Times New Roman"/>
          <w:color w:val="auto"/>
          <w:spacing w:val="0"/>
          <w:kern w:val="2"/>
          <w:sz w:val="32"/>
          <w:szCs w:val="32"/>
          <w:highlight w:val="none"/>
          <w:lang w:eastAsia="zh-CN"/>
        </w:rPr>
        <w:t>生产总值年均增长</w:t>
      </w:r>
      <w:r>
        <w:rPr>
          <w:rFonts w:hint="default" w:ascii="Times New Roman" w:hAnsi="Times New Roman" w:eastAsia="仿宋_GB2312" w:cs="Times New Roman"/>
          <w:color w:val="auto"/>
          <w:spacing w:val="0"/>
          <w:kern w:val="2"/>
          <w:sz w:val="32"/>
          <w:szCs w:val="32"/>
          <w:highlight w:val="none"/>
          <w:lang w:val="en-US" w:eastAsia="zh-CN"/>
        </w:rPr>
        <w:t>7%左右，</w:t>
      </w:r>
      <w:r>
        <w:rPr>
          <w:rFonts w:hint="default" w:ascii="Times New Roman" w:hAnsi="Times New Roman" w:eastAsia="仿宋_GB2312" w:cs="Times New Roman"/>
          <w:color w:val="auto"/>
          <w:spacing w:val="0"/>
          <w:kern w:val="2"/>
          <w:sz w:val="32"/>
          <w:szCs w:val="32"/>
          <w:highlight w:val="none"/>
        </w:rPr>
        <w:t>财政收入占GDP比重、税收收入占财政收入比重持续提升，城乡居民收入与生产总值同步增长</w:t>
      </w:r>
      <w:r>
        <w:rPr>
          <w:rFonts w:hint="default" w:ascii="Times New Roman" w:hAnsi="Times New Roman" w:eastAsia="仿宋_GB2312" w:cs="Times New Roman"/>
          <w:color w:val="auto"/>
          <w:spacing w:val="0"/>
          <w:kern w:val="2"/>
          <w:sz w:val="32"/>
          <w:szCs w:val="32"/>
          <w:highlight w:val="none"/>
          <w:lang w:eastAsia="zh-CN"/>
        </w:rPr>
        <w:t>。</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b/>
          <w:bCs/>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开放创新成效实现更大突破。</w:t>
      </w:r>
      <w:r>
        <w:rPr>
          <w:rFonts w:hint="default" w:ascii="Times New Roman" w:hAnsi="Times New Roman" w:eastAsia="仿宋_GB2312" w:cs="Times New Roman"/>
          <w:color w:val="auto"/>
          <w:spacing w:val="0"/>
          <w:kern w:val="2"/>
          <w:sz w:val="32"/>
          <w:szCs w:val="32"/>
          <w:highlight w:val="none"/>
        </w:rPr>
        <w:t>建设一批创新载体和平台，</w:t>
      </w:r>
      <w:r>
        <w:rPr>
          <w:rFonts w:hint="default" w:ascii="Times New Roman" w:hAnsi="Times New Roman" w:eastAsia="仿宋_GB2312" w:cs="Times New Roman"/>
          <w:color w:val="auto"/>
          <w:spacing w:val="0"/>
          <w:kern w:val="2"/>
          <w:sz w:val="32"/>
          <w:szCs w:val="32"/>
          <w:highlight w:val="none"/>
          <w:lang w:eastAsia="zh-CN"/>
        </w:rPr>
        <w:t>创新体系更加完善</w:t>
      </w:r>
      <w:r>
        <w:rPr>
          <w:rFonts w:hint="default" w:ascii="Times New Roman" w:hAnsi="Times New Roman" w:eastAsia="仿宋_GB2312" w:cs="Times New Roman"/>
          <w:color w:val="auto"/>
          <w:spacing w:val="0"/>
          <w:kern w:val="2"/>
          <w:sz w:val="32"/>
          <w:szCs w:val="32"/>
          <w:highlight w:val="none"/>
        </w:rPr>
        <w:t>，产业链供应链创新链现代化水平明显提高。开放水平不断提升，营商环境持续优化，高水平、全方位开放新格局基本形成。</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城乡功能品质实现更大跃升。</w:t>
      </w:r>
      <w:r>
        <w:rPr>
          <w:rFonts w:hint="default" w:ascii="Times New Roman" w:hAnsi="Times New Roman" w:eastAsia="仿宋_GB2312" w:cs="Times New Roman"/>
          <w:color w:val="auto"/>
          <w:spacing w:val="0"/>
          <w:kern w:val="2"/>
          <w:sz w:val="32"/>
          <w:szCs w:val="32"/>
          <w:highlight w:val="none"/>
        </w:rPr>
        <w:t>城乡空间布局更</w:t>
      </w:r>
      <w:r>
        <w:rPr>
          <w:rFonts w:hint="default" w:ascii="Times New Roman" w:hAnsi="Times New Roman" w:eastAsia="仿宋_GB2312" w:cs="Times New Roman"/>
          <w:color w:val="auto"/>
          <w:spacing w:val="0"/>
          <w:kern w:val="2"/>
          <w:sz w:val="32"/>
          <w:szCs w:val="32"/>
          <w:highlight w:val="none"/>
          <w:lang w:val="en-US" w:eastAsia="zh-CN"/>
        </w:rPr>
        <w:t>加</w:t>
      </w:r>
      <w:r>
        <w:rPr>
          <w:rFonts w:hint="default" w:ascii="Times New Roman" w:hAnsi="Times New Roman" w:eastAsia="仿宋_GB2312" w:cs="Times New Roman"/>
          <w:color w:val="auto"/>
          <w:spacing w:val="0"/>
          <w:kern w:val="2"/>
          <w:sz w:val="32"/>
          <w:szCs w:val="32"/>
          <w:highlight w:val="none"/>
        </w:rPr>
        <w:t>合理，产城互动</w:t>
      </w:r>
      <w:r>
        <w:rPr>
          <w:rFonts w:hint="default" w:ascii="Times New Roman" w:hAnsi="Times New Roman" w:eastAsia="仿宋_GB2312" w:cs="Times New Roman"/>
          <w:color w:val="auto"/>
          <w:spacing w:val="0"/>
          <w:kern w:val="2"/>
          <w:sz w:val="32"/>
          <w:szCs w:val="32"/>
          <w:highlight w:val="none"/>
          <w:lang w:eastAsia="zh-CN"/>
        </w:rPr>
        <w:t>格局持续</w:t>
      </w:r>
      <w:r>
        <w:rPr>
          <w:rFonts w:hint="default" w:ascii="Times New Roman" w:hAnsi="Times New Roman" w:eastAsia="仿宋_GB2312" w:cs="Times New Roman"/>
          <w:color w:val="auto"/>
          <w:spacing w:val="0"/>
          <w:kern w:val="2"/>
          <w:sz w:val="32"/>
          <w:szCs w:val="32"/>
          <w:highlight w:val="none"/>
        </w:rPr>
        <w:t>优化，铁西和南部区域整体开发成效显著，老城区有机更新全面推进</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乡村振兴战略全面实施，城乡基础设施</w:t>
      </w:r>
      <w:r>
        <w:rPr>
          <w:rFonts w:hint="default" w:ascii="Times New Roman" w:hAnsi="Times New Roman" w:eastAsia="仿宋_GB2312" w:cs="Times New Roman"/>
          <w:color w:val="auto"/>
          <w:spacing w:val="0"/>
          <w:kern w:val="2"/>
          <w:sz w:val="32"/>
          <w:szCs w:val="32"/>
          <w:highlight w:val="none"/>
          <w:lang w:val="en-US" w:eastAsia="zh-CN"/>
        </w:rPr>
        <w:t>更加</w:t>
      </w:r>
      <w:r>
        <w:rPr>
          <w:rFonts w:hint="default" w:ascii="Times New Roman" w:hAnsi="Times New Roman" w:eastAsia="仿宋_GB2312" w:cs="Times New Roman"/>
          <w:color w:val="auto"/>
          <w:spacing w:val="0"/>
          <w:kern w:val="2"/>
          <w:sz w:val="32"/>
          <w:szCs w:val="32"/>
          <w:highlight w:val="none"/>
        </w:rPr>
        <w:t>完善，城乡人居环境明显改善。</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社会文明程度实现更大提高。</w:t>
      </w:r>
      <w:r>
        <w:rPr>
          <w:rFonts w:hint="default" w:ascii="Times New Roman" w:hAnsi="Times New Roman" w:eastAsia="仿宋_GB2312" w:cs="Times New Roman"/>
          <w:color w:val="auto"/>
          <w:spacing w:val="0"/>
          <w:kern w:val="2"/>
          <w:sz w:val="32"/>
          <w:szCs w:val="32"/>
          <w:highlight w:val="none"/>
        </w:rPr>
        <w:t>文明城市建设成果进一步巩固</w:t>
      </w:r>
      <w:r>
        <w:rPr>
          <w:rFonts w:hint="default" w:ascii="Times New Roman" w:hAnsi="Times New Roman" w:eastAsia="仿宋_GB2312" w:cs="Times New Roman"/>
          <w:color w:val="auto"/>
          <w:spacing w:val="0"/>
          <w:kern w:val="2"/>
          <w:sz w:val="32"/>
          <w:szCs w:val="32"/>
          <w:highlight w:val="none"/>
          <w:lang w:eastAsia="zh-CN"/>
        </w:rPr>
        <w:t>，覆盖城乡的</w:t>
      </w:r>
      <w:r>
        <w:rPr>
          <w:rFonts w:hint="default" w:ascii="Times New Roman" w:hAnsi="Times New Roman" w:eastAsia="仿宋_GB2312" w:cs="Times New Roman"/>
          <w:color w:val="auto"/>
          <w:spacing w:val="0"/>
          <w:kern w:val="2"/>
          <w:sz w:val="32"/>
          <w:szCs w:val="32"/>
          <w:highlight w:val="none"/>
        </w:rPr>
        <w:t>公共文化服务体系更加健全，人民思想道德素质、科学文化素质和身心健康素质明显提高</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rPr>
        <w:t>群众精神文化需求得到更好满足。</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生态环境治理实现更大进展。</w:t>
      </w:r>
      <w:r>
        <w:rPr>
          <w:rFonts w:hint="default" w:ascii="Times New Roman" w:hAnsi="Times New Roman" w:eastAsia="仿宋_GB2312" w:cs="Times New Roman"/>
          <w:color w:val="auto"/>
          <w:spacing w:val="0"/>
          <w:kern w:val="2"/>
          <w:sz w:val="32"/>
          <w:szCs w:val="32"/>
          <w:highlight w:val="none"/>
        </w:rPr>
        <w:t>国土空间开发保护格局得到优化，能源资源利用效率大幅提高，主要污染物排放总量持续减少，</w:t>
      </w:r>
      <w:r>
        <w:rPr>
          <w:rFonts w:hint="default" w:ascii="Times New Roman" w:hAnsi="Times New Roman" w:eastAsia="仿宋_GB2312" w:cs="Times New Roman"/>
          <w:color w:val="auto"/>
          <w:spacing w:val="0"/>
          <w:kern w:val="2"/>
          <w:sz w:val="32"/>
          <w:szCs w:val="32"/>
          <w:highlight w:val="none"/>
          <w:lang w:eastAsia="zh-CN"/>
        </w:rPr>
        <w:t>重污染天气基本消除</w:t>
      </w:r>
      <w:r>
        <w:rPr>
          <w:rFonts w:hint="default" w:ascii="Times New Roman" w:hAnsi="Times New Roman" w:eastAsia="仿宋_GB2312" w:cs="Times New Roman"/>
          <w:color w:val="auto"/>
          <w:spacing w:val="0"/>
          <w:kern w:val="2"/>
          <w:sz w:val="32"/>
          <w:szCs w:val="32"/>
          <w:highlight w:val="none"/>
        </w:rPr>
        <w:t>，生态环境明显改善。</w:t>
      </w:r>
    </w:p>
    <w:p>
      <w:pPr>
        <w:pStyle w:val="10"/>
        <w:pageBreakBefore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rPr>
          <w:rFonts w:hint="default" w:ascii="Times New Roman" w:hAnsi="Times New Roman" w:eastAsia="仿宋_GB2312" w:cs="Times New Roman"/>
          <w:color w:val="auto"/>
          <w:spacing w:val="0"/>
          <w:kern w:val="2"/>
          <w:sz w:val="32"/>
          <w:szCs w:val="32"/>
          <w:highlight w:val="none"/>
        </w:rPr>
      </w:pPr>
      <w:r>
        <w:rPr>
          <w:rFonts w:hint="default" w:ascii="Times New Roman" w:hAnsi="Times New Roman" w:eastAsia="仿宋_GB2312" w:cs="Times New Roman"/>
          <w:b/>
          <w:bCs/>
          <w:color w:val="auto"/>
          <w:spacing w:val="0"/>
          <w:kern w:val="2"/>
          <w:sz w:val="32"/>
          <w:szCs w:val="32"/>
          <w:highlight w:val="none"/>
        </w:rPr>
        <w:t>民生福祉保障实现更大改善。</w:t>
      </w:r>
      <w:r>
        <w:rPr>
          <w:rFonts w:hint="default" w:ascii="Times New Roman" w:hAnsi="Times New Roman" w:eastAsia="仿宋_GB2312" w:cs="Times New Roman"/>
          <w:color w:val="auto"/>
          <w:spacing w:val="0"/>
          <w:kern w:val="2"/>
          <w:sz w:val="32"/>
          <w:szCs w:val="32"/>
          <w:highlight w:val="none"/>
        </w:rPr>
        <w:t>实现更加充分更高质量就业，城乡居民收入差距不断缩小，全民受教育程度不断提高，卫生健康体系更加完善，多层次社会保障体系更加健全，人民生活品质显著提高。</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kern w:val="2"/>
          <w:sz w:val="32"/>
          <w:szCs w:val="32"/>
          <w:highlight w:val="none"/>
          <w:lang w:eastAsia="zh-CN"/>
        </w:rPr>
      </w:pPr>
      <w:r>
        <w:rPr>
          <w:rFonts w:hint="default" w:ascii="Times New Roman" w:hAnsi="Times New Roman" w:eastAsia="仿宋_GB2312" w:cs="Times New Roman"/>
          <w:b/>
          <w:bCs/>
          <w:color w:val="auto"/>
          <w:spacing w:val="0"/>
          <w:kern w:val="2"/>
          <w:sz w:val="32"/>
          <w:szCs w:val="32"/>
          <w:highlight w:val="none"/>
        </w:rPr>
        <w:t>社会治理效能实现更大提升。</w:t>
      </w:r>
      <w:r>
        <w:rPr>
          <w:rFonts w:hint="default" w:ascii="Times New Roman" w:hAnsi="Times New Roman" w:eastAsia="仿宋_GB2312" w:cs="Times New Roman"/>
          <w:color w:val="auto"/>
          <w:spacing w:val="0"/>
          <w:kern w:val="2"/>
          <w:sz w:val="32"/>
          <w:szCs w:val="32"/>
          <w:highlight w:val="none"/>
        </w:rPr>
        <w:t>全面</w:t>
      </w:r>
      <w:r>
        <w:rPr>
          <w:rFonts w:hint="default" w:ascii="Times New Roman" w:hAnsi="Times New Roman" w:eastAsia="仿宋_GB2312" w:cs="Times New Roman"/>
          <w:color w:val="auto"/>
          <w:spacing w:val="0"/>
          <w:kern w:val="2"/>
          <w:sz w:val="32"/>
          <w:szCs w:val="32"/>
          <w:highlight w:val="none"/>
          <w:lang w:eastAsia="zh-CN"/>
        </w:rPr>
        <w:t>实施“八五”普法规划，</w:t>
      </w:r>
      <w:r>
        <w:rPr>
          <w:rFonts w:hint="default" w:ascii="Times New Roman" w:hAnsi="Times New Roman" w:eastAsia="仿宋_GB2312" w:cs="Times New Roman"/>
          <w:color w:val="auto"/>
          <w:spacing w:val="0"/>
          <w:kern w:val="2"/>
          <w:sz w:val="32"/>
          <w:szCs w:val="32"/>
          <w:highlight w:val="none"/>
        </w:rPr>
        <w:t>依法治区深入推进，</w:t>
      </w:r>
      <w:r>
        <w:rPr>
          <w:rFonts w:hint="default" w:ascii="Times New Roman" w:hAnsi="Times New Roman" w:eastAsia="仿宋_GB2312" w:cs="Times New Roman"/>
          <w:color w:val="auto"/>
          <w:spacing w:val="0"/>
          <w:kern w:val="2"/>
          <w:sz w:val="32"/>
          <w:szCs w:val="32"/>
          <w:highlight w:val="none"/>
          <w:lang w:eastAsia="zh-CN"/>
        </w:rPr>
        <w:t>服务型政府加快建设，</w:t>
      </w:r>
      <w:r>
        <w:rPr>
          <w:rFonts w:hint="default" w:ascii="Times New Roman" w:hAnsi="Times New Roman" w:eastAsia="仿宋_GB2312" w:cs="Times New Roman"/>
          <w:color w:val="auto"/>
          <w:spacing w:val="0"/>
          <w:kern w:val="2"/>
          <w:sz w:val="32"/>
          <w:szCs w:val="32"/>
          <w:highlight w:val="none"/>
        </w:rPr>
        <w:t>社会治理水平明显提高，</w:t>
      </w:r>
      <w:r>
        <w:rPr>
          <w:rFonts w:hint="default" w:ascii="Times New Roman" w:hAnsi="Times New Roman" w:eastAsia="仿宋_GB2312" w:cs="Times New Roman"/>
          <w:color w:val="auto"/>
          <w:spacing w:val="0"/>
          <w:kern w:val="2"/>
          <w:sz w:val="32"/>
          <w:szCs w:val="32"/>
          <w:highlight w:val="none"/>
          <w:lang w:eastAsia="zh-CN"/>
        </w:rPr>
        <w:t>全方位立体化公共安全网基本形成，发展安全保障更加有力。</w:t>
      </w:r>
    </w:p>
    <w:tbl>
      <w:tblPr>
        <w:tblStyle w:val="13"/>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734"/>
        <w:gridCol w:w="1200"/>
        <w:gridCol w:w="2374"/>
        <w:gridCol w:w="1104"/>
        <w:gridCol w:w="1053"/>
        <w:gridCol w:w="1472"/>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42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both"/>
              <w:rPr>
                <w:rFonts w:hint="default" w:ascii="Times New Roman" w:hAnsi="Times New Roman" w:eastAsia="楷体" w:cs="Times New Roman"/>
                <w:b/>
                <w:bCs/>
                <w:color w:val="auto"/>
                <w:kern w:val="0"/>
                <w:sz w:val="24"/>
                <w:szCs w:val="24"/>
                <w:highlight w:val="none"/>
              </w:rPr>
            </w:pPr>
            <w:r>
              <w:rPr>
                <w:rFonts w:hint="default" w:ascii="Times New Roman" w:hAnsi="Times New Roman" w:eastAsia="黑体" w:cs="Times New Roman"/>
                <w:color w:val="auto"/>
                <w:kern w:val="0"/>
                <w:sz w:val="24"/>
                <w:szCs w:val="24"/>
                <w:highlight w:val="none"/>
                <w:lang w:bidi="ar"/>
              </w:rPr>
              <w:t>专栏</w:t>
            </w:r>
            <w:r>
              <w:rPr>
                <w:rFonts w:hint="default" w:ascii="Times New Roman" w:hAnsi="Times New Roman" w:eastAsia="黑体" w:cs="Times New Roman"/>
                <w:color w:val="auto"/>
                <w:kern w:val="0"/>
                <w:sz w:val="24"/>
                <w:szCs w:val="24"/>
                <w:highlight w:val="none"/>
                <w:lang w:val="en-US" w:eastAsia="zh-CN" w:bidi="ar"/>
              </w:rPr>
              <w:t>1</w:t>
            </w:r>
            <w:r>
              <w:rPr>
                <w:rFonts w:hint="default" w:ascii="Times New Roman" w:hAnsi="Times New Roman" w:eastAsia="黑体" w:cs="Times New Roman"/>
                <w:color w:val="auto"/>
                <w:kern w:val="0"/>
                <w:sz w:val="24"/>
                <w:szCs w:val="24"/>
                <w:highlight w:val="none"/>
                <w:lang w:bidi="ar"/>
              </w:rPr>
              <w:t>-1  “十四五”期间经济社会主要发展目标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序号</w:t>
            </w:r>
          </w:p>
        </w:tc>
        <w:tc>
          <w:tcPr>
            <w:tcW w:w="7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类别</w:t>
            </w:r>
          </w:p>
        </w:tc>
        <w:tc>
          <w:tcPr>
            <w:tcW w:w="3574"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指标名称</w:t>
            </w:r>
          </w:p>
        </w:tc>
        <w:tc>
          <w:tcPr>
            <w:tcW w:w="110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2020年基数</w:t>
            </w:r>
          </w:p>
        </w:tc>
        <w:tc>
          <w:tcPr>
            <w:tcW w:w="252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“十四五”规划</w:t>
            </w:r>
          </w:p>
        </w:tc>
        <w:tc>
          <w:tcPr>
            <w:tcW w:w="9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指标</w:t>
            </w:r>
          </w:p>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center"/>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9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eastAsia="楷体" w:cs="Times New Roman"/>
                <w:b/>
                <w:bCs/>
                <w:color w:val="auto"/>
                <w:kern w:val="0"/>
                <w:sz w:val="24"/>
                <w:szCs w:val="24"/>
                <w:highlight w:val="none"/>
              </w:rPr>
            </w:pP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eastAsia="楷体" w:cs="Times New Roman"/>
                <w:b/>
                <w:bCs/>
                <w:color w:val="auto"/>
                <w:kern w:val="0"/>
                <w:sz w:val="24"/>
                <w:szCs w:val="24"/>
                <w:highlight w:val="none"/>
              </w:rPr>
            </w:pPr>
          </w:p>
        </w:tc>
        <w:tc>
          <w:tcPr>
            <w:tcW w:w="357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eastAsia="楷体" w:cs="Times New Roman"/>
                <w:b/>
                <w:bCs/>
                <w:color w:val="auto"/>
                <w:kern w:val="0"/>
                <w:sz w:val="24"/>
                <w:szCs w:val="24"/>
                <w:highlight w:val="none"/>
              </w:rPr>
            </w:pPr>
          </w:p>
        </w:tc>
        <w:tc>
          <w:tcPr>
            <w:tcW w:w="110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eastAsia="楷体" w:cs="Times New Roman"/>
                <w:b/>
                <w:bCs/>
                <w:color w:val="auto"/>
                <w:kern w:val="0"/>
                <w:sz w:val="24"/>
                <w:szCs w:val="24"/>
                <w:highlight w:val="none"/>
              </w:rPr>
            </w:pP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eastAsia="楷体" w:cs="Times New Roman"/>
                <w:b/>
                <w:bCs/>
                <w:color w:val="auto"/>
                <w:kern w:val="0"/>
                <w:sz w:val="24"/>
                <w:szCs w:val="24"/>
                <w:highlight w:val="none"/>
              </w:rPr>
            </w:pPr>
            <w:r>
              <w:rPr>
                <w:rFonts w:hint="default" w:ascii="Times New Roman" w:hAnsi="Times New Roman" w:eastAsia="黑体" w:cs="Times New Roman"/>
                <w:color w:val="auto"/>
                <w:kern w:val="0"/>
                <w:sz w:val="24"/>
                <w:szCs w:val="24"/>
                <w:highlight w:val="none"/>
                <w:lang w:bidi="ar"/>
              </w:rPr>
              <w:t>2025年目标</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eastAsia="楷体" w:cs="Times New Roman"/>
                <w:b/>
                <w:bCs/>
                <w:color w:val="auto"/>
                <w:kern w:val="0"/>
                <w:sz w:val="24"/>
                <w:szCs w:val="24"/>
                <w:highlight w:val="none"/>
              </w:rPr>
            </w:pPr>
            <w:r>
              <w:rPr>
                <w:rFonts w:hint="default" w:ascii="Times New Roman" w:hAnsi="Times New Roman" w:eastAsia="黑体" w:cs="Times New Roman"/>
                <w:color w:val="auto"/>
                <w:kern w:val="0"/>
                <w:sz w:val="24"/>
                <w:szCs w:val="24"/>
                <w:highlight w:val="none"/>
                <w:lang w:bidi="ar"/>
              </w:rPr>
              <w:t>五年年均增长或累计</w:t>
            </w:r>
          </w:p>
        </w:tc>
        <w:tc>
          <w:tcPr>
            <w:tcW w:w="9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eastAsia="楷体" w:cs="Times New Roman"/>
                <w:b/>
                <w:bCs/>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1</w:t>
            </w:r>
          </w:p>
        </w:tc>
        <w:tc>
          <w:tcPr>
            <w:tcW w:w="7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经济</w:t>
            </w:r>
          </w:p>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发展</w:t>
            </w: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地区生产总值增长（%）</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7左右</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2</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规模以上工业增加值增长（%）</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7</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3</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一般公共预算收入增长（%）</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3.01亿</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7</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4</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固定资产投资增长（%）</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8</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5</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社会消费品零售总额增长（%）</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7.5</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6</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常住人口城镇化率（%）</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100</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100</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7</w:t>
            </w:r>
          </w:p>
        </w:tc>
        <w:tc>
          <w:tcPr>
            <w:tcW w:w="7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民生</w:t>
            </w:r>
          </w:p>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福祉</w:t>
            </w: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居民人均可支配收入增长率(%)</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与经济增长基本同步</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8</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12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城镇就业</w:t>
            </w:r>
          </w:p>
        </w:tc>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城镇新增就业人数（万人）</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[2.9]</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9</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12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p>
        </w:tc>
        <w:tc>
          <w:tcPr>
            <w:tcW w:w="237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城镇调查失业率（%）</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＜4</w:t>
            </w:r>
          </w:p>
        </w:tc>
        <w:tc>
          <w:tcPr>
            <w:tcW w:w="9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10</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小学适龄儿童入学率（%）</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100</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100</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11</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初中适龄儿童入学率（%）</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100</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100</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12</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每千人拥有执业医师数（人）</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3.4</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3.7</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eastAsia="zh-CN" w:bidi="ar"/>
              </w:rPr>
            </w:pPr>
            <w:r>
              <w:rPr>
                <w:rFonts w:hint="default" w:ascii="Times New Roman" w:hAnsi="Times New Roman" w:cs="Times New Roman"/>
                <w:color w:val="auto"/>
                <w:kern w:val="0"/>
                <w:sz w:val="24"/>
                <w:szCs w:val="24"/>
                <w:highlight w:val="none"/>
                <w:lang w:bidi="ar"/>
              </w:rPr>
              <w:t>1</w:t>
            </w:r>
            <w:r>
              <w:rPr>
                <w:rFonts w:hint="default" w:ascii="Times New Roman" w:hAnsi="Times New Roman" w:cs="Times New Roman"/>
                <w:color w:val="auto"/>
                <w:kern w:val="0"/>
                <w:sz w:val="24"/>
                <w:szCs w:val="24"/>
                <w:highlight w:val="none"/>
                <w:lang w:val="en-US" w:eastAsia="zh-CN" w:bidi="ar"/>
              </w:rPr>
              <w:t>3</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普惠性幼儿园占比（%）</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81.2</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85</w:t>
            </w:r>
            <w:r>
              <w:rPr>
                <w:rFonts w:hint="default" w:ascii="Times New Roman" w:hAnsi="Times New Roman" w:eastAsia="仿宋_GB2312" w:cs="Times New Roman"/>
                <w:color w:val="auto"/>
                <w:kern w:val="0"/>
                <w:sz w:val="24"/>
                <w:szCs w:val="24"/>
                <w:highlight w:val="none"/>
                <w:lang w:bidi="ar"/>
              </w:rPr>
              <w:t>以上</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14</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学前三年毛入园率（%）</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97</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97以上</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15</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人均体育场地设施面积（平方米）</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1.56</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1.8以上</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16</w:t>
            </w:r>
          </w:p>
        </w:tc>
        <w:tc>
          <w:tcPr>
            <w:tcW w:w="7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绿色</w:t>
            </w:r>
          </w:p>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生态</w:t>
            </w: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单位GDP能源消耗降幅（%）</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按市下达目标</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eastAsia="zh-CN" w:bidi="ar"/>
              </w:rPr>
            </w:pPr>
            <w:r>
              <w:rPr>
                <w:rFonts w:hint="default" w:ascii="Times New Roman" w:hAnsi="Times New Roman" w:cs="Times New Roman"/>
                <w:color w:val="auto"/>
                <w:kern w:val="0"/>
                <w:sz w:val="24"/>
                <w:szCs w:val="24"/>
                <w:highlight w:val="none"/>
                <w:lang w:bidi="ar"/>
              </w:rPr>
              <w:t>1</w:t>
            </w:r>
            <w:r>
              <w:rPr>
                <w:rFonts w:hint="default" w:ascii="Times New Roman" w:hAnsi="Times New Roman" w:cs="Times New Roman"/>
                <w:color w:val="auto"/>
                <w:kern w:val="0"/>
                <w:sz w:val="24"/>
                <w:szCs w:val="24"/>
                <w:highlight w:val="none"/>
                <w:lang w:val="en-US" w:eastAsia="zh-CN" w:bidi="ar"/>
              </w:rPr>
              <w:t>7</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空气优良天数比例（%）</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65.3</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按市下达目标</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eastAsia="zh-CN" w:bidi="ar"/>
              </w:rPr>
            </w:pPr>
            <w:r>
              <w:rPr>
                <w:rFonts w:hint="default" w:ascii="Times New Roman" w:hAnsi="Times New Roman" w:cs="Times New Roman"/>
                <w:color w:val="auto"/>
                <w:kern w:val="0"/>
                <w:sz w:val="24"/>
                <w:szCs w:val="24"/>
                <w:highlight w:val="none"/>
                <w:lang w:bidi="ar"/>
              </w:rPr>
              <w:t>1</w:t>
            </w:r>
            <w:r>
              <w:rPr>
                <w:rFonts w:hint="default" w:ascii="Times New Roman" w:hAnsi="Times New Roman" w:cs="Times New Roman"/>
                <w:color w:val="auto"/>
                <w:kern w:val="0"/>
                <w:sz w:val="24"/>
                <w:szCs w:val="24"/>
                <w:highlight w:val="none"/>
                <w:lang w:val="en-US" w:eastAsia="zh-CN" w:bidi="ar"/>
              </w:rPr>
              <w:t>8</w:t>
            </w:r>
          </w:p>
        </w:tc>
        <w:tc>
          <w:tcPr>
            <w:tcW w:w="7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达到或好于Ⅲ类水体占地表水比例（%）</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75.0</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按市下达目标</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9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19</w:t>
            </w:r>
          </w:p>
        </w:tc>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安全</w:t>
            </w:r>
          </w:p>
          <w:p>
            <w:pPr>
              <w:keepNext w:val="0"/>
              <w:keepLines w:val="0"/>
              <w:pageBreakBefore w:val="0"/>
              <w:widowControl w:val="0"/>
              <w:kinsoku/>
              <w:wordWrap/>
              <w:overflowPunct/>
              <w:topLinePunct w:val="0"/>
              <w:autoSpaceDE/>
              <w:autoSpaceDN/>
              <w:bidi w:val="0"/>
              <w:adjustRightInd/>
              <w:snapToGrid/>
              <w:spacing w:after="0" w:line="0" w:lineRule="atLeast"/>
              <w:jc w:val="center"/>
              <w:textAlignment w:val="top"/>
              <w:rPr>
                <w:rFonts w:hint="default" w:ascii="Times New Roman" w:hAnsi="Times New Roman" w:eastAsia="黑体" w:cs="Times New Roman"/>
                <w:color w:val="auto"/>
                <w:kern w:val="0"/>
                <w:sz w:val="24"/>
                <w:szCs w:val="24"/>
                <w:highlight w:val="none"/>
                <w:lang w:bidi="ar"/>
              </w:rPr>
            </w:pPr>
            <w:r>
              <w:rPr>
                <w:rFonts w:hint="default" w:ascii="Times New Roman" w:hAnsi="Times New Roman" w:eastAsia="黑体" w:cs="Times New Roman"/>
                <w:color w:val="auto"/>
                <w:kern w:val="0"/>
                <w:sz w:val="24"/>
                <w:szCs w:val="24"/>
                <w:highlight w:val="none"/>
                <w:lang w:bidi="ar"/>
              </w:rPr>
              <w:t>保障</w:t>
            </w:r>
          </w:p>
        </w:tc>
        <w:tc>
          <w:tcPr>
            <w:tcW w:w="35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粮食综合生产能力（万吨）</w:t>
            </w:r>
          </w:p>
        </w:tc>
        <w:tc>
          <w:tcPr>
            <w:tcW w:w="1104"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2.5</w:t>
            </w:r>
          </w:p>
        </w:tc>
        <w:tc>
          <w:tcPr>
            <w:tcW w:w="1053"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sz w:val="19"/>
                <w:szCs w:val="19"/>
                <w:highlight w:val="none"/>
                <w:shd w:val="clear" w:color="auto" w:fill="FFFFFF"/>
              </w:rPr>
              <w:t>≥</w:t>
            </w:r>
            <w:r>
              <w:rPr>
                <w:rFonts w:hint="default" w:ascii="Times New Roman" w:hAnsi="Times New Roman" w:eastAsia="仿宋_GB2312" w:cs="Times New Roman"/>
                <w:color w:val="auto"/>
                <w:kern w:val="0"/>
                <w:sz w:val="24"/>
                <w:szCs w:val="24"/>
                <w:highlight w:val="none"/>
                <w:lang w:bidi="ar"/>
              </w:rPr>
              <w:t>2.5</w:t>
            </w:r>
          </w:p>
        </w:tc>
        <w:tc>
          <w:tcPr>
            <w:tcW w:w="1472"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center"/>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eastAsia="仿宋_GB2312" w:cs="Times New Roman"/>
                <w:color w:val="auto"/>
                <w:kern w:val="0"/>
                <w:sz w:val="24"/>
                <w:szCs w:val="24"/>
                <w:highlight w:val="none"/>
                <w:lang w:bidi="ar"/>
              </w:rPr>
            </w:pPr>
            <w:r>
              <w:rPr>
                <w:rFonts w:hint="default" w:ascii="Times New Roman" w:hAnsi="Times New Roman" w:eastAsia="仿宋_GB2312" w:cs="Times New Roman"/>
                <w:color w:val="auto"/>
                <w:kern w:val="0"/>
                <w:sz w:val="24"/>
                <w:szCs w:val="24"/>
                <w:highlight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42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rPr>
                <w:rFonts w:hint="default" w:ascii="Times New Roman" w:hAnsi="Times New Roman" w:cs="Times New Roman"/>
                <w:color w:val="auto"/>
                <w:kern w:val="0"/>
                <w:sz w:val="24"/>
                <w:szCs w:val="24"/>
                <w:highlight w:val="none"/>
                <w:lang w:bidi="ar"/>
              </w:rPr>
            </w:pPr>
            <w:r>
              <w:rPr>
                <w:rStyle w:val="16"/>
                <w:rFonts w:hint="default" w:ascii="Times New Roman" w:hAnsi="Times New Roman" w:eastAsia="仿宋_GB2312" w:cs="Times New Roman"/>
                <w:color w:val="auto"/>
                <w:sz w:val="24"/>
                <w:szCs w:val="24"/>
                <w:highlight w:val="none"/>
                <w:lang w:bidi="ar"/>
              </w:rPr>
              <w:t>注：1.[ ]内数据为五年累计数。</w:t>
            </w:r>
          </w:p>
        </w:tc>
      </w:tr>
    </w:tbl>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lang w:val="en-GB"/>
        </w:rPr>
      </w:pPr>
      <w:bookmarkStart w:id="35" w:name="_Toc20247"/>
      <w:bookmarkStart w:id="36" w:name="_Toc5458"/>
      <w:r>
        <w:rPr>
          <w:rFonts w:hint="default" w:ascii="Times New Roman" w:hAnsi="Times New Roman" w:eastAsia="黑体" w:cs="Times New Roman"/>
          <w:color w:val="auto"/>
          <w:sz w:val="32"/>
          <w:szCs w:val="32"/>
          <w:highlight w:val="none"/>
        </w:rPr>
        <w:t>第二章 推动制造业高质量发展</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把牢先进制造业主攻方向，坚持链式集群化发展，分行业做好产业链供应链图谱设计，深入开展延链补链强链行动，做强优势产业、做大新兴产业、做优传统产业。强化创新驱动，推进高端装备专业园区建设，推动先进制造业集群化、高端化、智能化</w:t>
      </w:r>
      <w:r>
        <w:rPr>
          <w:rFonts w:hint="eastAsia"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绿色化</w:t>
      </w:r>
      <w:r>
        <w:rPr>
          <w:rFonts w:hint="default" w:ascii="Times New Roman" w:hAnsi="Times New Roman" w:eastAsia="仿宋_GB2312" w:cs="Times New Roman"/>
          <w:color w:val="auto"/>
          <w:spacing w:val="0"/>
          <w:sz w:val="32"/>
          <w:szCs w:val="32"/>
          <w:highlight w:val="none"/>
        </w:rPr>
        <w:t>发展，形成全区经济高质量发展的主引擎，力争到“十四五”末形成</w:t>
      </w:r>
      <w:r>
        <w:rPr>
          <w:rFonts w:hint="default" w:ascii="Times New Roman" w:hAnsi="Times New Roman" w:eastAsia="仿宋_GB2312" w:cs="Times New Roman"/>
          <w:color w:val="auto"/>
          <w:spacing w:val="0"/>
          <w:kern w:val="2"/>
          <w:sz w:val="32"/>
          <w:szCs w:val="32"/>
          <w:highlight w:val="none"/>
          <w:lang w:val="en-US" w:eastAsia="zh-CN" w:bidi="ar"/>
        </w:rPr>
        <w:t>2</w:t>
      </w:r>
      <w:r>
        <w:rPr>
          <w:rFonts w:hint="default" w:ascii="Times New Roman" w:hAnsi="Times New Roman" w:eastAsia="仿宋_GB2312" w:cs="Times New Roman"/>
          <w:color w:val="auto"/>
          <w:spacing w:val="0"/>
          <w:sz w:val="32"/>
          <w:szCs w:val="32"/>
          <w:highlight w:val="none"/>
        </w:rPr>
        <w:t>个百亿（高端装备制造、铜材料深加工）、</w:t>
      </w:r>
      <w:r>
        <w:rPr>
          <w:rFonts w:hint="default" w:ascii="Times New Roman" w:hAnsi="Times New Roman" w:eastAsia="仿宋_GB2312" w:cs="Times New Roman"/>
          <w:color w:val="auto"/>
          <w:spacing w:val="0"/>
          <w:kern w:val="2"/>
          <w:sz w:val="32"/>
          <w:szCs w:val="32"/>
          <w:highlight w:val="none"/>
          <w:lang w:val="en-US" w:eastAsia="zh-CN" w:bidi="ar"/>
        </w:rPr>
        <w:t>1</w:t>
      </w:r>
      <w:r>
        <w:rPr>
          <w:rFonts w:hint="default" w:ascii="Times New Roman" w:hAnsi="Times New Roman" w:eastAsia="仿宋_GB2312" w:cs="Times New Roman"/>
          <w:color w:val="auto"/>
          <w:spacing w:val="0"/>
          <w:sz w:val="32"/>
          <w:szCs w:val="32"/>
          <w:highlight w:val="none"/>
        </w:rPr>
        <w:t>个五十亿的产业集群（</w:t>
      </w:r>
      <w:r>
        <w:rPr>
          <w:rFonts w:hint="default" w:ascii="Times New Roman" w:hAnsi="Times New Roman" w:eastAsia="仿宋_GB2312" w:cs="Times New Roman"/>
          <w:color w:val="auto"/>
          <w:spacing w:val="0"/>
          <w:sz w:val="32"/>
          <w:szCs w:val="32"/>
          <w:highlight w:val="none"/>
          <w:lang w:val="en-US" w:eastAsia="zh-CN"/>
        </w:rPr>
        <w:t>智能</w:t>
      </w:r>
      <w:r>
        <w:rPr>
          <w:rFonts w:hint="default" w:ascii="Times New Roman" w:hAnsi="Times New Roman" w:eastAsia="仿宋_GB2312" w:cs="Times New Roman"/>
          <w:color w:val="auto"/>
          <w:spacing w:val="0"/>
          <w:sz w:val="32"/>
          <w:szCs w:val="32"/>
          <w:highlight w:val="none"/>
        </w:rPr>
        <w:t>机器人）。</w:t>
      </w:r>
      <w:bookmarkEnd w:id="35"/>
      <w:bookmarkEnd w:id="36"/>
      <w:bookmarkStart w:id="37" w:name="_Toc14874"/>
      <w:bookmarkStart w:id="38" w:name="_Toc12309"/>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r>
        <w:rPr>
          <w:rFonts w:hint="default" w:ascii="Times New Roman" w:hAnsi="Times New Roman" w:eastAsia="楷体_GB2312" w:cs="Times New Roman"/>
          <w:snapToGrid w:val="0"/>
          <w:color w:val="auto"/>
          <w:spacing w:val="0"/>
          <w:sz w:val="32"/>
          <w:szCs w:val="32"/>
          <w:highlight w:val="none"/>
        </w:rPr>
        <w:t>第一节 做大做强高端装备制造产业</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lang w:eastAsia="zh-CN"/>
        </w:rPr>
        <w:t>高端</w:t>
      </w:r>
      <w:r>
        <w:rPr>
          <w:rFonts w:hint="default" w:ascii="Times New Roman" w:hAnsi="Times New Roman" w:eastAsia="仿宋_GB2312" w:cs="Times New Roman"/>
          <w:b/>
          <w:bCs/>
          <w:color w:val="auto"/>
          <w:spacing w:val="0"/>
          <w:sz w:val="32"/>
          <w:szCs w:val="32"/>
          <w:highlight w:val="none"/>
        </w:rPr>
        <w:t>装备。</w:t>
      </w:r>
      <w:r>
        <w:rPr>
          <w:rFonts w:hint="default" w:ascii="Times New Roman" w:hAnsi="Times New Roman" w:eastAsia="仿宋_GB2312" w:cs="Times New Roman"/>
          <w:color w:val="auto"/>
          <w:spacing w:val="0"/>
          <w:sz w:val="32"/>
          <w:szCs w:val="32"/>
          <w:highlight w:val="none"/>
        </w:rPr>
        <w:t>着力稳定供应链、优化产业链、提升价值链，积极扶持中铁工程装备集团隧道设备制造有限公司、中铁隧道股份有限公司</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新乡机械制造公司等</w:t>
      </w:r>
      <w:r>
        <w:rPr>
          <w:rFonts w:hint="eastAsia" w:eastAsia="仿宋_GB2312" w:cs="Times New Roman"/>
          <w:color w:val="auto"/>
          <w:spacing w:val="0"/>
          <w:sz w:val="32"/>
          <w:szCs w:val="32"/>
          <w:highlight w:val="none"/>
          <w:lang w:val="en-US" w:eastAsia="zh-CN"/>
        </w:rPr>
        <w:t>骨干</w:t>
      </w:r>
      <w:r>
        <w:rPr>
          <w:rFonts w:hint="default" w:ascii="Times New Roman" w:hAnsi="Times New Roman" w:eastAsia="仿宋_GB2312" w:cs="Times New Roman"/>
          <w:color w:val="auto"/>
          <w:spacing w:val="0"/>
          <w:sz w:val="32"/>
          <w:szCs w:val="32"/>
          <w:highlight w:val="none"/>
        </w:rPr>
        <w:t>企业，加强与郑州盾构研发制造基地协作配套，大力发展矩型盾构机、硬岩掘进机（TBM）、市政用大型顶管机、特种小型盾构机等特种领域智能隧道装备产品，加快隧道钻爆法施工设备机械化、成套化、信息化步伐，加快湿喷机、凿岩台车及其他配套隧道施工设备的市场推广。围绕解决中铁装备配套短板问题，高标准建设一批工业厂房，加快发展盾构后配套设备和隧道施工专用配套设备，持续提升隧道装备集群发展规模和水平，逐步形成以盾构机和硬岩顶管机、智能装备等生产制造、配套设备与维修养护于一体的完整产业链条，建成全国重要的智能隧道装备及后配套产业基地。力争到“十四五”末，全区智能装备企业达到</w:t>
      </w:r>
      <w:r>
        <w:rPr>
          <w:rFonts w:hint="default" w:ascii="Times New Roman" w:hAnsi="Times New Roman" w:eastAsia="仿宋_GB2312" w:cs="Times New Roman"/>
          <w:color w:val="auto"/>
          <w:spacing w:val="0"/>
          <w:kern w:val="2"/>
          <w:sz w:val="32"/>
          <w:szCs w:val="32"/>
          <w:highlight w:val="none"/>
          <w:lang w:val="en-US" w:eastAsia="zh-CN" w:bidi="ar"/>
        </w:rPr>
        <w:t>15</w:t>
      </w:r>
      <w:r>
        <w:rPr>
          <w:rFonts w:hint="default" w:ascii="Times New Roman" w:hAnsi="Times New Roman" w:eastAsia="仿宋_GB2312" w:cs="Times New Roman"/>
          <w:color w:val="auto"/>
          <w:spacing w:val="0"/>
          <w:sz w:val="32"/>
          <w:szCs w:val="32"/>
          <w:highlight w:val="none"/>
        </w:rPr>
        <w:t>家，实现营业收入100亿元以上。</w:t>
      </w:r>
      <w:bookmarkEnd w:id="37"/>
      <w:bookmarkEnd w:id="38"/>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lang w:eastAsia="zh-CN"/>
        </w:rPr>
        <w:t>智能</w:t>
      </w:r>
      <w:r>
        <w:rPr>
          <w:rFonts w:hint="default" w:ascii="Times New Roman" w:hAnsi="Times New Roman" w:eastAsia="仿宋_GB2312" w:cs="Times New Roman"/>
          <w:b/>
          <w:bCs/>
          <w:color w:val="auto"/>
          <w:spacing w:val="0"/>
          <w:sz w:val="32"/>
          <w:szCs w:val="32"/>
          <w:highlight w:val="none"/>
        </w:rPr>
        <w:t>机器人。</w:t>
      </w:r>
      <w:r>
        <w:rPr>
          <w:rFonts w:hint="default" w:ascii="Times New Roman" w:hAnsi="Times New Roman" w:eastAsia="仿宋_GB2312" w:cs="Times New Roman"/>
          <w:color w:val="auto"/>
          <w:spacing w:val="0"/>
          <w:sz w:val="32"/>
          <w:szCs w:val="32"/>
          <w:highlight w:val="none"/>
        </w:rPr>
        <w:t>适应机器人产业发展新趋势，立足产业发展基础，加快推动产业规模扩张、结构优化、效益提升。支持勤工机器人等</w:t>
      </w:r>
      <w:r>
        <w:rPr>
          <w:rFonts w:hint="eastAsia" w:eastAsia="仿宋_GB2312" w:cs="Times New Roman"/>
          <w:color w:val="auto"/>
          <w:spacing w:val="0"/>
          <w:sz w:val="32"/>
          <w:szCs w:val="32"/>
          <w:highlight w:val="none"/>
          <w:lang w:val="en-US" w:eastAsia="zh-CN"/>
        </w:rPr>
        <w:t>骨干</w:t>
      </w:r>
      <w:r>
        <w:rPr>
          <w:rFonts w:hint="default" w:ascii="Times New Roman" w:hAnsi="Times New Roman" w:eastAsia="仿宋_GB2312" w:cs="Times New Roman"/>
          <w:color w:val="auto"/>
          <w:spacing w:val="0"/>
          <w:sz w:val="32"/>
          <w:szCs w:val="32"/>
          <w:highlight w:val="none"/>
        </w:rPr>
        <w:t>企业，加强与上海交通大学机器人研究所、河南省机器人产业联盟等省内外高校及研究院所的合作，以工业机器人、智能成套设备等为重点，着力发展集成制造，以系统集成优势带动关键零部件突破</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加快引进一批高水平的大企业、大项目，做优做强一批传感器、智能仪表、控制系统、工业软件等“专精特”配套企业，全面提升机器人制造业的核心竞争力，</w:t>
      </w:r>
      <w:r>
        <w:rPr>
          <w:rFonts w:hint="eastAsia" w:eastAsia="仿宋_GB2312" w:cs="Times New Roman"/>
          <w:color w:val="auto"/>
          <w:spacing w:val="0"/>
          <w:sz w:val="32"/>
          <w:szCs w:val="32"/>
          <w:highlight w:val="none"/>
          <w:lang w:val="en-US" w:eastAsia="zh-CN"/>
        </w:rPr>
        <w:t>促进机器人</w:t>
      </w:r>
      <w:r>
        <w:rPr>
          <w:rFonts w:hint="default" w:ascii="Times New Roman" w:hAnsi="Times New Roman" w:eastAsia="仿宋_GB2312" w:cs="Times New Roman"/>
          <w:color w:val="auto"/>
          <w:spacing w:val="0"/>
          <w:sz w:val="32"/>
          <w:szCs w:val="32"/>
          <w:highlight w:val="none"/>
        </w:rPr>
        <w:t>产业集聚发展，</w:t>
      </w:r>
      <w:r>
        <w:rPr>
          <w:rFonts w:hint="eastAsia" w:eastAsia="仿宋_GB2312" w:cs="Times New Roman"/>
          <w:color w:val="auto"/>
          <w:spacing w:val="0"/>
          <w:sz w:val="32"/>
          <w:szCs w:val="32"/>
          <w:highlight w:val="none"/>
          <w:lang w:val="en-US" w:eastAsia="zh-CN"/>
        </w:rPr>
        <w:t>打造</w:t>
      </w:r>
      <w:r>
        <w:rPr>
          <w:rFonts w:hint="default" w:ascii="Times New Roman" w:hAnsi="Times New Roman" w:eastAsia="仿宋_GB2312" w:cs="Times New Roman"/>
          <w:color w:val="auto"/>
          <w:spacing w:val="0"/>
          <w:sz w:val="32"/>
          <w:szCs w:val="32"/>
          <w:highlight w:val="none"/>
        </w:rPr>
        <w:t>中原地区重要的机器人产业基地。力争到“十四五”末，全区</w:t>
      </w:r>
      <w:r>
        <w:rPr>
          <w:rFonts w:hint="default" w:ascii="Times New Roman" w:hAnsi="Times New Roman" w:eastAsia="仿宋_GB2312" w:cs="Times New Roman"/>
          <w:color w:val="auto"/>
          <w:spacing w:val="0"/>
          <w:sz w:val="32"/>
          <w:szCs w:val="32"/>
          <w:highlight w:val="none"/>
          <w:lang w:eastAsia="zh-CN"/>
        </w:rPr>
        <w:t>智能</w:t>
      </w:r>
      <w:r>
        <w:rPr>
          <w:rFonts w:hint="default" w:ascii="Times New Roman" w:hAnsi="Times New Roman" w:eastAsia="仿宋_GB2312" w:cs="Times New Roman"/>
          <w:color w:val="auto"/>
          <w:spacing w:val="0"/>
          <w:sz w:val="32"/>
          <w:szCs w:val="32"/>
          <w:highlight w:val="none"/>
        </w:rPr>
        <w:t>机器人企业达到10家，实现营业收入</w:t>
      </w:r>
      <w:r>
        <w:rPr>
          <w:rFonts w:hint="default" w:ascii="Times New Roman" w:hAnsi="Times New Roman" w:eastAsia="仿宋_GB2312" w:cs="Times New Roman"/>
          <w:color w:val="auto"/>
          <w:spacing w:val="0"/>
          <w:kern w:val="2"/>
          <w:sz w:val="32"/>
          <w:szCs w:val="32"/>
          <w:highlight w:val="none"/>
          <w:lang w:val="en-US" w:eastAsia="zh-CN" w:bidi="ar"/>
        </w:rPr>
        <w:t>50</w:t>
      </w:r>
      <w:r>
        <w:rPr>
          <w:rFonts w:hint="default" w:ascii="Times New Roman" w:hAnsi="Times New Roman" w:eastAsia="仿宋_GB2312" w:cs="Times New Roman"/>
          <w:color w:val="auto"/>
          <w:spacing w:val="0"/>
          <w:sz w:val="32"/>
          <w:szCs w:val="32"/>
          <w:highlight w:val="none"/>
        </w:rPr>
        <w:t>亿元以上。</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39" w:name="_Toc28955"/>
      <w:bookmarkStart w:id="40" w:name="_Toc8428"/>
      <w:r>
        <w:rPr>
          <w:rFonts w:hint="default" w:ascii="Times New Roman" w:hAnsi="Times New Roman" w:eastAsia="楷体_GB2312" w:cs="Times New Roman"/>
          <w:snapToGrid w:val="0"/>
          <w:color w:val="auto"/>
          <w:spacing w:val="0"/>
          <w:sz w:val="32"/>
          <w:szCs w:val="32"/>
          <w:highlight w:val="none"/>
        </w:rPr>
        <w:t>第二节 加快发展铜材料深加工产业</w:t>
      </w:r>
      <w:bookmarkEnd w:id="39"/>
      <w:bookmarkEnd w:id="40"/>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立足</w:t>
      </w:r>
      <w:r>
        <w:rPr>
          <w:rFonts w:hint="eastAsia" w:eastAsia="仿宋_GB2312" w:cs="Times New Roman"/>
          <w:color w:val="auto"/>
          <w:spacing w:val="0"/>
          <w:sz w:val="32"/>
          <w:szCs w:val="32"/>
          <w:highlight w:val="none"/>
          <w:lang w:val="en-US" w:eastAsia="zh-CN"/>
        </w:rPr>
        <w:t>全</w:t>
      </w:r>
      <w:r>
        <w:rPr>
          <w:rFonts w:hint="default" w:ascii="Times New Roman" w:hAnsi="Times New Roman" w:eastAsia="仿宋_GB2312" w:cs="Times New Roman"/>
          <w:color w:val="auto"/>
          <w:spacing w:val="0"/>
          <w:sz w:val="32"/>
          <w:szCs w:val="32"/>
          <w:highlight w:val="none"/>
        </w:rPr>
        <w:t>区铜加工产业基础，紧密结合铜加工作为资金和技术密集型产业特点以及专业化、特色化、规模化的发展趋势，紧抓新兴信息产业、生物产业、新能源、高端装备制造业和新材料、节能环保等新兴产业为高端铜基材料带来的新需求，支持金龙精密铜管新乡制造有限公司、凯美龙精密铜板带（河南）有限公司等</w:t>
      </w:r>
      <w:r>
        <w:rPr>
          <w:rFonts w:hint="eastAsia" w:eastAsia="仿宋_GB2312" w:cs="Times New Roman"/>
          <w:color w:val="auto"/>
          <w:spacing w:val="0"/>
          <w:sz w:val="32"/>
          <w:szCs w:val="32"/>
          <w:highlight w:val="none"/>
          <w:lang w:val="en-US" w:eastAsia="zh-CN"/>
        </w:rPr>
        <w:t>骨干</w:t>
      </w:r>
      <w:r>
        <w:rPr>
          <w:rFonts w:hint="default" w:ascii="Times New Roman" w:hAnsi="Times New Roman" w:eastAsia="仿宋_GB2312" w:cs="Times New Roman"/>
          <w:color w:val="auto"/>
          <w:spacing w:val="0"/>
          <w:sz w:val="32"/>
          <w:szCs w:val="32"/>
          <w:highlight w:val="none"/>
        </w:rPr>
        <w:t>企业，以新能源汽车及充电桩、5G基站、工业互联网、大数据中心、人工智能等利用的高端铜板带、箔、棒、线产品为导向，加快引进高性能铜箔、覆铜板、积层板、电子级铜带等铜基新材料产业，大力开发上下游配套产业。进一步鼓励自主创新，加强技术研发，提高装备国产化，促进区域铜材生产水平赶超世界先进水平。力争到“十四五”末，全区铜加工企业达到10家，实现营业收入</w:t>
      </w:r>
      <w:r>
        <w:rPr>
          <w:rFonts w:hint="default" w:ascii="Times New Roman" w:hAnsi="Times New Roman" w:eastAsia="仿宋_GB2312" w:cs="Times New Roman"/>
          <w:color w:val="auto"/>
          <w:spacing w:val="0"/>
          <w:sz w:val="32"/>
          <w:szCs w:val="32"/>
          <w:highlight w:val="none"/>
          <w:lang w:val="en-US" w:eastAsia="zh-CN"/>
        </w:rPr>
        <w:t>100</w:t>
      </w:r>
      <w:r>
        <w:rPr>
          <w:rFonts w:hint="default" w:ascii="Times New Roman" w:hAnsi="Times New Roman" w:eastAsia="仿宋_GB2312" w:cs="Times New Roman"/>
          <w:color w:val="auto"/>
          <w:spacing w:val="0"/>
          <w:sz w:val="32"/>
          <w:szCs w:val="32"/>
          <w:highlight w:val="none"/>
        </w:rPr>
        <w:t>亿元以上。</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41" w:name="_Toc5218"/>
      <w:bookmarkStart w:id="42" w:name="_Toc19447"/>
      <w:r>
        <w:rPr>
          <w:rFonts w:hint="default" w:ascii="Times New Roman" w:hAnsi="Times New Roman" w:eastAsia="楷体_GB2312" w:cs="Times New Roman"/>
          <w:snapToGrid w:val="0"/>
          <w:color w:val="auto"/>
          <w:spacing w:val="0"/>
          <w:sz w:val="32"/>
          <w:szCs w:val="32"/>
          <w:highlight w:val="none"/>
        </w:rPr>
        <w:t>第三节 积极发展战略新兴产业</w:t>
      </w:r>
      <w:bookmarkEnd w:id="41"/>
      <w:bookmarkEnd w:id="42"/>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推进高端装备专业园区扩区，布局南部平原镇部分区域作为高新区的拓展区，推动</w:t>
      </w:r>
      <w:r>
        <w:rPr>
          <w:rFonts w:hint="default" w:ascii="Times New Roman" w:hAnsi="Times New Roman" w:eastAsia="仿宋_GB2312" w:cs="Times New Roman"/>
          <w:color w:val="auto"/>
          <w:spacing w:val="0"/>
          <w:sz w:val="32"/>
          <w:szCs w:val="32"/>
          <w:highlight w:val="none"/>
          <w:lang w:eastAsia="zh-CN"/>
        </w:rPr>
        <w:t>生命科学和生物技术、</w:t>
      </w:r>
      <w:r>
        <w:rPr>
          <w:rFonts w:hint="default" w:ascii="Times New Roman" w:hAnsi="Times New Roman" w:eastAsia="仿宋_GB2312" w:cs="Times New Roman"/>
          <w:color w:val="auto"/>
          <w:spacing w:val="0"/>
          <w:sz w:val="32"/>
          <w:szCs w:val="32"/>
          <w:highlight w:val="none"/>
        </w:rPr>
        <w:t>航空航天</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新能源等战略新兴产业发展壮大。</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b w:val="0"/>
          <w:bCs w:val="0"/>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生命科学和生物技术。</w:t>
      </w:r>
      <w:r>
        <w:rPr>
          <w:rFonts w:hint="default" w:ascii="Times New Roman" w:hAnsi="Times New Roman" w:eastAsia="仿宋_GB2312" w:cs="Times New Roman"/>
          <w:b w:val="0"/>
          <w:bCs w:val="0"/>
          <w:color w:val="auto"/>
          <w:spacing w:val="0"/>
          <w:sz w:val="32"/>
          <w:szCs w:val="32"/>
          <w:highlight w:val="none"/>
          <w:lang w:eastAsia="zh-CN"/>
        </w:rPr>
        <w:t>以高新区现有生命科学园为载体，发挥蒸汽管网畅通等地理优势，培育培养龙头企业，为生命科学和生物技术等领域合作创造条件。</w:t>
      </w:r>
      <w:r>
        <w:rPr>
          <w:rFonts w:hint="eastAsia" w:eastAsia="仿宋_GB2312" w:cs="Times New Roman"/>
          <w:b w:val="0"/>
          <w:bCs w:val="0"/>
          <w:color w:val="auto"/>
          <w:spacing w:val="0"/>
          <w:sz w:val="32"/>
          <w:szCs w:val="32"/>
          <w:highlight w:val="none"/>
          <w:lang w:val="en-US" w:eastAsia="zh-CN"/>
        </w:rPr>
        <w:t>积极</w:t>
      </w:r>
      <w:r>
        <w:rPr>
          <w:rFonts w:hint="default" w:ascii="Times New Roman" w:hAnsi="Times New Roman" w:eastAsia="仿宋_GB2312" w:cs="Times New Roman"/>
          <w:b w:val="0"/>
          <w:bCs w:val="0"/>
          <w:color w:val="auto"/>
          <w:spacing w:val="0"/>
          <w:sz w:val="32"/>
          <w:szCs w:val="32"/>
          <w:highlight w:val="none"/>
          <w:lang w:eastAsia="zh-CN"/>
        </w:rPr>
        <w:t>引进优质企业及项目</w:t>
      </w:r>
      <w:r>
        <w:rPr>
          <w:rFonts w:hint="eastAsia" w:eastAsia="仿宋_GB2312"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逐步充实生物医药、精准诊疗、医疗器械与高端耗材、动物保健及功能性食品等五大版块。</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航空航天。</w:t>
      </w:r>
      <w:r>
        <w:rPr>
          <w:rFonts w:hint="default" w:ascii="Times New Roman" w:hAnsi="Times New Roman" w:eastAsia="仿宋_GB2312" w:cs="Times New Roman"/>
          <w:color w:val="auto"/>
          <w:spacing w:val="0"/>
          <w:sz w:val="32"/>
          <w:szCs w:val="32"/>
          <w:highlight w:val="none"/>
        </w:rPr>
        <w:t>以高端滤材、关键零部件等为重点，对接高新区过滤产业，引进高端滤材、新型过滤等，延链补链强链，健全过滤产业链条。结合新航集团机载产品研制、飞机环控等方面的优势，鼓励引进国内外成熟的航空航天关键零部件生产线。积极吸引新兴前沿企业入驻，提供中试共享空间、中小企业孵化器等产业服务。</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新能源。</w:t>
      </w:r>
      <w:r>
        <w:rPr>
          <w:rFonts w:hint="default" w:ascii="Times New Roman" w:hAnsi="Times New Roman" w:eastAsia="仿宋_GB2312" w:cs="Times New Roman"/>
          <w:color w:val="auto"/>
          <w:spacing w:val="0"/>
          <w:sz w:val="32"/>
          <w:szCs w:val="32"/>
          <w:highlight w:val="none"/>
        </w:rPr>
        <w:t>注重强化研发、制造环节，重点发展氢能产业和航空航天的氢能应用产业方向，积极引进氢燃料电池、动力锂电池、新能源整车及汽车零部件等项目。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43" w:name="_Toc9150"/>
      <w:bookmarkStart w:id="44" w:name="_Toc11257"/>
      <w:r>
        <w:rPr>
          <w:rFonts w:hint="default" w:ascii="Times New Roman" w:hAnsi="Times New Roman" w:eastAsia="楷体_GB2312" w:cs="Times New Roman"/>
          <w:snapToGrid w:val="0"/>
          <w:color w:val="auto"/>
          <w:spacing w:val="0"/>
          <w:sz w:val="32"/>
          <w:szCs w:val="32"/>
          <w:highlight w:val="none"/>
        </w:rPr>
        <w:t>第四节 推动制造业数字化发展</w:t>
      </w:r>
      <w:bookmarkEnd w:id="43"/>
      <w:bookmarkEnd w:id="44"/>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发挥高端装备专业园区作为河南省</w:t>
      </w:r>
      <w:r>
        <w:rPr>
          <w:rFonts w:hint="default" w:ascii="Times New Roman" w:hAnsi="Times New Roman" w:eastAsia="仿宋_GB2312" w:cs="Times New Roman"/>
          <w:color w:val="auto"/>
          <w:spacing w:val="0"/>
          <w:sz w:val="32"/>
          <w:szCs w:val="32"/>
          <w:highlight w:val="none"/>
          <w:lang w:eastAsia="zh-CN"/>
        </w:rPr>
        <w:t>工信厅重点培育的</w:t>
      </w:r>
      <w:r>
        <w:rPr>
          <w:rFonts w:hint="default" w:ascii="Times New Roman" w:hAnsi="Times New Roman" w:eastAsia="仿宋_GB2312" w:cs="Times New Roman"/>
          <w:color w:val="auto"/>
          <w:spacing w:val="0"/>
          <w:sz w:val="32"/>
          <w:szCs w:val="32"/>
          <w:highlight w:val="none"/>
        </w:rPr>
        <w:t>智能装备产业园区优势，重点发展网络协同制造、远程运维服务、产品全生命周期管理、供应链管理等新型制造模式，推动先进制造业与现代服务业深度融合。以智能制造为引领，大力推进车联网、个性化定制、柔性制造等新业态、新模式发展，推进企业开展“设备换芯、生产换线、机器换人”，支持企业根据自身情况建设智能生产线、智能车间、智能工厂，有序开展传统工业转型升级。推动生产、管理、营销各环节智能化建设，逐步实现生产系统智能化、制造营销协同化、上下游企业融合化。支持打造智能制造公共服务平台，推进智能制造基础软硬件产品、智能制造装备的研发和产业化，提升智能制造支撑能力。支持高端装备专业园区转型为研发生产、质量控制、运行管理全面互联和产业链环环相扣的智能化园区。实施“互联网+”“大数据+”“智能制造+”等行动，支持企业</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上云用数赋智</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通过数字为产业发展赋能，力促制造业数字化发展。支持骨干企业开放企业内部和产业链上下游资源，建设支撑制造资源泛在连接、弹性供给、高效配置的云平台。引导企业将基础设施、业务系统、设备产品向云端迁移，降低信息化建设成本和门槛，加快推进企业数字化转型。到“十四五”末，全区规模以上智能化改造企业达到10家。</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45" w:name="_Toc17758"/>
      <w:bookmarkStart w:id="46" w:name="_Toc10658"/>
      <w:r>
        <w:rPr>
          <w:rFonts w:hint="default" w:ascii="Times New Roman" w:hAnsi="Times New Roman" w:eastAsia="楷体_GB2312" w:cs="Times New Roman"/>
          <w:snapToGrid w:val="0"/>
          <w:color w:val="auto"/>
          <w:spacing w:val="0"/>
          <w:sz w:val="32"/>
          <w:szCs w:val="32"/>
          <w:highlight w:val="none"/>
        </w:rPr>
        <w:t>第五节 加强专业园区平台建设</w:t>
      </w:r>
      <w:bookmarkEnd w:id="45"/>
      <w:bookmarkEnd w:id="46"/>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聚焦打造高能级高端装备专业园区，坚持锻长板补短板，培育具有竞争优势的两化融合产业发展平台。“十四五”</w:t>
      </w:r>
      <w:r>
        <w:rPr>
          <w:rFonts w:hint="default" w:ascii="Times New Roman" w:hAnsi="Times New Roman" w:eastAsia="仿宋_GB2312" w:cs="Times New Roman"/>
          <w:color w:val="auto"/>
          <w:spacing w:val="0"/>
          <w:sz w:val="32"/>
          <w:szCs w:val="32"/>
          <w:highlight w:val="none"/>
          <w:lang w:eastAsia="zh-CN"/>
        </w:rPr>
        <w:t>末</w:t>
      </w:r>
      <w:r>
        <w:rPr>
          <w:rFonts w:hint="default" w:ascii="Times New Roman" w:hAnsi="Times New Roman" w:eastAsia="仿宋_GB2312" w:cs="Times New Roman"/>
          <w:color w:val="auto"/>
          <w:spacing w:val="0"/>
          <w:sz w:val="32"/>
          <w:szCs w:val="32"/>
          <w:highlight w:val="none"/>
        </w:rPr>
        <w:t>，力争园区入驻亿元以上装备制造业项目</w:t>
      </w:r>
      <w:r>
        <w:rPr>
          <w:rFonts w:hint="default" w:ascii="Times New Roman" w:hAnsi="Times New Roman" w:eastAsia="仿宋_GB2312" w:cs="Times New Roman"/>
          <w:color w:val="auto"/>
          <w:spacing w:val="0"/>
          <w:kern w:val="2"/>
          <w:sz w:val="32"/>
          <w:szCs w:val="32"/>
          <w:highlight w:val="none"/>
          <w:lang w:val="en-US" w:eastAsia="zh-CN" w:bidi="ar"/>
        </w:rPr>
        <w:t>20</w:t>
      </w:r>
      <w:r>
        <w:rPr>
          <w:rFonts w:hint="default" w:ascii="Times New Roman" w:hAnsi="Times New Roman" w:eastAsia="仿宋_GB2312" w:cs="Times New Roman"/>
          <w:color w:val="auto"/>
          <w:spacing w:val="0"/>
          <w:sz w:val="32"/>
          <w:szCs w:val="32"/>
          <w:highlight w:val="none"/>
        </w:rPr>
        <w:t>个，总投资达到100亿元以上，年销售收入超亿元大型企业（集团）力争达到20家以上。</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lang w:val="en-GB"/>
        </w:rPr>
        <w:t>积极推进与高新区</w:t>
      </w:r>
      <w:r>
        <w:rPr>
          <w:rFonts w:hint="default" w:ascii="Times New Roman" w:hAnsi="Times New Roman" w:eastAsia="仿宋_GB2312" w:cs="Times New Roman"/>
          <w:b/>
          <w:bCs/>
          <w:color w:val="auto"/>
          <w:spacing w:val="0"/>
          <w:sz w:val="32"/>
          <w:szCs w:val="32"/>
          <w:highlight w:val="none"/>
          <w:lang w:val="en-GB" w:eastAsia="zh-CN"/>
        </w:rPr>
        <w:t>套</w:t>
      </w:r>
      <w:r>
        <w:rPr>
          <w:rFonts w:hint="default" w:ascii="Times New Roman" w:hAnsi="Times New Roman" w:eastAsia="仿宋_GB2312" w:cs="Times New Roman"/>
          <w:b/>
          <w:bCs/>
          <w:color w:val="auto"/>
          <w:spacing w:val="0"/>
          <w:sz w:val="32"/>
          <w:szCs w:val="32"/>
          <w:highlight w:val="none"/>
          <w:lang w:val="en-GB"/>
        </w:rPr>
        <w:t>合。</w:t>
      </w:r>
      <w:r>
        <w:rPr>
          <w:rFonts w:hint="default" w:ascii="Times New Roman" w:hAnsi="Times New Roman" w:eastAsia="仿宋_GB2312" w:cs="Times New Roman"/>
          <w:color w:val="auto"/>
          <w:spacing w:val="0"/>
          <w:sz w:val="32"/>
          <w:szCs w:val="32"/>
          <w:highlight w:val="none"/>
          <w:lang w:val="en-GB"/>
        </w:rPr>
        <w:t>积极推进高端装备专业园区与高新区融合，并</w:t>
      </w:r>
      <w:r>
        <w:rPr>
          <w:rFonts w:hint="eastAsia" w:eastAsia="仿宋_GB2312" w:cs="Times New Roman"/>
          <w:color w:val="auto"/>
          <w:spacing w:val="0"/>
          <w:sz w:val="32"/>
          <w:szCs w:val="32"/>
          <w:highlight w:val="none"/>
          <w:lang w:val="en-US" w:eastAsia="zh-CN"/>
        </w:rPr>
        <w:t>作</w:t>
      </w:r>
      <w:r>
        <w:rPr>
          <w:rFonts w:hint="default" w:ascii="Times New Roman" w:hAnsi="Times New Roman" w:eastAsia="仿宋_GB2312" w:cs="Times New Roman"/>
          <w:color w:val="auto"/>
          <w:spacing w:val="0"/>
          <w:sz w:val="32"/>
          <w:szCs w:val="32"/>
          <w:highlight w:val="none"/>
          <w:lang w:val="en-GB"/>
        </w:rPr>
        <w:t>为高新区“西区”，实行一个规划、一套政策，共同开发，逐步实现一体化。</w:t>
      </w:r>
      <w:r>
        <w:rPr>
          <w:rFonts w:hint="default" w:ascii="Times New Roman" w:hAnsi="Times New Roman" w:eastAsia="仿宋_GB2312" w:cs="Times New Roman"/>
          <w:color w:val="auto"/>
          <w:spacing w:val="0"/>
          <w:sz w:val="32"/>
          <w:szCs w:val="32"/>
          <w:highlight w:val="none"/>
        </w:rPr>
        <w:t>推进高端装备专业园区扩区，将平原镇南部部分区域作为高新区的拓展区。</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lang w:val="en-GB"/>
        </w:rPr>
        <w:t>谋划推进区中园建设。</w:t>
      </w:r>
      <w:r>
        <w:rPr>
          <w:rFonts w:hint="default" w:ascii="Times New Roman" w:hAnsi="Times New Roman" w:eastAsia="仿宋_GB2312" w:cs="Times New Roman"/>
          <w:color w:val="auto"/>
          <w:spacing w:val="0"/>
          <w:sz w:val="32"/>
          <w:szCs w:val="32"/>
          <w:highlight w:val="none"/>
        </w:rPr>
        <w:t>谋划</w:t>
      </w:r>
      <w:r>
        <w:rPr>
          <w:rFonts w:hint="default" w:ascii="Times New Roman" w:hAnsi="Times New Roman" w:eastAsia="仿宋_GB2312" w:cs="Times New Roman"/>
          <w:color w:val="auto"/>
          <w:spacing w:val="0"/>
          <w:sz w:val="32"/>
          <w:szCs w:val="32"/>
          <w:highlight w:val="none"/>
          <w:lang w:val="en-GB"/>
        </w:rPr>
        <w:t>推进隧道设备产业园、智能机器人产业园、装备智能产业园</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val="en-GB"/>
        </w:rPr>
        <w:t>铜加工产业园、卫滨科创产业园等区中园建设</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val="en-GB"/>
        </w:rPr>
        <w:t>按照项目需求进行整体设计，统一完善相关基础设施和服务设施，实现功能共享，进一步降低建设成本。同时，根据区中园定位，优先引进符合条件的</w:t>
      </w:r>
      <w:r>
        <w:rPr>
          <w:rFonts w:hint="eastAsia" w:eastAsia="仿宋_GB2312" w:cs="Times New Roman"/>
          <w:color w:val="auto"/>
          <w:spacing w:val="0"/>
          <w:sz w:val="32"/>
          <w:szCs w:val="32"/>
          <w:highlight w:val="none"/>
          <w:lang w:val="en-US" w:eastAsia="zh-CN"/>
        </w:rPr>
        <w:t>优质</w:t>
      </w:r>
      <w:r>
        <w:rPr>
          <w:rFonts w:hint="default" w:ascii="Times New Roman" w:hAnsi="Times New Roman" w:eastAsia="仿宋_GB2312" w:cs="Times New Roman"/>
          <w:color w:val="auto"/>
          <w:spacing w:val="0"/>
          <w:sz w:val="32"/>
          <w:szCs w:val="32"/>
          <w:highlight w:val="none"/>
          <w:lang w:val="en-GB"/>
        </w:rPr>
        <w:t>企业，形成产业上下游关系，促进产业抱团发展，达成“招一个、引一串、带一片”的实效，促进产业集聚发展</w:t>
      </w:r>
      <w:r>
        <w:rPr>
          <w:rFonts w:hint="default" w:ascii="Times New Roman" w:hAnsi="Times New Roman" w:eastAsia="仿宋_GB2312" w:cs="Times New Roman"/>
          <w:color w:val="auto"/>
          <w:spacing w:val="0"/>
          <w:sz w:val="32"/>
          <w:szCs w:val="32"/>
          <w:highlight w:val="none"/>
        </w:rPr>
        <w:t>。</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_GB2312" w:cs="Times New Roman"/>
          <w:color w:val="auto"/>
          <w:spacing w:val="0"/>
          <w:sz w:val="32"/>
          <w:szCs w:val="32"/>
          <w:highlight w:val="none"/>
          <w:lang w:val="en-GB"/>
        </w:rPr>
      </w:pPr>
      <w:r>
        <w:rPr>
          <w:rFonts w:hint="default" w:ascii="Times New Roman" w:hAnsi="Times New Roman" w:eastAsia="仿宋_GB2312" w:cs="Times New Roman"/>
          <w:b/>
          <w:bCs/>
          <w:color w:val="auto"/>
          <w:spacing w:val="0"/>
          <w:sz w:val="32"/>
          <w:szCs w:val="32"/>
          <w:highlight w:val="none"/>
          <w:lang w:val="en-GB"/>
        </w:rPr>
        <w:t>持续完善配套设施。</w:t>
      </w:r>
      <w:r>
        <w:rPr>
          <w:rFonts w:hint="default" w:ascii="Times New Roman" w:hAnsi="Times New Roman" w:eastAsia="仿宋_GB2312" w:cs="Times New Roman"/>
          <w:color w:val="auto"/>
          <w:spacing w:val="0"/>
          <w:sz w:val="32"/>
          <w:szCs w:val="32"/>
          <w:highlight w:val="none"/>
          <w:lang w:val="en-GB"/>
        </w:rPr>
        <w:t>借助与高新区套合享受国家高新区的相关政策红利，完善水、电、路等基础设施建设，搭建公共服务平台，填充生产性服务业内涵。进一步关注企业人才需求，提高生活设施配套水平，在借助市保障房周转的基础上，用好用足相关政策，加快划拨用地对接力度，积极谋划建设人才公寓，从根本上解决人才</w:t>
      </w:r>
      <w:r>
        <w:rPr>
          <w:rFonts w:hint="default" w:ascii="Times New Roman" w:hAnsi="Times New Roman" w:eastAsia="仿宋_GB2312" w:cs="Times New Roman"/>
          <w:color w:val="auto"/>
          <w:spacing w:val="0"/>
          <w:sz w:val="32"/>
          <w:szCs w:val="32"/>
          <w:highlight w:val="none"/>
        </w:rPr>
        <w:t>引进</w:t>
      </w:r>
      <w:r>
        <w:rPr>
          <w:rFonts w:hint="default" w:ascii="Times New Roman" w:hAnsi="Times New Roman" w:eastAsia="仿宋_GB2312" w:cs="Times New Roman"/>
          <w:color w:val="auto"/>
          <w:spacing w:val="0"/>
          <w:sz w:val="32"/>
          <w:szCs w:val="32"/>
          <w:highlight w:val="none"/>
          <w:lang w:val="en-GB"/>
        </w:rPr>
        <w:t>问题。切实提高土地利用率，减少企业拿地后“圈而不建、圈而慢建、圈多建少”等问题。</w:t>
      </w:r>
    </w:p>
    <w:tbl>
      <w:tblPr>
        <w:tblStyle w:val="13"/>
        <w:tblW w:w="0" w:type="auto"/>
        <w:jc w:val="center"/>
        <w:tblLayout w:type="fixed"/>
        <w:tblCellMar>
          <w:top w:w="0" w:type="dxa"/>
          <w:left w:w="108" w:type="dxa"/>
          <w:bottom w:w="0" w:type="dxa"/>
          <w:right w:w="108" w:type="dxa"/>
        </w:tblCellMar>
      </w:tblPr>
      <w:tblGrid>
        <w:gridCol w:w="9132"/>
      </w:tblGrid>
      <w:tr>
        <w:tblPrEx>
          <w:tblCellMar>
            <w:top w:w="0" w:type="dxa"/>
            <w:left w:w="108" w:type="dxa"/>
            <w:bottom w:w="0" w:type="dxa"/>
            <w:right w:w="108" w:type="dxa"/>
          </w:tblCellMar>
        </w:tblPrEx>
        <w:trPr>
          <w:trHeight w:val="715" w:hRule="atLeast"/>
          <w:jc w:val="center"/>
        </w:trPr>
        <w:tc>
          <w:tcPr>
            <w:tcW w:w="9132"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val="0"/>
              <w:spacing w:beforeAutospacing="0" w:after="0" w:afterAutospacing="0" w:line="240" w:lineRule="auto"/>
              <w:textAlignment w:val="auto"/>
              <w:rPr>
                <w:rFonts w:hint="default" w:ascii="Times New Roman" w:hAnsi="Times New Roman" w:eastAsia="楷体" w:cs="Times New Roman"/>
                <w:b/>
                <w:color w:val="auto"/>
                <w:spacing w:val="0"/>
                <w:sz w:val="28"/>
                <w:szCs w:val="28"/>
                <w:highlight w:val="none"/>
              </w:rPr>
            </w:pPr>
            <w:r>
              <w:rPr>
                <w:rFonts w:hint="default" w:ascii="Times New Roman" w:hAnsi="Times New Roman" w:eastAsia="黑体" w:cs="Times New Roman"/>
                <w:bCs/>
                <w:color w:val="auto"/>
                <w:spacing w:val="0"/>
                <w:kern w:val="0"/>
                <w:sz w:val="24"/>
                <w:szCs w:val="24"/>
                <w:highlight w:val="none"/>
              </w:rPr>
              <w:t>专栏2-1 制造业高质量发展重点项目</w:t>
            </w:r>
          </w:p>
        </w:tc>
      </w:tr>
      <w:tr>
        <w:tblPrEx>
          <w:tblCellMar>
            <w:top w:w="0" w:type="dxa"/>
            <w:left w:w="108" w:type="dxa"/>
            <w:bottom w:w="0" w:type="dxa"/>
            <w:right w:w="108" w:type="dxa"/>
          </w:tblCellMar>
        </w:tblPrEx>
        <w:trPr>
          <w:trHeight w:val="5025" w:hRule="atLeast"/>
          <w:jc w:val="center"/>
        </w:trPr>
        <w:tc>
          <w:tcPr>
            <w:tcW w:w="9132"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firstLine="482" w:firstLineChars="200"/>
              <w:jc w:val="both"/>
              <w:textAlignment w:val="auto"/>
              <w:outlineLvl w:val="9"/>
              <w:rPr>
                <w:rFonts w:hint="default" w:ascii="Times New Roman" w:hAnsi="Times New Roman" w:eastAsia="仿宋_GB2312" w:cs="Times New Roman"/>
                <w:color w:val="auto"/>
                <w:spacing w:val="0"/>
                <w:sz w:val="24"/>
                <w:szCs w:val="24"/>
                <w:highlight w:val="none"/>
                <w:lang w:val="en-GB" w:eastAsia="zh-CN"/>
              </w:rPr>
            </w:pPr>
            <w:r>
              <w:rPr>
                <w:rFonts w:hint="default" w:ascii="Times New Roman" w:hAnsi="Times New Roman" w:eastAsia="仿宋_GB2312" w:cs="Times New Roman"/>
                <w:b/>
                <w:bCs/>
                <w:color w:val="auto"/>
                <w:spacing w:val="0"/>
                <w:sz w:val="24"/>
                <w:szCs w:val="24"/>
                <w:highlight w:val="none"/>
                <w:lang w:val="en-GB" w:eastAsia="zh-CN"/>
              </w:rPr>
              <w:t>高端装备</w:t>
            </w:r>
            <w:r>
              <w:rPr>
                <w:rFonts w:hint="default" w:ascii="Times New Roman" w:hAnsi="Times New Roman" w:eastAsia="仿宋_GB2312" w:cs="Times New Roman"/>
                <w:color w:val="auto"/>
                <w:spacing w:val="0"/>
                <w:sz w:val="24"/>
                <w:szCs w:val="24"/>
                <w:highlight w:val="none"/>
                <w:lang w:val="en-GB" w:eastAsia="zh-CN"/>
              </w:rPr>
              <w:t>。实施隧道设备产业园、装备智能产业园、卫滨科创产业园、盾构设备智能化再创造、中州电器制造园区、年产15万台/套精密机械零部件加工、软土刀具自动化生产改造、年产500台（套）智能隧道专用设备、盾构机及地铁配件生产、年产5万台吸粮机800台输送机、年产1600台（套）消防设备及配套2000吨泡沫灭火剂、年产100台公路养护设备、高新区拓展区域战略新兴产业园、隧道和地铁建设设备生产、高性能环保电气设备生产基地等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firstLine="482" w:firstLineChars="200"/>
              <w:jc w:val="both"/>
              <w:textAlignment w:val="auto"/>
              <w:outlineLvl w:val="9"/>
              <w:rPr>
                <w:rFonts w:hint="default" w:ascii="Times New Roman" w:hAnsi="Times New Roman" w:eastAsia="仿宋_GB2312" w:cs="Times New Roman"/>
                <w:color w:val="auto"/>
                <w:spacing w:val="0"/>
                <w:sz w:val="24"/>
                <w:szCs w:val="24"/>
                <w:highlight w:val="none"/>
                <w:lang w:val="en-GB" w:eastAsia="zh-CN"/>
              </w:rPr>
            </w:pPr>
            <w:r>
              <w:rPr>
                <w:rFonts w:hint="default" w:ascii="Times New Roman" w:hAnsi="Times New Roman" w:eastAsia="仿宋_GB2312" w:cs="Times New Roman"/>
                <w:b/>
                <w:bCs/>
                <w:color w:val="auto"/>
                <w:spacing w:val="0"/>
                <w:sz w:val="24"/>
                <w:szCs w:val="24"/>
                <w:highlight w:val="none"/>
                <w:lang w:val="en-GB" w:eastAsia="zh-CN"/>
              </w:rPr>
              <w:t>智能机器人</w:t>
            </w:r>
            <w:r>
              <w:rPr>
                <w:rFonts w:hint="default" w:ascii="Times New Roman" w:hAnsi="Times New Roman" w:eastAsia="仿宋_GB2312" w:cs="Times New Roman"/>
                <w:color w:val="auto"/>
                <w:spacing w:val="0"/>
                <w:sz w:val="24"/>
                <w:szCs w:val="24"/>
                <w:highlight w:val="none"/>
                <w:lang w:val="en-GB" w:eastAsia="zh-CN"/>
              </w:rPr>
              <w:t>。实施智能机器人产业园、勤工扩建项目、新乡市景龙复合材料有限公司工业机械臂夹持、手腕生产等项目。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firstLine="482" w:firstLineChars="200"/>
              <w:jc w:val="both"/>
              <w:textAlignment w:val="auto"/>
              <w:outlineLvl w:val="9"/>
              <w:rPr>
                <w:rFonts w:hint="default" w:ascii="Times New Roman" w:hAnsi="Times New Roman" w:eastAsia="仿宋_GB2312" w:cs="Times New Roman"/>
                <w:color w:val="auto"/>
                <w:spacing w:val="0"/>
                <w:sz w:val="24"/>
                <w:szCs w:val="24"/>
                <w:highlight w:val="none"/>
                <w:lang w:val="en-GB" w:eastAsia="zh-CN"/>
              </w:rPr>
            </w:pPr>
            <w:r>
              <w:rPr>
                <w:rFonts w:hint="default" w:ascii="Times New Roman" w:hAnsi="Times New Roman" w:eastAsia="仿宋_GB2312" w:cs="Times New Roman"/>
                <w:b/>
                <w:bCs/>
                <w:color w:val="auto"/>
                <w:spacing w:val="0"/>
                <w:sz w:val="24"/>
                <w:szCs w:val="24"/>
                <w:highlight w:val="none"/>
                <w:lang w:val="en-GB" w:eastAsia="zh-CN"/>
              </w:rPr>
              <w:t>铜材料深加工</w:t>
            </w:r>
            <w:r>
              <w:rPr>
                <w:rFonts w:hint="default" w:ascii="Times New Roman" w:hAnsi="Times New Roman" w:eastAsia="仿宋_GB2312" w:cs="Times New Roman"/>
                <w:color w:val="auto"/>
                <w:spacing w:val="0"/>
                <w:sz w:val="24"/>
                <w:szCs w:val="24"/>
                <w:highlight w:val="none"/>
                <w:lang w:val="en-GB" w:eastAsia="zh-CN"/>
              </w:rPr>
              <w:t>。实施凯美龙高精度铜板带生产、高性能铜镍硅合金板带短流程产业化示范、信息化系统升级建设及生产线关键设备智能化改造、0.08-0.3mm高精度高性能电子接插件用铜合金带箔材生产技术开发与应用、金龙精密铜管大散盘精密铜管技改、优翰尔空调连接管、精密模具研发与产业化生产项目、铜管生产配套氧化防护装置改建项目、全顺铜业闲置资源盘活等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firstLine="482" w:firstLineChars="200"/>
              <w:jc w:val="both"/>
              <w:textAlignment w:val="auto"/>
              <w:outlineLvl w:val="9"/>
              <w:rPr>
                <w:rFonts w:hint="default" w:ascii="Times New Roman" w:hAnsi="Times New Roman" w:eastAsia="仿宋" w:cs="Times New Roman"/>
                <w:color w:val="auto"/>
                <w:spacing w:val="0"/>
                <w:kern w:val="0"/>
                <w:sz w:val="28"/>
                <w:szCs w:val="28"/>
                <w:highlight w:val="none"/>
              </w:rPr>
            </w:pPr>
            <w:r>
              <w:rPr>
                <w:rFonts w:hint="default" w:ascii="Times New Roman" w:hAnsi="Times New Roman" w:eastAsia="仿宋_GB2312" w:cs="Times New Roman"/>
                <w:b/>
                <w:bCs/>
                <w:color w:val="auto"/>
                <w:spacing w:val="0"/>
                <w:sz w:val="24"/>
                <w:szCs w:val="24"/>
                <w:highlight w:val="none"/>
                <w:lang w:val="en-GB" w:eastAsia="zh-CN"/>
              </w:rPr>
              <w:t>配套基础设施</w:t>
            </w:r>
            <w:r>
              <w:rPr>
                <w:rFonts w:hint="default" w:ascii="Times New Roman" w:hAnsi="Times New Roman" w:eastAsia="仿宋_GB2312" w:cs="Times New Roman"/>
                <w:color w:val="auto"/>
                <w:spacing w:val="0"/>
                <w:sz w:val="24"/>
                <w:szCs w:val="24"/>
                <w:highlight w:val="none"/>
                <w:lang w:val="en-GB" w:eastAsia="zh-CN"/>
              </w:rPr>
              <w:t>。园区形象提升工程、卫滨区高端装备专业园区人才公寓建设项目、德鑫双创空间等项目。</w:t>
            </w:r>
            <w:r>
              <w:rPr>
                <w:rFonts w:hint="default" w:ascii="Times New Roman" w:hAnsi="Times New Roman" w:eastAsia="仿宋_GB2312" w:cs="Times New Roman"/>
                <w:color w:val="auto"/>
                <w:spacing w:val="0"/>
                <w:kern w:val="0"/>
                <w:sz w:val="32"/>
                <w:szCs w:val="32"/>
                <w:highlight w:val="none"/>
                <w:lang w:val="en-GB" w:eastAsia="zh-CN" w:bidi="ar"/>
              </w:rPr>
              <w:t xml:space="preserve"> </w:t>
            </w:r>
          </w:p>
        </w:tc>
      </w:tr>
    </w:tbl>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lang w:eastAsia="zh-CN"/>
        </w:rPr>
      </w:pPr>
      <w:bookmarkStart w:id="47" w:name="_Toc18757"/>
      <w:bookmarkStart w:id="48" w:name="_Toc15641"/>
      <w:bookmarkStart w:id="49" w:name="_Toc2706"/>
      <w:r>
        <w:rPr>
          <w:rFonts w:hint="default" w:ascii="Times New Roman" w:hAnsi="Times New Roman" w:eastAsia="黑体" w:cs="Times New Roman"/>
          <w:color w:val="auto"/>
          <w:sz w:val="32"/>
          <w:szCs w:val="32"/>
          <w:highlight w:val="none"/>
        </w:rPr>
        <w:t>第三章</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rPr>
        <w:t xml:space="preserve"> 加快现代服务业转型提质</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着眼融入国内大循环，顺应消费多元化、个性化、品质化趋势，大力发展楼宇总部经济，推动现代商贸物流转型提质，积极发展文旅康养产业，推动特色商业区转型升级，培育引进保险金融、工业设计、技术研发、咨询评估、法律服务等生产性服务业，提升现代服务业发展规模和水平。</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50" w:name="_Toc12590"/>
      <w:bookmarkStart w:id="51" w:name="_Toc2932"/>
      <w:r>
        <w:rPr>
          <w:rFonts w:hint="default" w:ascii="Times New Roman" w:hAnsi="Times New Roman" w:eastAsia="楷体_GB2312" w:cs="Times New Roman"/>
          <w:snapToGrid w:val="0"/>
          <w:color w:val="auto"/>
          <w:spacing w:val="0"/>
          <w:sz w:val="32"/>
          <w:szCs w:val="32"/>
          <w:highlight w:val="none"/>
        </w:rPr>
        <w:t>第一节 大力发展楼宇总部经济</w:t>
      </w:r>
      <w:bookmarkEnd w:id="50"/>
      <w:bookmarkEnd w:id="51"/>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bCs/>
          <w:snapToGrid w:val="0"/>
          <w:color w:val="auto"/>
          <w:spacing w:val="0"/>
          <w:sz w:val="32"/>
          <w:highlight w:val="none"/>
        </w:rPr>
      </w:pPr>
      <w:r>
        <w:rPr>
          <w:rFonts w:hint="default" w:ascii="Times New Roman" w:hAnsi="Times New Roman" w:eastAsia="仿宋" w:cs="Times New Roman"/>
          <w:b/>
          <w:snapToGrid w:val="0"/>
          <w:color w:val="auto"/>
          <w:spacing w:val="0"/>
          <w:sz w:val="32"/>
          <w:highlight w:val="none"/>
        </w:rPr>
        <w:t>总部经济。</w:t>
      </w:r>
      <w:r>
        <w:rPr>
          <w:rFonts w:hint="default" w:ascii="Times New Roman" w:hAnsi="Times New Roman" w:eastAsia="仿宋" w:cs="Times New Roman"/>
          <w:bCs/>
          <w:snapToGrid w:val="0"/>
          <w:color w:val="auto"/>
          <w:spacing w:val="0"/>
          <w:sz w:val="32"/>
          <w:highlight w:val="none"/>
        </w:rPr>
        <w:t>制定完善总部经济发展的政策措施，加强配套基础建设、商务设施、研发能力、专业服务、政府服务和开放程度，增强对各类知名企业入驻卫滨设立总部或区域总部的承载力和吸引力。支持“四上”企业、创业型企业设立总部，吸引服务型企业入驻卫滨，并积极吸引国内乃至世界大型高端制造业、快递运输业等各类企业设立分部和基地。</w:t>
      </w:r>
      <w:bookmarkEnd w:id="47"/>
      <w:bookmarkEnd w:id="48"/>
      <w:bookmarkEnd w:id="4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bCs/>
          <w:snapToGrid w:val="0"/>
          <w:color w:val="auto"/>
          <w:spacing w:val="0"/>
          <w:sz w:val="32"/>
          <w:highlight w:val="none"/>
        </w:rPr>
      </w:pPr>
      <w:r>
        <w:rPr>
          <w:rFonts w:hint="default" w:ascii="Times New Roman" w:hAnsi="Times New Roman" w:eastAsia="仿宋" w:cs="Times New Roman"/>
          <w:b/>
          <w:snapToGrid w:val="0"/>
          <w:color w:val="auto"/>
          <w:spacing w:val="0"/>
          <w:sz w:val="32"/>
          <w:highlight w:val="none"/>
        </w:rPr>
        <w:t>楼宇经济。</w:t>
      </w:r>
      <w:r>
        <w:rPr>
          <w:rFonts w:hint="default" w:ascii="Times New Roman" w:hAnsi="Times New Roman" w:eastAsia="仿宋" w:cs="Times New Roman"/>
          <w:bCs/>
          <w:snapToGrid w:val="0"/>
          <w:color w:val="auto"/>
          <w:spacing w:val="0"/>
          <w:sz w:val="32"/>
          <w:highlight w:val="none"/>
        </w:rPr>
        <w:t>向“空中”要资源、向“高度”要效益，面对有限土地资源，借助城中村、棚户区改造，超前谋划、科学规划，有效整合辖区闲置楼宇资源，高标准谋划建设一批城市综合体项目，注重抓好主要路段沿线地标型、高品质商务楼宇建设，打造楼宇经济集聚区。总结金融保险超市项目成功运行的经验，围绕“一楼一特色”，引导现代金融、信息服务、商务服务、教育培训、创意设计、健康服务等服务业向楼宇集聚，打造一批区域性金融楼、电商楼、培训楼等专业特色楼宇。推动生产性服务业向专业化和价值链高端延伸。注重吸引高端业态和优质企业入驻，持续优化楼宇经济业态品质，提升楼宇经济发展质量，培育卫滨商务品牌。</w:t>
      </w:r>
      <w:bookmarkStart w:id="52" w:name="_Toc24789"/>
      <w:bookmarkStart w:id="53" w:name="_Toc15713"/>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r>
        <w:rPr>
          <w:rFonts w:hint="default" w:ascii="Times New Roman" w:hAnsi="Times New Roman" w:eastAsia="楷体_GB2312" w:cs="Times New Roman"/>
          <w:snapToGrid w:val="0"/>
          <w:color w:val="auto"/>
          <w:spacing w:val="0"/>
          <w:sz w:val="32"/>
          <w:szCs w:val="32"/>
          <w:highlight w:val="none"/>
        </w:rPr>
        <w:t>第二节 推动商贸物流转型提质</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现代商贸。</w:t>
      </w:r>
      <w:r>
        <w:rPr>
          <w:rFonts w:hint="default" w:ascii="Times New Roman" w:hAnsi="Times New Roman" w:eastAsia="仿宋" w:cs="Times New Roman"/>
          <w:color w:val="auto"/>
          <w:spacing w:val="0"/>
          <w:sz w:val="32"/>
          <w:highlight w:val="none"/>
        </w:rPr>
        <w:t>顺应消费升级趋势，积极推动传统商贸商圈转型升级，积极培育新业态新模式新载体。高标准抓好特色街区、购物中心、专业市场等建设，推动传统和新兴、线上和线下、城镇和乡村融合发力，充分释放消费市场潜力。深入发掘老商业区资源潜力，加快闲置资源转化利用，积极培育新业态新模式新载体，引导由商品消费为主向商品和服务并重转变，在全区推广“胖东来”服务模式，注重企业文化和购物体验。借助重庆猪八戒网人才数字共享优势提供管家服务功能，加快对传统商业的转型升级。</w:t>
      </w:r>
      <w:bookmarkEnd w:id="52"/>
      <w:bookmarkEnd w:id="5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现代物流。</w:t>
      </w:r>
      <w:r>
        <w:rPr>
          <w:rFonts w:hint="default" w:ascii="Times New Roman" w:hAnsi="Times New Roman" w:eastAsia="仿宋" w:cs="Times New Roman"/>
          <w:color w:val="auto"/>
          <w:spacing w:val="0"/>
          <w:sz w:val="32"/>
          <w:highlight w:val="none"/>
        </w:rPr>
        <w:t>完善现代流通网络，支持豫北地区广告产品仓储物流中心、港湾产业园等5个市级物流配送网点建设，促进现代服务业同先进制造业、现代农业深度融合发展。推广无接触交易服务，降低企业流通成本，打造具备交通运输、信息服务、仓储配送、金融服务等功能的现代物流体系，推动现代商贸繁荣发展。</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54" w:name="_Toc12456"/>
      <w:bookmarkStart w:id="55" w:name="_Toc20313"/>
      <w:r>
        <w:rPr>
          <w:rFonts w:hint="default" w:ascii="Times New Roman" w:hAnsi="Times New Roman" w:eastAsia="楷体_GB2312" w:cs="Times New Roman"/>
          <w:snapToGrid w:val="0"/>
          <w:color w:val="auto"/>
          <w:spacing w:val="0"/>
          <w:sz w:val="32"/>
          <w:szCs w:val="32"/>
          <w:highlight w:val="none"/>
        </w:rPr>
        <w:t>第三节 着力发展文旅康养</w:t>
      </w:r>
      <w:bookmarkEnd w:id="54"/>
      <w:bookmarkEnd w:id="55"/>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推进文旅融合发展。</w:t>
      </w:r>
      <w:r>
        <w:rPr>
          <w:rFonts w:hint="default" w:ascii="Times New Roman" w:hAnsi="Times New Roman" w:eastAsia="仿宋" w:cs="Times New Roman"/>
          <w:color w:val="auto"/>
          <w:spacing w:val="0"/>
          <w:sz w:val="32"/>
          <w:highlight w:val="none"/>
        </w:rPr>
        <w:t>坚持“以文强旅、以旅兴文”，挖掘利用优秀传统文化，扩大文化体验游、休闲度假游、城市购物游等优质文旅产品供给，加快“文旅+”新业态发展。抢抓大运河文化公园建设契机，深挖历史沉淀，突出文化体验，完善“吃、住、行、游、购、娱、商、学、文”等文旅融合配套要素，加快推进卫源湖文化公园、卫河公园提升改造等项目建设。打造石榴巷文化走廊，以东方文化步行街通过省级步行街评审为抓手，不断丰富街区文化内涵，促进文商旅融合发展。推动南桥里1960文创园区、千佰度机车文化交流体验园建设，利用存量工业遗产挖掘历史沉淀，融入现代元素，打造集文化产业园、创意设计、影视动漫创作、文化旅游、展演、古玩字画等为一体的文化产业带。</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积极发展康养产业。</w:t>
      </w:r>
      <w:r>
        <w:rPr>
          <w:rFonts w:hint="default" w:ascii="Times New Roman" w:hAnsi="Times New Roman" w:eastAsia="仿宋" w:cs="Times New Roman"/>
          <w:color w:val="auto"/>
          <w:spacing w:val="0"/>
          <w:sz w:val="32"/>
          <w:highlight w:val="none"/>
        </w:rPr>
        <w:t>发挥区位和医疗资源优势，</w:t>
      </w:r>
      <w:r>
        <w:rPr>
          <w:rFonts w:hint="eastAsia" w:eastAsia="仿宋" w:cs="Times New Roman"/>
          <w:color w:val="auto"/>
          <w:spacing w:val="0"/>
          <w:sz w:val="32"/>
          <w:highlight w:val="none"/>
          <w:lang w:val="en-US" w:eastAsia="zh-CN"/>
        </w:rPr>
        <w:t>依托</w:t>
      </w:r>
      <w:r>
        <w:rPr>
          <w:rFonts w:hint="default" w:ascii="Times New Roman" w:hAnsi="Times New Roman" w:eastAsia="仿宋" w:cs="Times New Roman"/>
          <w:color w:val="auto"/>
          <w:spacing w:val="0"/>
          <w:sz w:val="32"/>
          <w:highlight w:val="none"/>
        </w:rPr>
        <w:t>铁西区域生态康养平台，提升现有的社会养老机构平台服务质量，完善康养产业链条，</w:t>
      </w:r>
      <w:r>
        <w:rPr>
          <w:rFonts w:hint="eastAsia" w:eastAsia="仿宋" w:cs="Times New Roman"/>
          <w:color w:val="auto"/>
          <w:spacing w:val="0"/>
          <w:sz w:val="32"/>
          <w:highlight w:val="none"/>
          <w:lang w:val="en-US" w:eastAsia="zh-CN"/>
        </w:rPr>
        <w:t>打造</w:t>
      </w:r>
      <w:r>
        <w:rPr>
          <w:rFonts w:hint="default" w:ascii="Times New Roman" w:hAnsi="Times New Roman" w:eastAsia="仿宋" w:cs="Times New Roman"/>
          <w:color w:val="auto"/>
          <w:spacing w:val="0"/>
          <w:sz w:val="32"/>
          <w:highlight w:val="none"/>
        </w:rPr>
        <w:t>卫滨康养品牌</w:t>
      </w:r>
      <w:r>
        <w:rPr>
          <w:rFonts w:hint="eastAsia"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谋划推进中心医院区域医养产业大厦建设，积极引进国内外知名养老机构入驻发展健康养老养生产业，多层次、多样化开发康养产品，打造一批康养示范点。发展银发经济，促进养老事业和养老产业协同发展。</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56" w:name="_Toc12425"/>
      <w:bookmarkStart w:id="57" w:name="_Toc1889"/>
      <w:r>
        <w:rPr>
          <w:rFonts w:hint="default" w:ascii="Times New Roman" w:hAnsi="Times New Roman" w:eastAsia="楷体_GB2312" w:cs="Times New Roman"/>
          <w:snapToGrid w:val="0"/>
          <w:color w:val="auto"/>
          <w:spacing w:val="0"/>
          <w:sz w:val="32"/>
          <w:szCs w:val="32"/>
          <w:highlight w:val="none"/>
        </w:rPr>
        <w:t>第四节 推动特色商业区转型升级</w:t>
      </w:r>
      <w:bookmarkEnd w:id="56"/>
      <w:bookmarkEnd w:id="5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结合现有优质商业资源，大力引入高端服务业态，加快传统服务业转型升级。提升生活性服务业品质，促进传统服务业转型提质，打造城市生活消费新时尚</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持续提升“石榴巷”城市文化会客厅和城市共享阅读书房品质，倾力打造卫滨文化产品孵化器。加大轻资产企业引入力度，高标准培育品牌响亮、主题突出、特色鲜明的轻资产产业园。推动生产性服务业转型升级，推动建设数字电商服务中心、直播电商孵化基地，孵化更多优质企业，提升平台服务能力。加强配套基础设施建设，谋划实施一批地下停车场、立体停车场项目，切实完善商业功能配套，提升公共服务水平。</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p>
    <w:tbl>
      <w:tblPr>
        <w:tblStyle w:val="13"/>
        <w:tblW w:w="0" w:type="auto"/>
        <w:jc w:val="center"/>
        <w:tblLayout w:type="fixed"/>
        <w:tblCellMar>
          <w:top w:w="0" w:type="dxa"/>
          <w:left w:w="108" w:type="dxa"/>
          <w:bottom w:w="0" w:type="dxa"/>
          <w:right w:w="108" w:type="dxa"/>
        </w:tblCellMar>
      </w:tblPr>
      <w:tblGrid>
        <w:gridCol w:w="8900"/>
      </w:tblGrid>
      <w:tr>
        <w:tblPrEx>
          <w:tblCellMar>
            <w:top w:w="0" w:type="dxa"/>
            <w:left w:w="108" w:type="dxa"/>
            <w:bottom w:w="0" w:type="dxa"/>
            <w:right w:w="108" w:type="dxa"/>
          </w:tblCellMar>
        </w:tblPrEx>
        <w:trPr>
          <w:trHeight w:val="90" w:hRule="atLeast"/>
          <w:jc w:val="center"/>
        </w:trPr>
        <w:tc>
          <w:tcPr>
            <w:tcW w:w="89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val="0"/>
              <w:spacing w:beforeAutospacing="0" w:after="0" w:afterAutospacing="0" w:line="240" w:lineRule="auto"/>
              <w:jc w:val="both"/>
              <w:textAlignment w:val="auto"/>
              <w:rPr>
                <w:rFonts w:hint="default" w:ascii="Times New Roman" w:hAnsi="Times New Roman" w:eastAsia="楷体" w:cs="Times New Roman"/>
                <w:b/>
                <w:color w:val="auto"/>
                <w:spacing w:val="0"/>
                <w:sz w:val="24"/>
                <w:szCs w:val="24"/>
                <w:highlight w:val="none"/>
              </w:rPr>
            </w:pPr>
            <w:r>
              <w:rPr>
                <w:rFonts w:hint="default" w:ascii="Times New Roman" w:hAnsi="Times New Roman" w:eastAsia="黑体" w:cs="Times New Roman"/>
                <w:bCs/>
                <w:color w:val="auto"/>
                <w:spacing w:val="0"/>
                <w:kern w:val="0"/>
                <w:sz w:val="24"/>
                <w:szCs w:val="24"/>
                <w:highlight w:val="none"/>
              </w:rPr>
              <w:t>专栏3-1 现代服务业发展重点项目</w:t>
            </w:r>
          </w:p>
        </w:tc>
      </w:tr>
      <w:tr>
        <w:tblPrEx>
          <w:tblCellMar>
            <w:top w:w="0" w:type="dxa"/>
            <w:left w:w="108" w:type="dxa"/>
            <w:bottom w:w="0" w:type="dxa"/>
            <w:right w:w="108" w:type="dxa"/>
          </w:tblCellMar>
        </w:tblPrEx>
        <w:trPr>
          <w:trHeight w:val="3085" w:hRule="atLeast"/>
          <w:jc w:val="center"/>
        </w:trPr>
        <w:tc>
          <w:tcPr>
            <w:tcW w:w="890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pacing w:val="0"/>
                <w:sz w:val="24"/>
                <w:szCs w:val="24"/>
                <w:highlight w:val="none"/>
                <w:lang w:val="en-US" w:eastAsia="zh-CN"/>
              </w:rPr>
            </w:pPr>
            <w:r>
              <w:rPr>
                <w:rFonts w:hint="default" w:ascii="Times New Roman" w:hAnsi="Times New Roman" w:eastAsia="仿宋_GB2312" w:cs="Times New Roman"/>
                <w:b/>
                <w:bCs/>
                <w:color w:val="auto"/>
                <w:spacing w:val="0"/>
                <w:sz w:val="24"/>
                <w:szCs w:val="24"/>
                <w:highlight w:val="none"/>
                <w:lang w:val="en-US" w:eastAsia="zh-CN"/>
              </w:rPr>
              <w:t>楼宇总部经济</w:t>
            </w:r>
            <w:r>
              <w:rPr>
                <w:rFonts w:hint="default" w:ascii="Times New Roman" w:hAnsi="Times New Roman" w:eastAsia="仿宋_GB2312" w:cs="Times New Roman"/>
                <w:color w:val="auto"/>
                <w:spacing w:val="0"/>
                <w:sz w:val="24"/>
                <w:szCs w:val="24"/>
                <w:highlight w:val="none"/>
                <w:lang w:val="en-US" w:eastAsia="zh-CN"/>
              </w:rPr>
              <w:t>。实施淘宝城教育综合中心、新乡市国宇大厦金融中心、阳光保险卫滨分公司、天隆城网络孵化器基地、游享天下网络孵化器基地、中新教育旗舰园区、大象直播基地等项目。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pacing w:val="0"/>
                <w:sz w:val="24"/>
                <w:szCs w:val="24"/>
                <w:highlight w:val="none"/>
                <w:lang w:val="en-US" w:eastAsia="zh-CN"/>
              </w:rPr>
            </w:pPr>
            <w:r>
              <w:rPr>
                <w:rFonts w:hint="default" w:ascii="Times New Roman" w:hAnsi="Times New Roman" w:eastAsia="仿宋_GB2312" w:cs="Times New Roman"/>
                <w:b/>
                <w:bCs/>
                <w:color w:val="auto"/>
                <w:spacing w:val="0"/>
                <w:sz w:val="24"/>
                <w:szCs w:val="24"/>
                <w:highlight w:val="none"/>
                <w:lang w:val="en-US" w:eastAsia="zh-CN"/>
              </w:rPr>
              <w:t>商贸物流</w:t>
            </w:r>
            <w:r>
              <w:rPr>
                <w:rFonts w:hint="default" w:ascii="Times New Roman" w:hAnsi="Times New Roman" w:eastAsia="仿宋_GB2312" w:cs="Times New Roman"/>
                <w:color w:val="auto"/>
                <w:spacing w:val="0"/>
                <w:sz w:val="24"/>
                <w:szCs w:val="24"/>
                <w:highlight w:val="none"/>
                <w:lang w:val="en-US" w:eastAsia="zh-CN"/>
              </w:rPr>
              <w:t>。实施滨河之星商业综合体、中原国际汽车文化产业新城、泽耀·新乡农博城、南环汽车服务中心、五金机电城电商平台、新天地商贸城、汽车商贸城、汇金购物中心提升改造、豫北地区广告产品仓储物流中心、港湾产业园、大宇物流园、宇鑫农贸农产品物流园、新乡万邦农产品冷链物流园等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楷体" w:cs="Times New Roman"/>
                <w:color w:val="auto"/>
                <w:spacing w:val="0"/>
                <w:sz w:val="24"/>
                <w:szCs w:val="24"/>
                <w:highlight w:val="none"/>
              </w:rPr>
            </w:pPr>
            <w:r>
              <w:rPr>
                <w:rFonts w:hint="default" w:ascii="Times New Roman" w:hAnsi="Times New Roman" w:eastAsia="仿宋_GB2312" w:cs="Times New Roman"/>
                <w:b/>
                <w:bCs/>
                <w:color w:val="auto"/>
                <w:spacing w:val="0"/>
                <w:kern w:val="0"/>
                <w:sz w:val="24"/>
                <w:szCs w:val="24"/>
                <w:highlight w:val="none"/>
              </w:rPr>
              <w:t>文旅康养</w:t>
            </w:r>
            <w:r>
              <w:rPr>
                <w:rFonts w:hint="default" w:ascii="Times New Roman" w:hAnsi="Times New Roman" w:eastAsia="仿宋_GB2312" w:cs="Times New Roman"/>
                <w:b w:val="0"/>
                <w:bCs w:val="0"/>
                <w:color w:val="auto"/>
                <w:spacing w:val="0"/>
                <w:kern w:val="0"/>
                <w:sz w:val="24"/>
                <w:szCs w:val="24"/>
                <w:highlight w:val="none"/>
              </w:rPr>
              <w:t>。</w:t>
            </w:r>
            <w:r>
              <w:rPr>
                <w:rFonts w:hint="default" w:ascii="Times New Roman" w:hAnsi="Times New Roman" w:eastAsia="仿宋_GB2312" w:cs="Times New Roman"/>
                <w:color w:val="auto"/>
                <w:spacing w:val="0"/>
                <w:sz w:val="24"/>
                <w:szCs w:val="24"/>
                <w:highlight w:val="none"/>
              </w:rPr>
              <w:t>实施</w:t>
            </w:r>
            <w:r>
              <w:rPr>
                <w:rFonts w:hint="default" w:ascii="Times New Roman" w:hAnsi="Times New Roman" w:eastAsia="仿宋_GB2312" w:cs="Times New Roman"/>
                <w:color w:val="auto"/>
                <w:spacing w:val="0"/>
                <w:kern w:val="0"/>
                <w:sz w:val="24"/>
                <w:szCs w:val="24"/>
                <w:highlight w:val="none"/>
              </w:rPr>
              <w:t>东方文化商业步行街3A级景区、卫源湖文化公园、卫水民俗文化街区、永济渠航运</w:t>
            </w:r>
            <w:r>
              <w:rPr>
                <w:rFonts w:hint="default" w:ascii="Times New Roman" w:hAnsi="Times New Roman" w:eastAsia="仿宋_GB2312" w:cs="Times New Roman"/>
                <w:color w:val="auto"/>
                <w:spacing w:val="0"/>
                <w:sz w:val="24"/>
                <w:szCs w:val="24"/>
                <w:highlight w:val="none"/>
              </w:rPr>
              <w:t>博物馆</w:t>
            </w:r>
            <w:r>
              <w:rPr>
                <w:rFonts w:hint="default" w:ascii="Times New Roman" w:hAnsi="Times New Roman" w:eastAsia="仿宋_GB2312" w:cs="Times New Roman"/>
                <w:color w:val="auto"/>
                <w:spacing w:val="0"/>
                <w:kern w:val="0"/>
                <w:sz w:val="24"/>
                <w:szCs w:val="24"/>
                <w:highlight w:val="none"/>
              </w:rPr>
              <w:t>、卫河文化城区展示段项目、新乡千佰意机车公园、恒盛康养公寓、医养结合康复中心、爱儿康月子中心</w:t>
            </w:r>
            <w:r>
              <w:rPr>
                <w:rFonts w:hint="default" w:ascii="Times New Roman" w:hAnsi="Times New Roman" w:eastAsia="仿宋_GB2312" w:cs="Times New Roman"/>
                <w:color w:val="auto"/>
                <w:spacing w:val="0"/>
                <w:sz w:val="24"/>
                <w:szCs w:val="24"/>
                <w:highlight w:val="none"/>
              </w:rPr>
              <w:t>等项目。</w:t>
            </w:r>
          </w:p>
        </w:tc>
      </w:tr>
    </w:tbl>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58" w:name="_Toc23730"/>
      <w:bookmarkStart w:id="59" w:name="_Toc18680"/>
      <w:r>
        <w:rPr>
          <w:rFonts w:hint="default" w:ascii="Times New Roman" w:hAnsi="Times New Roman" w:eastAsia="楷体_GB2312" w:cs="Times New Roman"/>
          <w:snapToGrid w:val="0"/>
          <w:color w:val="auto"/>
          <w:spacing w:val="0"/>
          <w:sz w:val="32"/>
          <w:szCs w:val="32"/>
          <w:highlight w:val="none"/>
        </w:rPr>
        <w:t>第五节 加快优化服务消费供给</w:t>
      </w:r>
      <w:bookmarkEnd w:id="58"/>
      <w:bookmarkEnd w:id="5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顺应居民消费升级大趋势，进一步优化供给，更好满足人民群众对美好生活的需要，以高质量供给拉动消费增长，带动全区经济高质量发展。</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color w:val="auto"/>
          <w:spacing w:val="0"/>
          <w:sz w:val="32"/>
          <w:highlight w:val="none"/>
        </w:rPr>
        <w:t>优化完善商业布局。</w:t>
      </w:r>
      <w:r>
        <w:rPr>
          <w:rFonts w:hint="default" w:ascii="Times New Roman" w:hAnsi="Times New Roman" w:eastAsia="仿宋" w:cs="Times New Roman"/>
          <w:color w:val="auto"/>
          <w:spacing w:val="0"/>
          <w:sz w:val="32"/>
          <w:highlight w:val="none"/>
        </w:rPr>
        <w:t>推进社区生活圈建设，结合区内人口集聚度、小区人口入住率，积极对接“老字号”和购物中心等大中型商超企业，在集中安置区和人口密集的写字楼和居住小区谋划布局社区超市，促进社区商业模式创新，满足现代化、高品质生活消费需求。支持具有本地特色的餐饮培育特色品牌、开发多样化服务；引导餐饮服务企业提高餐饮质量和服务标准化水平。发挥商业综合体的载体优势，助推传统商业实现多元融合转型发展，进一步完善“综合性”的品质要求；着力在南部区域聚集一批精品百货、大型商超、餐饮街区、娱乐休闲类项目，进一步提升服务品质，打造“留得住顾客”的消费场景。鼓励发展新兴生活服务业，谋划线上线下结合</w:t>
      </w:r>
      <w:r>
        <w:rPr>
          <w:rFonts w:hint="default" w:ascii="Times New Roman" w:hAnsi="Times New Roman" w:eastAsia="仿宋" w:cs="Times New Roman"/>
          <w:color w:val="auto"/>
          <w:spacing w:val="0"/>
          <w:sz w:val="32"/>
          <w:highlight w:val="none"/>
          <w:lang w:val="en-US" w:eastAsia="zh-CN"/>
        </w:rPr>
        <w:t>型</w:t>
      </w:r>
      <w:r>
        <w:rPr>
          <w:rFonts w:hint="default" w:ascii="Times New Roman" w:hAnsi="Times New Roman" w:eastAsia="仿宋" w:cs="Times New Roman"/>
          <w:color w:val="auto"/>
          <w:spacing w:val="0"/>
          <w:sz w:val="32"/>
          <w:highlight w:val="none"/>
        </w:rPr>
        <w:t>批发市场、体验式情景式购物中心、新零售类新型商业业态项目。</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color w:val="auto"/>
          <w:spacing w:val="0"/>
          <w:sz w:val="32"/>
          <w:highlight w:val="none"/>
        </w:rPr>
        <w:t>鼓励发展夜间经济。</w:t>
      </w:r>
      <w:r>
        <w:rPr>
          <w:rFonts w:hint="default" w:ascii="Times New Roman" w:hAnsi="Times New Roman" w:eastAsia="仿宋" w:cs="Times New Roman"/>
          <w:color w:val="auto"/>
          <w:spacing w:val="0"/>
          <w:sz w:val="32"/>
          <w:highlight w:val="none"/>
        </w:rPr>
        <w:t>支持东方文化商业步行街等主要商圈和商业街突出文化、旅游、休闲等特色，适当延长营业时间，</w:t>
      </w:r>
      <w:r>
        <w:rPr>
          <w:rFonts w:hint="default" w:ascii="Times New Roman" w:hAnsi="Times New Roman" w:eastAsia="仿宋" w:cs="Times New Roman"/>
          <w:color w:val="auto"/>
          <w:spacing w:val="0"/>
          <w:sz w:val="32"/>
          <w:highlight w:val="none"/>
          <w:lang w:val="en-US"/>
        </w:rPr>
        <w:t>开设</w:t>
      </w:r>
      <w:r>
        <w:rPr>
          <w:rFonts w:hint="default" w:ascii="Times New Roman" w:hAnsi="Times New Roman" w:eastAsia="仿宋" w:cs="Times New Roman"/>
          <w:color w:val="auto"/>
          <w:spacing w:val="0"/>
          <w:sz w:val="32"/>
          <w:highlight w:val="none"/>
        </w:rPr>
        <w:t>深夜营业专区、24小时便利店和</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深夜食堂</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等特色餐饮。进一步提升我区夜间消费的品质和内涵，扩充与文旅、体育赛事相结合的消费环境，通过举办庙会、啤酒节、音乐节、美食节等活动，繁荣夜间消费市场，活跃夜间消费氛围。</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color w:val="auto"/>
          <w:spacing w:val="0"/>
          <w:sz w:val="32"/>
          <w:highlight w:val="none"/>
        </w:rPr>
        <w:t>拓宽假日消费空间。</w:t>
      </w:r>
      <w:r>
        <w:rPr>
          <w:rFonts w:hint="default" w:ascii="Times New Roman" w:hAnsi="Times New Roman" w:eastAsia="仿宋" w:cs="Times New Roman"/>
          <w:color w:val="auto"/>
          <w:spacing w:val="0"/>
          <w:sz w:val="32"/>
          <w:highlight w:val="none"/>
        </w:rPr>
        <w:t>举办文化和旅游消费季、消费月，举办数字文旅消费体验等活动。引导文艺演出、文化娱乐等场所广泛应用互联网售票、二维码验票。鼓励有条件的地方充分利用开放性公共空间，开设节假日步行街、周末大集、休闲文化专区等常态化消费场所，组织开展特色促消费活动，探索培育专业化经营管理主体。</w:t>
      </w:r>
    </w:p>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rPr>
      </w:pPr>
      <w:bookmarkStart w:id="60" w:name="_Toc10041"/>
      <w:bookmarkStart w:id="61" w:name="_Toc27804"/>
      <w:r>
        <w:rPr>
          <w:rFonts w:hint="default" w:ascii="Times New Roman" w:hAnsi="Times New Roman" w:eastAsia="黑体" w:cs="Times New Roman"/>
          <w:color w:val="auto"/>
          <w:sz w:val="32"/>
          <w:szCs w:val="32"/>
          <w:highlight w:val="none"/>
        </w:rPr>
        <w:t>第四章 加快构建现代创新体系</w:t>
      </w:r>
      <w:bookmarkEnd w:id="60"/>
      <w:bookmarkEnd w:id="61"/>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坚持创新驱动发展战略，建立完善以企业为主体、以产业化为目的、产学研相结合的技术现代创新体系，加快建设人才强区，全面塑造发展新优势。</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62" w:name="_Toc24589"/>
      <w:bookmarkStart w:id="63" w:name="_Toc23400"/>
      <w:r>
        <w:rPr>
          <w:rFonts w:hint="default" w:ascii="Times New Roman" w:hAnsi="Times New Roman" w:eastAsia="楷体_GB2312" w:cs="Times New Roman"/>
          <w:snapToGrid w:val="0"/>
          <w:color w:val="auto"/>
          <w:spacing w:val="0"/>
          <w:sz w:val="32"/>
          <w:szCs w:val="32"/>
          <w:highlight w:val="none"/>
        </w:rPr>
        <w:t>第一节 大力培育创新主体</w:t>
      </w:r>
      <w:bookmarkEnd w:id="62"/>
      <w:bookmarkEnd w:id="6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强化企业创新主体地位，鼓励提高企业的自主创新能力。实施骨干龙头企业强壮工程，围绕重点发展的制造业领域，选择一批对产业发展具有龙头带动作用、创新发展能力强的骨干企业，整合创新资源、倾斜创新要素，引领带动全区企业创新转型发展。开展“科技小巨人”企业培育工程，加快推动一批创新能力强、成长速度快、发展潜力大的小微企业成长为“专精特新”的“科技小巨人”企业。持续开展高新技术企业认定工作，切实落实高新技术企业所得税优惠政策，促进全区高新技术企业数量持续增加。力争到“十四五”末，全区新增高新技术企业达到5家以上。</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64" w:name="_Toc7177"/>
      <w:bookmarkStart w:id="65" w:name="_Toc2316"/>
      <w:r>
        <w:rPr>
          <w:rFonts w:hint="default" w:ascii="Times New Roman" w:hAnsi="Times New Roman" w:eastAsia="楷体_GB2312" w:cs="Times New Roman"/>
          <w:snapToGrid w:val="0"/>
          <w:color w:val="auto"/>
          <w:spacing w:val="0"/>
          <w:sz w:val="32"/>
          <w:szCs w:val="32"/>
          <w:highlight w:val="none"/>
        </w:rPr>
        <w:t>第二节 建设创新平台载体</w:t>
      </w:r>
      <w:bookmarkEnd w:id="64"/>
      <w:bookmarkEnd w:id="65"/>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抓住国家优化科技资源布局机遇，充分发挥周边院校、科研院所和大型企业的科技优势</w:t>
      </w:r>
      <w:r>
        <w:rPr>
          <w:rFonts w:hint="default" w:ascii="Times New Roman" w:hAnsi="Times New Roman" w:eastAsia="仿宋" w:cs="Times New Roman"/>
          <w:color w:val="auto"/>
          <w:spacing w:val="0"/>
          <w:sz w:val="32"/>
          <w:highlight w:val="none"/>
          <w:lang w:val="en-US" w:eastAsia="zh-CN"/>
        </w:rPr>
        <w:t>以及我区省市级</w:t>
      </w:r>
      <w:r>
        <w:rPr>
          <w:rFonts w:hint="default" w:ascii="Times New Roman" w:hAnsi="Times New Roman" w:eastAsia="仿宋" w:cs="Times New Roman"/>
          <w:color w:val="auto"/>
          <w:spacing w:val="0"/>
          <w:sz w:val="32"/>
          <w:highlight w:val="none"/>
        </w:rPr>
        <w:t>工程技术研究中心</w:t>
      </w:r>
      <w:r>
        <w:rPr>
          <w:rFonts w:hint="default" w:ascii="Times New Roman" w:hAnsi="Times New Roman" w:eastAsia="仿宋" w:cs="Times New Roman"/>
          <w:color w:val="auto"/>
          <w:spacing w:val="0"/>
          <w:sz w:val="32"/>
          <w:highlight w:val="none"/>
          <w:lang w:val="en-US" w:eastAsia="zh-CN"/>
        </w:rPr>
        <w:t>等</w:t>
      </w:r>
      <w:r>
        <w:rPr>
          <w:rFonts w:hint="default" w:ascii="Times New Roman" w:hAnsi="Times New Roman" w:eastAsia="仿宋" w:cs="Times New Roman"/>
          <w:color w:val="auto"/>
          <w:spacing w:val="0"/>
          <w:sz w:val="32"/>
          <w:highlight w:val="none"/>
          <w:lang w:eastAsia="zh-CN"/>
        </w:rPr>
        <w:t>研发资源作用，加强基础领域研究，</w:t>
      </w:r>
      <w:r>
        <w:rPr>
          <w:rFonts w:hint="default" w:ascii="Times New Roman" w:hAnsi="Times New Roman" w:eastAsia="仿宋" w:cs="Times New Roman"/>
          <w:color w:val="auto"/>
          <w:spacing w:val="0"/>
          <w:sz w:val="32"/>
          <w:highlight w:val="none"/>
        </w:rPr>
        <w:t>争取国家重大科技基础设施等平台来</w:t>
      </w:r>
      <w:r>
        <w:rPr>
          <w:rFonts w:hint="default" w:ascii="Times New Roman" w:hAnsi="Times New Roman" w:eastAsia="仿宋" w:cs="Times New Roman"/>
          <w:color w:val="auto"/>
          <w:spacing w:val="0"/>
          <w:sz w:val="32"/>
          <w:highlight w:val="none"/>
          <w:lang w:val="en-US" w:eastAsia="zh-CN"/>
        </w:rPr>
        <w:t>卫滨</w:t>
      </w:r>
      <w:r>
        <w:rPr>
          <w:rFonts w:hint="default" w:ascii="Times New Roman" w:hAnsi="Times New Roman" w:eastAsia="仿宋" w:cs="Times New Roman"/>
          <w:color w:val="auto"/>
          <w:spacing w:val="0"/>
          <w:sz w:val="32"/>
          <w:highlight w:val="none"/>
        </w:rPr>
        <w:t>布局</w:t>
      </w:r>
      <w:r>
        <w:rPr>
          <w:rFonts w:hint="default" w:ascii="Times New Roman" w:hAnsi="Times New Roman" w:eastAsia="仿宋" w:cs="Times New Roman"/>
          <w:color w:val="auto"/>
          <w:spacing w:val="0"/>
          <w:sz w:val="32"/>
          <w:highlight w:val="none"/>
          <w:lang w:eastAsia="zh-CN"/>
        </w:rPr>
        <w:t>。实施“三个一”工程，培育国家、省、市三级创新载体。</w:t>
      </w:r>
      <w:r>
        <w:rPr>
          <w:rFonts w:hint="default" w:ascii="Times New Roman" w:hAnsi="Times New Roman" w:eastAsia="仿宋" w:cs="Times New Roman"/>
          <w:color w:val="auto"/>
          <w:spacing w:val="0"/>
          <w:sz w:val="32"/>
          <w:highlight w:val="none"/>
        </w:rPr>
        <w:t>完善制造业创新载体平台，推动凯美龙高端集成电路关键材料等科技创新项目顺利建成投产。</w:t>
      </w:r>
      <w:r>
        <w:rPr>
          <w:rFonts w:hint="default" w:ascii="Times New Roman" w:hAnsi="Times New Roman" w:eastAsia="仿宋" w:cs="Times New Roman"/>
          <w:color w:val="auto"/>
          <w:spacing w:val="0"/>
          <w:sz w:val="32"/>
          <w:highlight w:val="none"/>
          <w:lang w:eastAsia="zh-CN"/>
        </w:rPr>
        <w:t>鼓励企业牵头或与高校、科研院所合作，建设重点实验室、工程研究中心、企业技术中心。引</w:t>
      </w:r>
      <w:r>
        <w:rPr>
          <w:rFonts w:hint="default" w:ascii="Times New Roman" w:hAnsi="Times New Roman" w:eastAsia="仿宋" w:cs="Times New Roman"/>
          <w:color w:val="auto"/>
          <w:spacing w:val="0"/>
          <w:sz w:val="32"/>
          <w:highlight w:val="none"/>
          <w:lang w:val="en-US" w:eastAsia="zh-CN"/>
        </w:rPr>
        <w:t>导凯美龙、橡塑等企业争创国家级工程技术研发平台，支持中铁、靖道、勤</w:t>
      </w:r>
      <w:r>
        <w:rPr>
          <w:rFonts w:hint="default" w:ascii="Times New Roman" w:hAnsi="Times New Roman" w:eastAsia="仿宋" w:cs="Times New Roman"/>
          <w:color w:val="auto"/>
          <w:spacing w:val="0"/>
          <w:sz w:val="32"/>
          <w:szCs w:val="32"/>
          <w:highlight w:val="none"/>
          <w:lang w:val="en-US" w:eastAsia="zh-CN"/>
        </w:rPr>
        <w:t>工等企业创建省级工程技术研发平台，</w:t>
      </w:r>
      <w:r>
        <w:rPr>
          <w:rFonts w:hint="default" w:ascii="Times New Roman" w:hAnsi="Times New Roman" w:eastAsia="仿宋" w:cs="Times New Roman"/>
          <w:color w:val="auto"/>
          <w:spacing w:val="0"/>
          <w:sz w:val="32"/>
          <w:highlight w:val="none"/>
        </w:rPr>
        <w:t>力争到“十四五”末，全区省级工程技术研究中心达到5个以上，市级工程研发中心达到15个以上。</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66" w:name="_Toc26015"/>
      <w:bookmarkStart w:id="67" w:name="_Toc15479"/>
      <w:r>
        <w:rPr>
          <w:rFonts w:hint="default" w:ascii="Times New Roman" w:hAnsi="Times New Roman" w:eastAsia="楷体_GB2312" w:cs="Times New Roman"/>
          <w:snapToGrid w:val="0"/>
          <w:color w:val="auto"/>
          <w:spacing w:val="0"/>
          <w:sz w:val="32"/>
          <w:szCs w:val="32"/>
          <w:highlight w:val="none"/>
        </w:rPr>
        <w:t>第三节 加快建设人才强区</w:t>
      </w:r>
      <w:bookmarkEnd w:id="66"/>
      <w:bookmarkEnd w:id="6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利用郑洛新国家自主创新示范区政策优势，组织各企事业单位参加中国</w:t>
      </w:r>
      <w:r>
        <w:rPr>
          <w:rFonts w:hint="default" w:ascii="Times New Roman" w:hAnsi="Times New Roman" w:eastAsia="仿宋" w:cs="Times New Roman"/>
          <w:color w:val="auto"/>
          <w:spacing w:val="0"/>
          <w:sz w:val="32"/>
          <w:highlight w:val="none"/>
          <w:lang w:val="en-US" w:eastAsia="zh-CN"/>
        </w:rPr>
        <w:t>·</w:t>
      </w:r>
      <w:r>
        <w:rPr>
          <w:rFonts w:hint="default" w:ascii="Times New Roman" w:hAnsi="Times New Roman" w:eastAsia="仿宋" w:cs="Times New Roman"/>
          <w:color w:val="auto"/>
          <w:spacing w:val="0"/>
          <w:sz w:val="32"/>
          <w:highlight w:val="none"/>
        </w:rPr>
        <w:t>河南招才引智创新发展大会和招聘会，吸引和聚集一批创新型科技领军人才和创新团队。推动人才链、创新链与产业链深度融合。落实创新人才引进政策，更多地引进高层次科研人才、创业人才、经营管理人才。建立完善科技人才评价激励机制，突出品德、能力、业绩导向，注重标志性成果的质量、贡献、影响。落实以增加知识价值为导向的分配政策，提高科技人员绩效工作收入，加大科研项目奖励收入，充分调动广大科技人员积极性和创造性。建立科技创新财政投入稳定增长机制，到“十四五”末全区研发经费投入强度有明显提升。</w:t>
      </w:r>
    </w:p>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rPr>
      </w:pPr>
      <w:bookmarkStart w:id="68" w:name="_Toc11741"/>
      <w:bookmarkStart w:id="69" w:name="_Toc15728"/>
      <w:r>
        <w:rPr>
          <w:rFonts w:hint="default" w:ascii="Times New Roman" w:hAnsi="Times New Roman" w:eastAsia="黑体" w:cs="Times New Roman"/>
          <w:color w:val="auto"/>
          <w:sz w:val="32"/>
          <w:szCs w:val="32"/>
          <w:highlight w:val="none"/>
        </w:rPr>
        <w:t>第五章 提升改革开放动力活力</w:t>
      </w:r>
      <w:bookmarkEnd w:id="68"/>
      <w:bookmarkEnd w:id="6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坚定不移推进体制机制改革，进一步完善改革举措，打造一流营商环境，务求改革实效，实现更高水平对外开放，不断增强发展活力与后劲。</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70" w:name="_Toc20658"/>
      <w:bookmarkStart w:id="71" w:name="_Toc13479"/>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 HYPERLINK \l "_Toc52057031" </w:instrText>
      </w:r>
      <w:r>
        <w:rPr>
          <w:rFonts w:hint="default" w:ascii="Times New Roman" w:hAnsi="Times New Roman" w:eastAsia="楷体_GB2312" w:cs="Times New Roman"/>
          <w:snapToGrid w:val="0"/>
          <w:color w:val="auto"/>
          <w:spacing w:val="0"/>
          <w:sz w:val="32"/>
          <w:szCs w:val="32"/>
          <w:highlight w:val="none"/>
        </w:rPr>
        <w:fldChar w:fldCharType="separate"/>
      </w:r>
      <w:r>
        <w:rPr>
          <w:rFonts w:hint="default" w:ascii="Times New Roman" w:hAnsi="Times New Roman" w:eastAsia="楷体_GB2312" w:cs="Times New Roman"/>
          <w:snapToGrid w:val="0"/>
          <w:color w:val="auto"/>
          <w:spacing w:val="0"/>
          <w:sz w:val="32"/>
          <w:szCs w:val="32"/>
          <w:highlight w:val="none"/>
        </w:rPr>
        <w:t>第一节 营造一流营商环境</w:t>
      </w:r>
      <w:r>
        <w:rPr>
          <w:rFonts w:hint="default" w:ascii="Times New Roman" w:hAnsi="Times New Roman" w:eastAsia="楷体_GB2312" w:cs="Times New Roman"/>
          <w:snapToGrid w:val="0"/>
          <w:color w:val="auto"/>
          <w:spacing w:val="0"/>
          <w:sz w:val="32"/>
          <w:szCs w:val="32"/>
          <w:highlight w:val="none"/>
        </w:rPr>
        <w:fldChar w:fldCharType="end"/>
      </w:r>
      <w:bookmarkEnd w:id="70"/>
      <w:bookmarkEnd w:id="71"/>
      <w:bookmarkStart w:id="72" w:name="_Toc21806"/>
      <w:bookmarkEnd w:id="72"/>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把营造一流营商环境作为推动卫滨区高质量发展的重要举措，着力营造“近悦远来”的营商环境，确保营商环境便利度位居全市第一方阵。</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营造便利高效的政务环境。</w:t>
      </w:r>
      <w:r>
        <w:rPr>
          <w:rFonts w:hint="default" w:ascii="Times New Roman" w:hAnsi="Times New Roman" w:eastAsia="仿宋" w:cs="Times New Roman"/>
          <w:color w:val="auto"/>
          <w:spacing w:val="0"/>
          <w:sz w:val="32"/>
          <w:highlight w:val="none"/>
        </w:rPr>
        <w:t>牢固树立“围着企业转，帮着企业办”的服务理念，纵深推进“一网通办”前提下“最多跑一次”，持续强力推进“放管服”改革，全力做好注册登记全程电子化工作，承诺1个工作日内办结。开通投资审批咨询24小时服务专线，引导项目投资单位网上申报办理各类事项。对企业投资项目，实行告知性备案，取消备案所有前置要件，并承诺在规定时间内完成备案办理。完善“政、银、企”对接机制，组织</w:t>
      </w:r>
      <w:r>
        <w:rPr>
          <w:rFonts w:hint="default" w:ascii="Times New Roman" w:hAnsi="Times New Roman" w:eastAsia="仿宋" w:cs="Times New Roman"/>
          <w:color w:val="auto"/>
          <w:spacing w:val="0"/>
          <w:sz w:val="32"/>
          <w:highlight w:val="none"/>
          <w:lang w:val="en-US" w:eastAsia="zh-CN"/>
        </w:rPr>
        <w:t>开展</w:t>
      </w:r>
      <w:r>
        <w:rPr>
          <w:rFonts w:hint="default" w:ascii="Times New Roman" w:hAnsi="Times New Roman" w:eastAsia="仿宋" w:cs="Times New Roman"/>
          <w:color w:val="auto"/>
          <w:spacing w:val="0"/>
          <w:sz w:val="32"/>
          <w:highlight w:val="none"/>
        </w:rPr>
        <w:t>线上线下银企对接会。</w:t>
      </w:r>
      <w:r>
        <w:rPr>
          <w:rFonts w:hint="default" w:ascii="Times New Roman" w:hAnsi="Times New Roman" w:eastAsia="仿宋" w:cs="Times New Roman"/>
          <w:color w:val="auto"/>
          <w:spacing w:val="0"/>
          <w:sz w:val="32"/>
          <w:highlight w:val="none"/>
          <w:lang w:val="en-US" w:eastAsia="zh-CN"/>
        </w:rPr>
        <w:t>充分利用多层次资本市场，加快推进企业上市，新三板、四板挂牌。</w:t>
      </w:r>
      <w:r>
        <w:rPr>
          <w:rFonts w:hint="default" w:ascii="Times New Roman" w:hAnsi="Times New Roman" w:eastAsia="仿宋" w:cs="Times New Roman"/>
          <w:color w:val="auto"/>
          <w:spacing w:val="0"/>
          <w:sz w:val="32"/>
          <w:highlight w:val="none"/>
        </w:rPr>
        <w:t>深入实施投资审批制度改革，以规范审批行为、压减审批时限、提高服务效能为目标，进一步提升投资项目审批效率，确保投资项目全流程审批在规定时限内完成。全力帮助企业纾困解难，不断提高市场主体的获得感和满意度。</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打造公正透明的市场环境。</w:t>
      </w:r>
      <w:r>
        <w:rPr>
          <w:rFonts w:hint="default" w:ascii="Times New Roman" w:hAnsi="Times New Roman" w:eastAsia="仿宋" w:cs="Times New Roman"/>
          <w:color w:val="auto"/>
          <w:spacing w:val="0"/>
          <w:sz w:val="32"/>
          <w:highlight w:val="none"/>
        </w:rPr>
        <w:t>深入贯彻落实习近平总书记关于构建亲清新型政商关系的重要指示精神，落实构建新型政商关系负面清单，明确党政机关及其工作人员“十个严禁”、企业生产经营者“六个不得”，为政商交往划出“底线”，加快形成政商之间既亲又清、良性互动的氛围。推进实施政商“双向挂职”制度，向重点企业派驻首席服务员，邀请企业人才到行政职能部门挂职锻炼，促进政企工作交流，进一步增进工作理解和包容度。实施卫滨区公平竞争审查工作联席会议制度，规范政府有关行为，清理废除妨碍统一市场和公平竞争的各种规定。提升规范执法活动，全面推行行政执法公示制度、执法全过程记录制度及重大执法决定法制审核制度。出台支持保护干部履职担当干事创业容错纠错相关办法，营造争先</w:t>
      </w:r>
      <w:r>
        <w:rPr>
          <w:rFonts w:hint="default" w:ascii="Times New Roman" w:hAnsi="Times New Roman" w:eastAsia="仿宋" w:cs="Times New Roman"/>
          <w:color w:val="auto"/>
          <w:spacing w:val="0"/>
          <w:sz w:val="32"/>
          <w:highlight w:val="none"/>
          <w:lang w:val="en-US" w:eastAsia="zh-CN"/>
        </w:rPr>
        <w:t>晋</w:t>
      </w:r>
      <w:r>
        <w:rPr>
          <w:rFonts w:hint="default" w:ascii="Times New Roman" w:hAnsi="Times New Roman" w:eastAsia="仿宋" w:cs="Times New Roman"/>
          <w:color w:val="auto"/>
          <w:spacing w:val="0"/>
          <w:sz w:val="32"/>
          <w:highlight w:val="none"/>
        </w:rPr>
        <w:t>位的工作氛围。</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建设诚实守信的信用环境。</w:t>
      </w:r>
      <w:r>
        <w:rPr>
          <w:rFonts w:hint="default" w:ascii="Times New Roman" w:hAnsi="Times New Roman" w:eastAsia="仿宋" w:cs="Times New Roman"/>
          <w:color w:val="auto"/>
          <w:spacing w:val="0"/>
          <w:sz w:val="32"/>
          <w:highlight w:val="none"/>
        </w:rPr>
        <w:t>发挥卫滨区信用平台作用，认真落实守信联合激励和失信联合惩戒有关工作机制，及时发布红黑名单及守信、失信案例信息，优化社会信用环境。加强政务诚信建设，扩大信用</w:t>
      </w:r>
      <w:r>
        <w:rPr>
          <w:rFonts w:hint="default" w:ascii="Times New Roman" w:hAnsi="Times New Roman" w:eastAsia="仿宋" w:cs="Times New Roman"/>
          <w:color w:val="auto"/>
          <w:spacing w:val="0"/>
          <w:sz w:val="32"/>
          <w:highlight w:val="none"/>
          <w:lang w:val="en-US" w:eastAsia="zh-CN"/>
        </w:rPr>
        <w:t>成果</w:t>
      </w:r>
      <w:r>
        <w:rPr>
          <w:rFonts w:hint="default" w:ascii="Times New Roman" w:hAnsi="Times New Roman" w:eastAsia="仿宋" w:cs="Times New Roman"/>
          <w:color w:val="auto"/>
          <w:spacing w:val="0"/>
          <w:sz w:val="32"/>
          <w:highlight w:val="none"/>
        </w:rPr>
        <w:t>在政府采购、项目招投标、产权交易、资质认定、监督管理等领域</w:t>
      </w:r>
      <w:r>
        <w:rPr>
          <w:rFonts w:hint="default" w:ascii="Times New Roman" w:hAnsi="Times New Roman" w:eastAsia="仿宋" w:cs="Times New Roman"/>
          <w:color w:val="auto"/>
          <w:spacing w:val="0"/>
          <w:sz w:val="32"/>
          <w:highlight w:val="none"/>
          <w:lang w:val="en-US" w:eastAsia="zh-CN"/>
        </w:rPr>
        <w:t>的应用</w:t>
      </w:r>
      <w:r>
        <w:rPr>
          <w:rFonts w:hint="default" w:ascii="Times New Roman" w:hAnsi="Times New Roman" w:eastAsia="仿宋" w:cs="Times New Roman"/>
          <w:color w:val="auto"/>
          <w:spacing w:val="0"/>
          <w:sz w:val="32"/>
          <w:highlight w:val="none"/>
        </w:rPr>
        <w:t xml:space="preserve">。大力开展诚信宣传教育，提高全社会信用水平，营造优良信用环境，在全区形成“守信光荣、失信可耻”的良好社会氛围，打造“诚信卫滨”。 </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73" w:name="_Toc21895"/>
      <w:bookmarkStart w:id="74" w:name="_Toc23932"/>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 HYPERLINK \l "_Toc52057032" </w:instrText>
      </w:r>
      <w:r>
        <w:rPr>
          <w:rFonts w:hint="default" w:ascii="Times New Roman" w:hAnsi="Times New Roman" w:eastAsia="楷体_GB2312" w:cs="Times New Roman"/>
          <w:snapToGrid w:val="0"/>
          <w:color w:val="auto"/>
          <w:spacing w:val="0"/>
          <w:sz w:val="32"/>
          <w:szCs w:val="32"/>
          <w:highlight w:val="none"/>
        </w:rPr>
        <w:fldChar w:fldCharType="separate"/>
      </w:r>
      <w:r>
        <w:rPr>
          <w:rFonts w:hint="default" w:ascii="Times New Roman" w:hAnsi="Times New Roman" w:eastAsia="楷体_GB2312" w:cs="Times New Roman"/>
          <w:snapToGrid w:val="0"/>
          <w:color w:val="auto"/>
          <w:spacing w:val="0"/>
          <w:sz w:val="32"/>
          <w:szCs w:val="32"/>
          <w:highlight w:val="none"/>
        </w:rPr>
        <w:t>第二节 大力推进开放合作</w:t>
      </w:r>
      <w:r>
        <w:rPr>
          <w:rFonts w:hint="default" w:ascii="Times New Roman" w:hAnsi="Times New Roman" w:eastAsia="楷体_GB2312" w:cs="Times New Roman"/>
          <w:snapToGrid w:val="0"/>
          <w:color w:val="auto"/>
          <w:spacing w:val="0"/>
          <w:sz w:val="32"/>
          <w:szCs w:val="32"/>
          <w:highlight w:val="none"/>
        </w:rPr>
        <w:fldChar w:fldCharType="end"/>
      </w:r>
      <w:bookmarkEnd w:id="73"/>
      <w:bookmarkEnd w:id="74"/>
      <w:bookmarkStart w:id="75" w:name="_Hlt46480104"/>
      <w:bookmarkEnd w:id="75"/>
      <w:bookmarkStart w:id="76" w:name="_Toc15099"/>
      <w:bookmarkEnd w:id="76"/>
      <w:bookmarkStart w:id="77" w:name="_Hlt46480082"/>
      <w:bookmarkEnd w:id="7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i w:val="0"/>
          <w:caps w:val="0"/>
          <w:color w:val="auto"/>
          <w:spacing w:val="0"/>
          <w:sz w:val="32"/>
          <w:szCs w:val="32"/>
          <w:highlight w:val="none"/>
        </w:rPr>
      </w:pPr>
      <w:r>
        <w:rPr>
          <w:rFonts w:hint="default" w:ascii="Times New Roman" w:hAnsi="Times New Roman" w:eastAsia="仿宋" w:cs="Times New Roman"/>
          <w:i w:val="0"/>
          <w:caps w:val="0"/>
          <w:color w:val="auto"/>
          <w:spacing w:val="0"/>
          <w:sz w:val="32"/>
          <w:szCs w:val="32"/>
          <w:highlight w:val="none"/>
          <w:shd w:val="clear" w:color="auto" w:fill="auto"/>
        </w:rPr>
        <w:t>坚持以开放促发展，不断深化对外经济协作交流的深度与广度。以长三角、京津冀、珠三角、成渝经济圈等地区为重点，围绕先进制造</w:t>
      </w:r>
      <w:r>
        <w:rPr>
          <w:rFonts w:hint="default" w:ascii="Times New Roman" w:hAnsi="Times New Roman" w:eastAsia="仿宋" w:cs="Times New Roman"/>
          <w:i w:val="0"/>
          <w:caps w:val="0"/>
          <w:color w:val="auto"/>
          <w:spacing w:val="0"/>
          <w:sz w:val="32"/>
          <w:szCs w:val="32"/>
          <w:highlight w:val="none"/>
          <w:shd w:val="clear" w:color="auto" w:fill="auto"/>
          <w:lang w:eastAsia="zh-CN"/>
        </w:rPr>
        <w:t>业</w:t>
      </w:r>
      <w:r>
        <w:rPr>
          <w:rFonts w:hint="default" w:ascii="Times New Roman" w:hAnsi="Times New Roman" w:eastAsia="仿宋" w:cs="Times New Roman"/>
          <w:i w:val="0"/>
          <w:caps w:val="0"/>
          <w:color w:val="auto"/>
          <w:spacing w:val="0"/>
          <w:sz w:val="32"/>
          <w:szCs w:val="32"/>
          <w:highlight w:val="none"/>
          <w:shd w:val="clear" w:color="auto" w:fill="auto"/>
        </w:rPr>
        <w:t>、现代服务业、城市更新等领域承接产业转移，重点深化合作，强化“走出去”“引进来”，开创合作共赢的美好未来。</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i w:val="0"/>
          <w:caps w:val="0"/>
          <w:color w:val="auto"/>
          <w:spacing w:val="0"/>
          <w:sz w:val="32"/>
          <w:szCs w:val="32"/>
          <w:highlight w:val="none"/>
        </w:rPr>
      </w:pPr>
      <w:r>
        <w:rPr>
          <w:rFonts w:hint="default" w:ascii="Times New Roman" w:hAnsi="Times New Roman" w:eastAsia="仿宋" w:cs="Times New Roman"/>
          <w:b/>
          <w:bCs/>
          <w:i w:val="0"/>
          <w:caps w:val="0"/>
          <w:color w:val="auto"/>
          <w:spacing w:val="0"/>
          <w:sz w:val="32"/>
          <w:szCs w:val="32"/>
          <w:highlight w:val="none"/>
          <w:shd w:val="clear" w:color="auto" w:fill="auto"/>
        </w:rPr>
        <w:t>围绕先进制造业招商。</w:t>
      </w:r>
      <w:r>
        <w:rPr>
          <w:rFonts w:hint="default" w:ascii="Times New Roman" w:hAnsi="Times New Roman" w:eastAsia="仿宋" w:cs="Times New Roman"/>
          <w:i w:val="0"/>
          <w:caps w:val="0"/>
          <w:color w:val="auto"/>
          <w:spacing w:val="0"/>
          <w:sz w:val="32"/>
          <w:szCs w:val="32"/>
          <w:highlight w:val="none"/>
          <w:shd w:val="clear" w:color="auto" w:fill="auto"/>
        </w:rPr>
        <w:t>重点引进新型智能装备制造业，努力打造高端装备区中园。紧盯智能隧道装备、铜材料加工、智能机器人上下游产业链开展招商，着力引进发展潜力大、关联程度高、带动能力强的</w:t>
      </w:r>
      <w:r>
        <w:rPr>
          <w:rFonts w:hint="default" w:ascii="Times New Roman" w:hAnsi="Times New Roman" w:eastAsia="仿宋" w:cs="Times New Roman"/>
          <w:color w:val="auto"/>
          <w:spacing w:val="0"/>
          <w:sz w:val="32"/>
          <w:highlight w:val="none"/>
        </w:rPr>
        <w:t>产业链</w:t>
      </w:r>
      <w:r>
        <w:rPr>
          <w:rFonts w:hint="default" w:ascii="Times New Roman" w:hAnsi="Times New Roman" w:eastAsia="仿宋" w:cs="Times New Roman"/>
          <w:i w:val="0"/>
          <w:caps w:val="0"/>
          <w:color w:val="auto"/>
          <w:spacing w:val="0"/>
          <w:sz w:val="32"/>
          <w:szCs w:val="32"/>
          <w:highlight w:val="none"/>
          <w:shd w:val="clear" w:color="auto" w:fill="auto"/>
        </w:rPr>
        <w:t>项目。借助南部与高新区套合优势，提高产业承载能力，</w:t>
      </w:r>
      <w:r>
        <w:rPr>
          <w:rFonts w:hint="default" w:ascii="Times New Roman" w:hAnsi="Times New Roman" w:eastAsia="仿宋" w:cs="Times New Roman"/>
          <w:i w:val="0"/>
          <w:caps w:val="0"/>
          <w:color w:val="auto"/>
          <w:spacing w:val="0"/>
          <w:sz w:val="32"/>
          <w:szCs w:val="32"/>
          <w:highlight w:val="none"/>
          <w:shd w:val="clear" w:color="auto" w:fill="auto"/>
          <w:lang w:eastAsia="zh-CN"/>
        </w:rPr>
        <w:t>谋划布局南部区域的新兴产业项目；</w:t>
      </w:r>
      <w:r>
        <w:rPr>
          <w:rFonts w:hint="default" w:ascii="Times New Roman" w:hAnsi="Times New Roman" w:eastAsia="仿宋" w:cs="Times New Roman"/>
          <w:i w:val="0"/>
          <w:caps w:val="0"/>
          <w:color w:val="auto"/>
          <w:spacing w:val="0"/>
          <w:sz w:val="32"/>
          <w:szCs w:val="32"/>
          <w:highlight w:val="none"/>
          <w:shd w:val="clear" w:color="auto" w:fill="auto"/>
        </w:rPr>
        <w:t>在华电周边引入热源类生产企业，提高用地效率，打造新的增长极。</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围绕现代服务业招商。</w:t>
      </w:r>
      <w:r>
        <w:rPr>
          <w:rFonts w:hint="default" w:ascii="Times New Roman" w:hAnsi="Times New Roman" w:eastAsia="仿宋" w:cs="Times New Roman"/>
          <w:color w:val="auto"/>
          <w:spacing w:val="0"/>
          <w:sz w:val="32"/>
          <w:highlight w:val="none"/>
        </w:rPr>
        <w:t>按照“传统商业提升改造、新兴产业培育壮大”的发展定位，充分运用“互联网+传统商业”模式，服务好猪八戒网、金融保险超市等项目，进一步引进品质优良、税源丰富、带动效果好的楼宇总部经济等现代服务业，巩固商业中心地位。</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b w:val="0"/>
          <w:i w:val="0"/>
          <w:caps w:val="0"/>
          <w:color w:val="auto"/>
          <w:spacing w:val="0"/>
          <w:sz w:val="32"/>
          <w:szCs w:val="32"/>
          <w:highlight w:val="none"/>
          <w:shd w:val="clear" w:color="auto" w:fill="auto"/>
        </w:rPr>
      </w:pPr>
      <w:r>
        <w:rPr>
          <w:rFonts w:hint="default" w:ascii="Times New Roman" w:hAnsi="Times New Roman" w:eastAsia="仿宋" w:cs="Times New Roman"/>
          <w:b/>
          <w:bCs/>
          <w:i w:val="0"/>
          <w:caps w:val="0"/>
          <w:color w:val="auto"/>
          <w:spacing w:val="0"/>
          <w:sz w:val="32"/>
          <w:szCs w:val="32"/>
          <w:highlight w:val="none"/>
          <w:shd w:val="clear" w:color="auto" w:fill="auto"/>
        </w:rPr>
        <w:t>围绕城市更新招商。</w:t>
      </w:r>
      <w:r>
        <w:rPr>
          <w:rFonts w:hint="default" w:ascii="Times New Roman" w:hAnsi="Times New Roman" w:eastAsia="仿宋" w:cs="Times New Roman"/>
          <w:i w:val="0"/>
          <w:caps w:val="0"/>
          <w:color w:val="auto"/>
          <w:spacing w:val="0"/>
          <w:sz w:val="32"/>
          <w:szCs w:val="32"/>
          <w:highlight w:val="none"/>
          <w:shd w:val="clear" w:color="auto" w:fill="auto"/>
        </w:rPr>
        <w:t>围绕全市“西提南融</w:t>
      </w:r>
      <w:r>
        <w:rPr>
          <w:rFonts w:hint="default" w:ascii="Times New Roman" w:hAnsi="Times New Roman" w:eastAsia="仿宋" w:cs="Times New Roman"/>
          <w:i w:val="0"/>
          <w:caps w:val="0"/>
          <w:color w:val="auto"/>
          <w:spacing w:val="0"/>
          <w:sz w:val="32"/>
          <w:szCs w:val="32"/>
          <w:highlight w:val="none"/>
          <w:shd w:val="clear" w:color="auto" w:fill="auto"/>
          <w:lang w:val="en-US" w:eastAsia="zh-CN"/>
        </w:rPr>
        <w:t>中优</w:t>
      </w:r>
      <w:r>
        <w:rPr>
          <w:rFonts w:hint="default" w:ascii="Times New Roman" w:hAnsi="Times New Roman" w:eastAsia="仿宋" w:cs="Times New Roman"/>
          <w:i w:val="0"/>
          <w:caps w:val="0"/>
          <w:color w:val="auto"/>
          <w:spacing w:val="0"/>
          <w:sz w:val="32"/>
          <w:szCs w:val="32"/>
          <w:highlight w:val="none"/>
          <w:shd w:val="clear" w:color="auto" w:fill="auto"/>
        </w:rPr>
        <w:t>”战略，以军用机场搬迁、市殡仪馆搬迁为契机，打造一批高端写字楼和大型商业综合体，提升现代服务业的承载能力，打造西入市口城市亮点。依托卫源湖景观设计和大运河文化观光带建设，对接一批康养、旅游项目，打造宜居宜业宜游宜养的现代化城市综合功能区。</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i w:val="0"/>
          <w:caps w:val="0"/>
          <w:color w:val="auto"/>
          <w:spacing w:val="0"/>
          <w:sz w:val="32"/>
          <w:szCs w:val="32"/>
          <w:highlight w:val="none"/>
        </w:rPr>
      </w:pPr>
      <w:r>
        <w:rPr>
          <w:rFonts w:hint="default" w:ascii="Times New Roman" w:hAnsi="Times New Roman" w:eastAsia="仿宋" w:cs="Times New Roman"/>
          <w:b/>
          <w:bCs/>
          <w:i w:val="0"/>
          <w:caps w:val="0"/>
          <w:color w:val="auto"/>
          <w:spacing w:val="0"/>
          <w:sz w:val="32"/>
          <w:szCs w:val="32"/>
          <w:highlight w:val="none"/>
          <w:shd w:val="clear" w:color="auto" w:fill="auto"/>
        </w:rPr>
        <w:t>创新开放招商方式。</w:t>
      </w:r>
      <w:r>
        <w:rPr>
          <w:rFonts w:hint="default" w:ascii="Times New Roman" w:hAnsi="Times New Roman" w:eastAsia="仿宋" w:cs="Times New Roman"/>
          <w:i w:val="0"/>
          <w:caps w:val="0"/>
          <w:color w:val="auto"/>
          <w:spacing w:val="0"/>
          <w:sz w:val="32"/>
          <w:szCs w:val="32"/>
          <w:highlight w:val="none"/>
          <w:shd w:val="clear" w:color="auto" w:fill="auto"/>
        </w:rPr>
        <w:t>建立专人专班招商工作机制，组建专业招商小分队，围绕高端装备制造、高端服务业、轻资产类服务业，进行政策研究、企业调研、行业分析、信息研判，提升精准招商专业化水平。完善招商引资奖励激励机制，实行大员上前带头外出招商，鼓励</w:t>
      </w:r>
      <w:r>
        <w:rPr>
          <w:rFonts w:hint="default" w:ascii="Times New Roman" w:hAnsi="Times New Roman" w:eastAsia="仿宋" w:cs="Times New Roman"/>
          <w:color w:val="auto"/>
          <w:spacing w:val="0"/>
          <w:sz w:val="32"/>
          <w:highlight w:val="none"/>
        </w:rPr>
        <w:t>干部</w:t>
      </w:r>
      <w:r>
        <w:rPr>
          <w:rFonts w:hint="default" w:ascii="Times New Roman" w:hAnsi="Times New Roman" w:eastAsia="仿宋" w:cs="Times New Roman"/>
          <w:i w:val="0"/>
          <w:caps w:val="0"/>
          <w:color w:val="auto"/>
          <w:spacing w:val="0"/>
          <w:sz w:val="32"/>
          <w:szCs w:val="32"/>
          <w:highlight w:val="none"/>
          <w:shd w:val="clear" w:color="auto" w:fill="auto"/>
        </w:rPr>
        <w:t>职工“亲情招商”，动员企业项目“以商招商”，努力营造全区上下抓招商的浓厚氛围，凝聚全员招商强大合力。</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78" w:name="_Toc24419"/>
      <w:bookmarkStart w:id="79" w:name="_Toc16545"/>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 HYPERLINK \l "_Toc52057033" </w:instrText>
      </w:r>
      <w:r>
        <w:rPr>
          <w:rFonts w:hint="default" w:ascii="Times New Roman" w:hAnsi="Times New Roman" w:eastAsia="楷体_GB2312" w:cs="Times New Roman"/>
          <w:snapToGrid w:val="0"/>
          <w:color w:val="auto"/>
          <w:spacing w:val="0"/>
          <w:sz w:val="32"/>
          <w:szCs w:val="32"/>
          <w:highlight w:val="none"/>
        </w:rPr>
        <w:fldChar w:fldCharType="separate"/>
      </w:r>
      <w:r>
        <w:rPr>
          <w:rFonts w:hint="default" w:ascii="Times New Roman" w:hAnsi="Times New Roman" w:eastAsia="楷体_GB2312" w:cs="Times New Roman"/>
          <w:snapToGrid w:val="0"/>
          <w:color w:val="auto"/>
          <w:spacing w:val="0"/>
          <w:sz w:val="32"/>
          <w:szCs w:val="32"/>
          <w:highlight w:val="none"/>
        </w:rPr>
        <w:t>第三节 深化重点领域改革</w:t>
      </w:r>
      <w:r>
        <w:rPr>
          <w:rFonts w:hint="default" w:ascii="Times New Roman" w:hAnsi="Times New Roman" w:eastAsia="楷体_GB2312" w:cs="Times New Roman"/>
          <w:snapToGrid w:val="0"/>
          <w:color w:val="auto"/>
          <w:spacing w:val="0"/>
          <w:sz w:val="32"/>
          <w:szCs w:val="32"/>
          <w:highlight w:val="none"/>
        </w:rPr>
        <w:fldChar w:fldCharType="end"/>
      </w:r>
      <w:bookmarkEnd w:id="78"/>
      <w:bookmarkEnd w:id="7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bookmarkStart w:id="80" w:name="_Toc28054"/>
      <w:bookmarkEnd w:id="80"/>
      <w:r>
        <w:rPr>
          <w:rFonts w:hint="default" w:ascii="Times New Roman" w:hAnsi="Times New Roman" w:eastAsia="仿宋" w:cs="Times New Roman"/>
          <w:color w:val="auto"/>
          <w:spacing w:val="0"/>
          <w:sz w:val="32"/>
          <w:highlight w:val="none"/>
        </w:rPr>
        <w:t>围绕建设高标准市场体系和优化政府职责，深化重点领域和关键环节改革，更好发挥政府作用，推动有效市场和有为政府更好结合。</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bookmarkStart w:id="81" w:name="_Toc18912"/>
      <w:bookmarkEnd w:id="81"/>
      <w:r>
        <w:rPr>
          <w:rFonts w:hint="default" w:ascii="Times New Roman" w:hAnsi="Times New Roman" w:eastAsia="仿宋" w:cs="Times New Roman"/>
          <w:b/>
          <w:bCs/>
          <w:color w:val="auto"/>
          <w:spacing w:val="0"/>
          <w:sz w:val="32"/>
          <w:highlight w:val="none"/>
        </w:rPr>
        <w:t>激发各类市场主体活力。</w:t>
      </w:r>
      <w:r>
        <w:rPr>
          <w:rFonts w:hint="default" w:ascii="Times New Roman" w:hAnsi="Times New Roman" w:eastAsia="仿宋" w:cs="Times New Roman"/>
          <w:color w:val="auto"/>
          <w:spacing w:val="0"/>
          <w:sz w:val="32"/>
          <w:highlight w:val="none"/>
        </w:rPr>
        <w:t>促进民营经济健康发展，坚持“两个毫不动摇”，完善支持民营企</w:t>
      </w:r>
      <w:r>
        <w:rPr>
          <w:rFonts w:hint="eastAsia" w:eastAsia="仿宋" w:cs="Times New Roman"/>
          <w:color w:val="auto"/>
          <w:spacing w:val="0"/>
          <w:sz w:val="32"/>
          <w:highlight w:val="none"/>
          <w:lang w:val="en-US" w:eastAsia="zh-CN"/>
        </w:rPr>
        <w:t>业</w:t>
      </w:r>
      <w:r>
        <w:rPr>
          <w:rFonts w:hint="default" w:ascii="Times New Roman" w:hAnsi="Times New Roman" w:eastAsia="仿宋" w:cs="Times New Roman"/>
          <w:color w:val="auto"/>
          <w:spacing w:val="0"/>
          <w:sz w:val="32"/>
          <w:highlight w:val="none"/>
        </w:rPr>
        <w:t>改革创新发展的政策体系。加强对民营企业的产权保护，切实减轻民营企业负担。落实民营企业融资增信和直接融资支持制度，增加面向小微企业和民营企业的金融服务供给。支持企业通过发行企业债券、上市挂牌拓宽融资渠道，鼓励有条件的民营企业加快建立现代化企业制度。</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维护市场公平竞争。</w:t>
      </w:r>
      <w:r>
        <w:rPr>
          <w:rFonts w:hint="default" w:ascii="Times New Roman" w:hAnsi="Times New Roman" w:eastAsia="仿宋" w:cs="Times New Roman"/>
          <w:color w:val="auto"/>
          <w:spacing w:val="0"/>
          <w:sz w:val="32"/>
          <w:highlight w:val="none"/>
        </w:rPr>
        <w:t>健全以公平为原则的产权保护制度，依法平等开放投资领域，依法平等保护各种所有制经济产权和合法权益。全面实施市场准入负面清单制度，推动“非禁即入”普遍落实。逐步清理废除妨碍统一市场和公平竞争的存量政策，全面落实公平竞争审查制度，建立健全第三方审查和评估机制。实行负面清单与鼓励类产业目录相结合的产业政策，加大对技术创新和结构升级的普惠化、功能性政策供给。大力营造企业家健康成长环境，不断激发弘扬优秀企业家精神，更好发挥企业家作用。</w:t>
      </w:r>
    </w:p>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rPr>
      </w:pPr>
      <w:bookmarkStart w:id="82" w:name="_Toc11532"/>
      <w:bookmarkStart w:id="83" w:name="_Toc3540"/>
      <w:r>
        <w:rPr>
          <w:rFonts w:hint="default" w:ascii="Times New Roman" w:hAnsi="Times New Roman" w:eastAsia="黑体" w:cs="Times New Roman"/>
          <w:color w:val="auto"/>
          <w:sz w:val="32"/>
          <w:szCs w:val="32"/>
          <w:highlight w:val="none"/>
        </w:rPr>
        <w:t>第六章 全面提升城市功能品质</w:t>
      </w:r>
      <w:bookmarkEnd w:id="82"/>
      <w:bookmarkEnd w:id="8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抢抓新型城镇化发展机遇，突出有机更新，促进区域协调发展。全力推动铁西区域和南部区域整体开发建设，全面提升中心城区功能品质和综合承载能力，大力推进智慧城市建设。</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84" w:name="_Toc9569"/>
      <w:bookmarkStart w:id="85" w:name="_Toc21416"/>
      <w:r>
        <w:rPr>
          <w:rFonts w:hint="default" w:ascii="Times New Roman" w:hAnsi="Times New Roman" w:eastAsia="楷体_GB2312" w:cs="Times New Roman"/>
          <w:snapToGrid w:val="0"/>
          <w:color w:val="auto"/>
          <w:spacing w:val="0"/>
          <w:sz w:val="32"/>
          <w:szCs w:val="32"/>
          <w:highlight w:val="none"/>
        </w:rPr>
        <w:t>第一节 推动铁西区域开发进程</w:t>
      </w:r>
      <w:bookmarkEnd w:id="84"/>
      <w:bookmarkEnd w:id="85"/>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_GB2312" w:cs="Times New Roman"/>
          <w:color w:val="auto"/>
          <w:spacing w:val="0"/>
          <w:kern w:val="2"/>
          <w:sz w:val="32"/>
          <w:szCs w:val="32"/>
          <w:highlight w:val="none"/>
          <w:lang w:eastAsia="zh-CN"/>
        </w:rPr>
      </w:pPr>
      <w:r>
        <w:rPr>
          <w:rFonts w:hint="default" w:ascii="Times New Roman" w:hAnsi="Times New Roman" w:eastAsia="仿宋" w:cs="Times New Roman"/>
          <w:color w:val="auto"/>
          <w:spacing w:val="0"/>
          <w:sz w:val="32"/>
          <w:highlight w:val="none"/>
        </w:rPr>
        <w:t>高标准做好铁西区域规划设计，推动城市功能提升、空间提质。做好卫河沿线及卫源湖周边区域开发改造工作，加快推动机场、殡仪馆、植物园搬迁工作，推进铁西区域棚户区改造（一期）、滨河湾集中安置区、欧洲名郡二期、胜华电缆及周边区域、百货站区域、铁西粮食储备库区域等棚户区改造，加快铁西区域金穗大道、向阳路、西华大道、幸福路等道路建设。完善基础设施和公共服务，推动卫源湖及景观设计建设，实施卫河生态综合治理，修复卫河生态水系，推动形成大运河沿线生态景观风貌带，着力建设创业商业中心、宜居生活中心、文化休闲中心，完善基础设施和公共服务建设，实现铁西区域生产美、生态美、生活美相辅相成、融合并进；聚力打造新乡市最西城区宜居宜业宜游宜养的高质量发展示范区。</w:t>
      </w:r>
    </w:p>
    <w:tbl>
      <w:tblPr>
        <w:tblStyle w:val="13"/>
        <w:tblW w:w="0" w:type="auto"/>
        <w:jc w:val="center"/>
        <w:tblLayout w:type="fixed"/>
        <w:tblCellMar>
          <w:top w:w="0" w:type="dxa"/>
          <w:left w:w="108" w:type="dxa"/>
          <w:bottom w:w="0" w:type="dxa"/>
          <w:right w:w="108" w:type="dxa"/>
        </w:tblCellMar>
      </w:tblPr>
      <w:tblGrid>
        <w:gridCol w:w="8849"/>
      </w:tblGrid>
      <w:tr>
        <w:tblPrEx>
          <w:tblCellMar>
            <w:top w:w="0" w:type="dxa"/>
            <w:left w:w="108" w:type="dxa"/>
            <w:bottom w:w="0" w:type="dxa"/>
            <w:right w:w="108" w:type="dxa"/>
          </w:tblCellMar>
        </w:tblPrEx>
        <w:trPr>
          <w:trHeight w:val="699" w:hRule="atLeast"/>
          <w:jc w:val="center"/>
        </w:trPr>
        <w:tc>
          <w:tcPr>
            <w:tcW w:w="88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val="0"/>
              <w:spacing w:beforeAutospacing="0" w:after="0" w:afterAutospacing="0" w:line="240" w:lineRule="auto"/>
              <w:jc w:val="both"/>
              <w:textAlignment w:val="auto"/>
              <w:rPr>
                <w:rFonts w:hint="default" w:ascii="Times New Roman" w:hAnsi="Times New Roman" w:eastAsia="宋体" w:cs="Times New Roman"/>
                <w:b/>
                <w:color w:val="auto"/>
                <w:spacing w:val="0"/>
                <w:sz w:val="24"/>
                <w:szCs w:val="24"/>
                <w:highlight w:val="none"/>
              </w:rPr>
            </w:pPr>
            <w:r>
              <w:rPr>
                <w:rFonts w:hint="default" w:ascii="Times New Roman" w:hAnsi="Times New Roman" w:eastAsia="黑体" w:cs="Times New Roman"/>
                <w:bCs/>
                <w:color w:val="auto"/>
                <w:spacing w:val="0"/>
                <w:kern w:val="0"/>
                <w:sz w:val="24"/>
                <w:szCs w:val="24"/>
                <w:highlight w:val="none"/>
                <w:lang w:bidi="ar"/>
              </w:rPr>
              <w:t>专栏6-1 铁西区域开发建设重点项目</w:t>
            </w:r>
          </w:p>
        </w:tc>
      </w:tr>
      <w:tr>
        <w:tblPrEx>
          <w:tblCellMar>
            <w:top w:w="0" w:type="dxa"/>
            <w:left w:w="108" w:type="dxa"/>
            <w:bottom w:w="0" w:type="dxa"/>
            <w:right w:w="108" w:type="dxa"/>
          </w:tblCellMar>
        </w:tblPrEx>
        <w:trPr>
          <w:trHeight w:val="3145" w:hRule="atLeast"/>
          <w:jc w:val="center"/>
        </w:trPr>
        <w:tc>
          <w:tcPr>
            <w:tcW w:w="8849"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color w:val="auto"/>
                <w:spacing w:val="0"/>
                <w:kern w:val="0"/>
                <w:sz w:val="24"/>
                <w:szCs w:val="24"/>
                <w:highlight w:val="none"/>
              </w:rPr>
              <w:t>铁西区域</w:t>
            </w:r>
            <w:r>
              <w:rPr>
                <w:rFonts w:hint="default" w:ascii="Times New Roman" w:hAnsi="Times New Roman" w:eastAsia="仿宋_GB2312" w:cs="Times New Roman"/>
                <w:color w:val="auto"/>
                <w:spacing w:val="0"/>
                <w:sz w:val="24"/>
                <w:szCs w:val="24"/>
                <w:highlight w:val="none"/>
                <w:lang w:val="en-US" w:eastAsia="zh-CN"/>
              </w:rPr>
              <w:t>拟定</w:t>
            </w:r>
            <w:r>
              <w:rPr>
                <w:rFonts w:hint="default" w:ascii="Times New Roman" w:hAnsi="Times New Roman" w:eastAsia="仿宋_GB2312" w:cs="Times New Roman"/>
                <w:color w:val="auto"/>
                <w:spacing w:val="0"/>
                <w:kern w:val="0"/>
                <w:sz w:val="24"/>
                <w:szCs w:val="24"/>
                <w:highlight w:val="none"/>
              </w:rPr>
              <w:t>于京广铁路以西、西环路以东、南环路以北、卫河以南的合围区域。</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棚户区改造项目。</w:t>
            </w:r>
            <w:r>
              <w:rPr>
                <w:rFonts w:hint="default" w:ascii="Times New Roman" w:hAnsi="Times New Roman" w:eastAsia="仿宋_GB2312" w:cs="Times New Roman"/>
                <w:color w:val="auto"/>
                <w:spacing w:val="0"/>
                <w:kern w:val="0"/>
                <w:sz w:val="24"/>
                <w:szCs w:val="24"/>
                <w:highlight w:val="none"/>
              </w:rPr>
              <w:t>主要包括铁西区域棚户区改造（一期）、二工具厂周边区域改造、药材站仓库周边区域改造、百货站区域（康信尚居）、铁西粮食储备库棚户区改造、滨河湾集中安置区、欧洲名郡二期、西高村城中村改造等。</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宋体" w:cs="Times New Roman"/>
                <w:color w:val="auto"/>
                <w:spacing w:val="0"/>
                <w:sz w:val="24"/>
                <w:szCs w:val="24"/>
                <w:highlight w:val="none"/>
              </w:rPr>
            </w:pPr>
            <w:r>
              <w:rPr>
                <w:rFonts w:hint="default" w:ascii="Times New Roman" w:hAnsi="Times New Roman" w:eastAsia="仿宋_GB2312" w:cs="Times New Roman"/>
                <w:b/>
                <w:bCs/>
                <w:color w:val="auto"/>
                <w:spacing w:val="0"/>
                <w:kern w:val="0"/>
                <w:sz w:val="24"/>
                <w:szCs w:val="24"/>
                <w:highlight w:val="none"/>
              </w:rPr>
              <w:t>基础设施和公共服务项目。</w:t>
            </w:r>
            <w:r>
              <w:rPr>
                <w:rFonts w:hint="default" w:ascii="Times New Roman" w:hAnsi="Times New Roman" w:eastAsia="仿宋_GB2312" w:cs="Times New Roman"/>
                <w:color w:val="auto"/>
                <w:spacing w:val="0"/>
                <w:kern w:val="0"/>
                <w:sz w:val="24"/>
                <w:szCs w:val="24"/>
                <w:highlight w:val="none"/>
              </w:rPr>
              <w:t>卫源湖及周边区域开发改造项目、卫河生态水系修复建设项目及金穗大道、向阳路、西华大道、幸福路等道路建设。</w:t>
            </w:r>
          </w:p>
        </w:tc>
      </w:tr>
    </w:tbl>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86" w:name="_Toc12056"/>
      <w:bookmarkStart w:id="87" w:name="_Toc17955"/>
      <w:r>
        <w:rPr>
          <w:rFonts w:hint="default" w:ascii="Times New Roman" w:hAnsi="Times New Roman" w:eastAsia="楷体_GB2312" w:cs="Times New Roman"/>
          <w:snapToGrid w:val="0"/>
          <w:color w:val="auto"/>
          <w:spacing w:val="0"/>
          <w:sz w:val="32"/>
          <w:szCs w:val="32"/>
          <w:highlight w:val="none"/>
        </w:rPr>
        <w:t>第二节 加快南部区域扩容提质</w:t>
      </w:r>
      <w:bookmarkEnd w:id="86"/>
      <w:bookmarkEnd w:id="8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高标准做好南部区域规划设计，突出做好产业协同创新，构建都市休闲创新区、田园新城示范区两大产城功能组团。加强品质环境营建，以植物园为引擎，串联夏荷公园构建自然活力花园网络，积极推进贾太湖提升改造、夏荷公园</w:t>
      </w:r>
      <w:r>
        <w:rPr>
          <w:rFonts w:hint="default" w:ascii="Times New Roman" w:hAnsi="Times New Roman" w:eastAsia="仿宋" w:cs="Times New Roman"/>
          <w:color w:val="auto"/>
          <w:spacing w:val="0"/>
          <w:sz w:val="32"/>
          <w:highlight w:val="none"/>
          <w:lang w:val="en-US" w:eastAsia="zh-CN"/>
        </w:rPr>
        <w:t>改造</w:t>
      </w:r>
      <w:r>
        <w:rPr>
          <w:rFonts w:hint="default" w:ascii="Times New Roman" w:hAnsi="Times New Roman" w:eastAsia="仿宋" w:cs="Times New Roman"/>
          <w:color w:val="auto"/>
          <w:spacing w:val="0"/>
          <w:sz w:val="32"/>
          <w:highlight w:val="none"/>
        </w:rPr>
        <w:t>、植物园迁建等重点项目进程。进一步完善城市空间整理，推进地方铁路处区域、石油公司区域、中科化工区域、第一化工厂区域、型钢厂区域、南站铁路生活区（铁道新苑二期）棚户区改造及王湾、八里铺、赵村、金家营等城中村改造，推进闲置资源的整合，重新塑造规划合理、舒适宜人的居住环境，提升城市环境质量，改善城市形象。建设中原国际汽车文化产业新城，打造集中连片的现代化商住地产区和汽配汽贸集中发展区，推动卫滨区南部区域整体转型提升。</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p>
    <w:tbl>
      <w:tblPr>
        <w:tblStyle w:val="13"/>
        <w:tblW w:w="0" w:type="auto"/>
        <w:jc w:val="center"/>
        <w:tblLayout w:type="fixed"/>
        <w:tblCellMar>
          <w:top w:w="0" w:type="dxa"/>
          <w:left w:w="108" w:type="dxa"/>
          <w:bottom w:w="0" w:type="dxa"/>
          <w:right w:w="108" w:type="dxa"/>
        </w:tblCellMar>
      </w:tblPr>
      <w:tblGrid>
        <w:gridCol w:w="8900"/>
      </w:tblGrid>
      <w:tr>
        <w:tblPrEx>
          <w:tblCellMar>
            <w:top w:w="0" w:type="dxa"/>
            <w:left w:w="108" w:type="dxa"/>
            <w:bottom w:w="0" w:type="dxa"/>
            <w:right w:w="108" w:type="dxa"/>
          </w:tblCellMar>
        </w:tblPrEx>
        <w:trPr>
          <w:trHeight w:val="715" w:hRule="atLeast"/>
          <w:jc w:val="center"/>
        </w:trPr>
        <w:tc>
          <w:tcPr>
            <w:tcW w:w="89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val="0"/>
              <w:spacing w:beforeAutospacing="0" w:after="0" w:afterAutospacing="0" w:line="240" w:lineRule="auto"/>
              <w:textAlignment w:val="auto"/>
              <w:rPr>
                <w:rFonts w:hint="default" w:ascii="Times New Roman" w:hAnsi="Times New Roman" w:eastAsia="楷体" w:cs="Times New Roman"/>
                <w:b/>
                <w:color w:val="auto"/>
                <w:spacing w:val="0"/>
                <w:sz w:val="28"/>
                <w:szCs w:val="28"/>
                <w:highlight w:val="none"/>
              </w:rPr>
            </w:pPr>
            <w:r>
              <w:rPr>
                <w:rFonts w:hint="default" w:ascii="Times New Roman" w:hAnsi="Times New Roman" w:eastAsia="黑体" w:cs="Times New Roman"/>
                <w:bCs/>
                <w:color w:val="auto"/>
                <w:spacing w:val="0"/>
                <w:kern w:val="0"/>
                <w:sz w:val="24"/>
                <w:szCs w:val="24"/>
                <w:highlight w:val="none"/>
                <w:lang w:bidi="ar"/>
              </w:rPr>
              <w:t>专栏6-2 南部区域开发建设重点项目</w:t>
            </w:r>
          </w:p>
        </w:tc>
      </w:tr>
      <w:tr>
        <w:tblPrEx>
          <w:tblCellMar>
            <w:top w:w="0" w:type="dxa"/>
            <w:left w:w="108" w:type="dxa"/>
            <w:bottom w:w="0" w:type="dxa"/>
            <w:right w:w="108" w:type="dxa"/>
          </w:tblCellMar>
        </w:tblPrEx>
        <w:trPr>
          <w:trHeight w:val="2240" w:hRule="atLeast"/>
          <w:jc w:val="center"/>
        </w:trPr>
        <w:tc>
          <w:tcPr>
            <w:tcW w:w="890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9"/>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南部区域拟定于黄河大道以东、规划和平路以西、南环以南、规划南外环以北区域合围17平方公里。</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9"/>
              <w:rPr>
                <w:rFonts w:hint="default" w:ascii="Times New Roman" w:hAnsi="Times New Roman" w:eastAsia="楷体" w:cs="Times New Roman"/>
                <w:color w:val="auto"/>
                <w:spacing w:val="0"/>
                <w:sz w:val="28"/>
                <w:szCs w:val="28"/>
                <w:highlight w:val="none"/>
              </w:rPr>
            </w:pPr>
            <w:r>
              <w:rPr>
                <w:rFonts w:hint="default" w:ascii="Times New Roman" w:hAnsi="Times New Roman" w:eastAsia="仿宋_GB2312" w:cs="Times New Roman"/>
                <w:color w:val="auto"/>
                <w:spacing w:val="0"/>
                <w:sz w:val="24"/>
                <w:szCs w:val="24"/>
                <w:highlight w:val="none"/>
              </w:rPr>
              <w:t>按照沿河沿湖沿路的发展思路，主要建设包括地方铁路处区域、石油公司区域、中科化工区域、第一化工厂区域、型钢厂区域、南站铁路生活区（铁道新苑二期）棚户区改造及赵村、李村等城中村改造项目和中原国际汽车文化产业新城</w:t>
            </w:r>
            <w:r>
              <w:rPr>
                <w:rFonts w:hint="default" w:ascii="Times New Roman" w:hAnsi="Times New Roman" w:eastAsia="仿宋_GB2312" w:cs="Times New Roman"/>
                <w:color w:val="auto"/>
                <w:spacing w:val="0"/>
                <w:sz w:val="24"/>
                <w:szCs w:val="24"/>
                <w:highlight w:val="none"/>
                <w:lang w:val="en-US" w:eastAsia="zh-CN"/>
              </w:rPr>
              <w:t>项目。</w:t>
            </w:r>
          </w:p>
        </w:tc>
      </w:tr>
    </w:tbl>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88" w:name="_Toc32139"/>
      <w:bookmarkStart w:id="89" w:name="_Toc13935"/>
      <w:r>
        <w:rPr>
          <w:rFonts w:hint="default" w:ascii="Times New Roman" w:hAnsi="Times New Roman" w:eastAsia="楷体_GB2312" w:cs="Times New Roman"/>
          <w:snapToGrid w:val="0"/>
          <w:color w:val="auto"/>
          <w:spacing w:val="0"/>
          <w:sz w:val="32"/>
          <w:szCs w:val="32"/>
          <w:highlight w:val="none"/>
        </w:rPr>
        <w:t>第三节 完善老城区功能品质</w:t>
      </w:r>
      <w:bookmarkEnd w:id="88"/>
      <w:bookmarkEnd w:id="8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以百城建设提质为引领，持续推进老城区和老旧小区改造，完善城区基础设施，提高城市功能品质。</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加快城市有机更新。</w:t>
      </w:r>
      <w:r>
        <w:rPr>
          <w:rFonts w:hint="default" w:ascii="Times New Roman" w:hAnsi="Times New Roman" w:eastAsia="仿宋" w:cs="Times New Roman"/>
          <w:color w:val="auto"/>
          <w:spacing w:val="0"/>
          <w:sz w:val="32"/>
          <w:highlight w:val="none"/>
        </w:rPr>
        <w:t>高标准实施老旧小区和城中村改造。按照因地制宜、分类整治、统筹推进、长效管理的原则对老城区提档升级，切实做好</w:t>
      </w:r>
      <w:r>
        <w:rPr>
          <w:rFonts w:hint="default" w:ascii="Times New Roman" w:hAnsi="Times New Roman" w:eastAsia="仿宋_GB2312" w:cs="Times New Roman"/>
          <w:color w:val="auto"/>
          <w:spacing w:val="0"/>
          <w:kern w:val="2"/>
          <w:sz w:val="32"/>
          <w:highlight w:val="none"/>
        </w:rPr>
        <w:t>2000</w:t>
      </w:r>
      <w:r>
        <w:rPr>
          <w:rFonts w:hint="default" w:ascii="Times New Roman" w:hAnsi="Times New Roman" w:eastAsia="仿宋" w:cs="Times New Roman"/>
          <w:color w:val="auto"/>
          <w:spacing w:val="0"/>
          <w:sz w:val="32"/>
          <w:highlight w:val="none"/>
        </w:rPr>
        <w:t>年以前建成小区的改造工程，着力解决基础设施老化、功能配套不全、服务管理缺失、环境脏乱差等问题。力争到“十四五”末，符合改造条件的</w:t>
      </w:r>
      <w:r>
        <w:rPr>
          <w:rFonts w:hint="default" w:ascii="Times New Roman" w:hAnsi="Times New Roman" w:eastAsia="仿宋_GB2312" w:cs="Times New Roman"/>
          <w:color w:val="auto"/>
          <w:spacing w:val="0"/>
          <w:kern w:val="2"/>
          <w:sz w:val="32"/>
          <w:highlight w:val="none"/>
        </w:rPr>
        <w:t>194</w:t>
      </w:r>
      <w:r>
        <w:rPr>
          <w:rFonts w:hint="default" w:ascii="Times New Roman" w:hAnsi="Times New Roman" w:eastAsia="仿宋" w:cs="Times New Roman"/>
          <w:color w:val="auto"/>
          <w:spacing w:val="0"/>
          <w:sz w:val="32"/>
          <w:highlight w:val="none"/>
        </w:rPr>
        <w:t>个老旧小区全部改造到位。推进金家营村、八里铺、王湾等城中村改造。按照百城提质示范区标准，对人民西路南高村市场、老君庵市场等区域进行高标准规划、高质量提升，切实提高城市人居环境品质。</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lang w:bidi="ar"/>
        </w:rPr>
        <w:t>完善综合交通体系。</w:t>
      </w:r>
      <w:r>
        <w:rPr>
          <w:rFonts w:hint="default" w:ascii="Times New Roman" w:hAnsi="Times New Roman" w:eastAsia="仿宋" w:cs="Times New Roman"/>
          <w:color w:val="auto"/>
          <w:spacing w:val="0"/>
          <w:sz w:val="32"/>
          <w:highlight w:val="none"/>
          <w:lang w:bidi="ar"/>
        </w:rPr>
        <w:t>加强综合交通基础设施建设，提升交通服务便利程度，扩大高品质、多样化交通供给。加快构建“域内畅通”的城市路网体系，实施“断头路”打通工程，建设午阳路、静泉路、德源路等南部区域路网，高村路、香泉路、宝泉路、东十路、太行大道等西部路网，推动百泉大道建设、柳青路贯通、解放路南延、和平路南延等，着力提高道路通达深度，形成主干路网完善、次支路网丰富、“断头路”基本消除的路网体系。</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lang w:bidi="ar"/>
        </w:rPr>
        <w:t>推动公用设施现代化。</w:t>
      </w:r>
      <w:r>
        <w:rPr>
          <w:rFonts w:hint="default" w:ascii="Times New Roman" w:hAnsi="Times New Roman" w:eastAsia="仿宋" w:cs="Times New Roman"/>
          <w:color w:val="auto"/>
          <w:spacing w:val="0"/>
          <w:sz w:val="32"/>
          <w:highlight w:val="none"/>
          <w:lang w:bidi="ar"/>
        </w:rPr>
        <w:t>全面提升市政公用设施覆盖范围和保障能力，加强城市雨水、电力、通信等各类管网的建设、改造和检查，有序推进城市电</w:t>
      </w:r>
      <w:r>
        <w:rPr>
          <w:rFonts w:hint="default" w:ascii="Times New Roman" w:hAnsi="Times New Roman" w:eastAsia="仿宋" w:cs="Times New Roman"/>
          <w:color w:val="auto"/>
          <w:spacing w:val="0"/>
          <w:sz w:val="32"/>
          <w:highlight w:val="none"/>
          <w:lang w:val="en-US" w:eastAsia="zh-CN" w:bidi="ar"/>
        </w:rPr>
        <w:t>力</w:t>
      </w:r>
      <w:r>
        <w:rPr>
          <w:rFonts w:hint="default" w:ascii="Times New Roman" w:hAnsi="Times New Roman" w:eastAsia="仿宋" w:cs="Times New Roman"/>
          <w:color w:val="auto"/>
          <w:spacing w:val="0"/>
          <w:sz w:val="32"/>
          <w:highlight w:val="none"/>
          <w:lang w:bidi="ar"/>
        </w:rPr>
        <w:t>、通信架空线入地改造工程。推进公共机构、企业、园区停车位（场）专用充电站、桩以及居民区自用充电桩建设。加快补齐老城区配套短板，完善城市基础设施建设，推进社区服务能力建设，不断完善各项社区功能。</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lang w:bidi="ar"/>
        </w:rPr>
      </w:pPr>
      <w:r>
        <w:rPr>
          <w:rFonts w:hint="default" w:ascii="Times New Roman" w:hAnsi="Times New Roman" w:eastAsia="仿宋" w:cs="Times New Roman"/>
          <w:b/>
          <w:bCs/>
          <w:color w:val="auto"/>
          <w:spacing w:val="0"/>
          <w:sz w:val="32"/>
          <w:highlight w:val="none"/>
          <w:lang w:bidi="ar"/>
        </w:rPr>
        <w:t>持续提升街区活力。</w:t>
      </w:r>
      <w:r>
        <w:rPr>
          <w:rFonts w:hint="default" w:ascii="Times New Roman" w:hAnsi="Times New Roman" w:eastAsia="仿宋" w:cs="Times New Roman"/>
          <w:color w:val="auto"/>
          <w:spacing w:val="0"/>
          <w:sz w:val="32"/>
          <w:highlight w:val="none"/>
          <w:lang w:bidi="ar"/>
        </w:rPr>
        <w:t>做好西孟河两岸综合治理工程、人民胜利渠市区段景观整治提升等，带动沿线连片开发建设。加强历史街区的保护性建设，修旧如旧，传承风貌历史，加强新建片区的开发创意，体现历史内涵，形成更好的文化感知环境。树立“窄马路、密路网”的城市道路布局理念，推动“道路”向“街道”转变，通过改善街道的空间品质，完善基础设施和公共交通网络，增加街道的商业性、生活服务性、景观休闲性，提升城市生活品质，增强城市吸引力。</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加强立体空间利用。</w:t>
      </w:r>
      <w:r>
        <w:rPr>
          <w:rFonts w:hint="default" w:ascii="Times New Roman" w:hAnsi="Times New Roman" w:eastAsia="仿宋" w:cs="Times New Roman"/>
          <w:color w:val="auto"/>
          <w:spacing w:val="0"/>
          <w:sz w:val="32"/>
          <w:highlight w:val="none"/>
          <w:lang w:val="en-US" w:eastAsia="zh-CN"/>
        </w:rPr>
        <w:t>统筹产业发展和居住功能、地下和地上空间，优化功能配置，推进城市空间和城镇建设用地集约高效利用。优化城市路网、城市公共交通和慢行系统，保障步行、自行车等慢行空间。开展城市停车综合治理，加强重点区域地下停车设施建设，积极发展立体智慧停车场，推动地上地下停车空间复合利用。加强地下综合防灾设施建设，有序推进人民防空工程建设，完善城市防护工程体系。</w:t>
      </w:r>
    </w:p>
    <w:tbl>
      <w:tblPr>
        <w:tblStyle w:val="13"/>
        <w:tblW w:w="0" w:type="auto"/>
        <w:jc w:val="center"/>
        <w:tblLayout w:type="fixed"/>
        <w:tblCellMar>
          <w:top w:w="0" w:type="dxa"/>
          <w:left w:w="108" w:type="dxa"/>
          <w:bottom w:w="0" w:type="dxa"/>
          <w:right w:w="108" w:type="dxa"/>
        </w:tblCellMar>
      </w:tblPr>
      <w:tblGrid>
        <w:gridCol w:w="8900"/>
      </w:tblGrid>
      <w:tr>
        <w:tblPrEx>
          <w:tblCellMar>
            <w:top w:w="0" w:type="dxa"/>
            <w:left w:w="108" w:type="dxa"/>
            <w:bottom w:w="0" w:type="dxa"/>
            <w:right w:w="108" w:type="dxa"/>
          </w:tblCellMar>
        </w:tblPrEx>
        <w:trPr>
          <w:trHeight w:val="699" w:hRule="atLeast"/>
          <w:jc w:val="center"/>
        </w:trPr>
        <w:tc>
          <w:tcPr>
            <w:tcW w:w="89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autoSpaceDN/>
              <w:bidi w:val="0"/>
              <w:snapToGrid w:val="0"/>
              <w:spacing w:beforeAutospacing="0" w:after="0" w:afterAutospacing="0" w:line="240" w:lineRule="auto"/>
              <w:textAlignment w:val="auto"/>
              <w:rPr>
                <w:rFonts w:hint="default" w:ascii="Times New Roman" w:hAnsi="Times New Roman" w:eastAsia="宋体" w:cs="Times New Roman"/>
                <w:b/>
                <w:color w:val="auto"/>
                <w:spacing w:val="0"/>
                <w:sz w:val="24"/>
                <w:szCs w:val="24"/>
                <w:highlight w:val="none"/>
              </w:rPr>
            </w:pPr>
            <w:r>
              <w:rPr>
                <w:rFonts w:hint="default" w:ascii="Times New Roman" w:hAnsi="Times New Roman" w:eastAsia="黑体" w:cs="Times New Roman"/>
                <w:bCs/>
                <w:color w:val="auto"/>
                <w:spacing w:val="0"/>
                <w:kern w:val="0"/>
                <w:sz w:val="24"/>
                <w:szCs w:val="24"/>
                <w:highlight w:val="none"/>
                <w:lang w:bidi="ar"/>
              </w:rPr>
              <w:t>专栏6-3 老城区基础设施建设重点项目</w:t>
            </w:r>
          </w:p>
        </w:tc>
      </w:tr>
      <w:tr>
        <w:tblPrEx>
          <w:tblCellMar>
            <w:top w:w="0" w:type="dxa"/>
            <w:left w:w="108" w:type="dxa"/>
            <w:bottom w:w="0" w:type="dxa"/>
            <w:right w:w="108" w:type="dxa"/>
          </w:tblCellMar>
        </w:tblPrEx>
        <w:trPr>
          <w:trHeight w:val="3945" w:hRule="atLeast"/>
          <w:jc w:val="center"/>
        </w:trPr>
        <w:tc>
          <w:tcPr>
            <w:tcW w:w="890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老旧小区改造。</w:t>
            </w:r>
            <w:r>
              <w:rPr>
                <w:rFonts w:hint="default" w:ascii="Times New Roman" w:hAnsi="Times New Roman" w:eastAsia="仿宋_GB2312" w:cs="Times New Roman"/>
                <w:color w:val="auto"/>
                <w:spacing w:val="0"/>
                <w:kern w:val="0"/>
                <w:sz w:val="24"/>
                <w:szCs w:val="24"/>
                <w:highlight w:val="none"/>
              </w:rPr>
              <w:t>7个办事处共194个2000年以前建成的老旧小区实施改造工程。</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城中村改造。</w:t>
            </w:r>
            <w:r>
              <w:rPr>
                <w:rFonts w:hint="default" w:ascii="Times New Roman" w:hAnsi="Times New Roman" w:eastAsia="仿宋_GB2312" w:cs="Times New Roman"/>
                <w:color w:val="auto"/>
                <w:spacing w:val="0"/>
                <w:kern w:val="0"/>
                <w:sz w:val="24"/>
                <w:szCs w:val="24"/>
                <w:highlight w:val="none"/>
              </w:rPr>
              <w:t>实施金家营村、八里铺、王湾、赵村、西高村等城中村改造项目。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sz w:val="24"/>
                <w:szCs w:val="24"/>
                <w:highlight w:val="none"/>
                <w:lang w:bidi="ar"/>
              </w:rPr>
              <w:t>道路交通。</w:t>
            </w:r>
            <w:r>
              <w:rPr>
                <w:rFonts w:hint="default" w:ascii="Times New Roman" w:hAnsi="Times New Roman" w:eastAsia="仿宋_GB2312" w:cs="Times New Roman"/>
                <w:color w:val="auto"/>
                <w:spacing w:val="0"/>
                <w:kern w:val="0"/>
                <w:sz w:val="24"/>
                <w:szCs w:val="24"/>
                <w:highlight w:val="none"/>
              </w:rPr>
              <w:t>实施“断头路”打通工程，建设午阳路、静泉路、德源路等南部区域路网，高村路、香泉路、宝泉路、东十路、太行大道等西部路网，推动百泉大道建设、柳青路贯通、解放路南延、和平路南延等。推进实施各类市政设施道路，推动各类停车设施建设。推进公共机构、企业、园区停车位（场）专用充电站、桩以及居民区自用充电桩建设。发展智慧交通。</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宋体" w:cs="Times New Roman"/>
                <w:color w:val="auto"/>
                <w:spacing w:val="0"/>
                <w:sz w:val="24"/>
                <w:szCs w:val="24"/>
                <w:highlight w:val="none"/>
              </w:rPr>
            </w:pPr>
            <w:r>
              <w:rPr>
                <w:rFonts w:hint="default" w:ascii="Times New Roman" w:hAnsi="Times New Roman" w:eastAsia="仿宋_GB2312" w:cs="Times New Roman"/>
                <w:b/>
                <w:bCs/>
                <w:color w:val="auto"/>
                <w:spacing w:val="0"/>
                <w:sz w:val="24"/>
                <w:szCs w:val="24"/>
                <w:highlight w:val="none"/>
                <w:lang w:bidi="ar"/>
              </w:rPr>
              <w:t>市政管网。</w:t>
            </w:r>
            <w:r>
              <w:rPr>
                <w:rFonts w:hint="default" w:ascii="Times New Roman" w:hAnsi="Times New Roman" w:eastAsia="仿宋_GB2312" w:cs="Times New Roman"/>
                <w:color w:val="auto"/>
                <w:spacing w:val="0"/>
                <w:kern w:val="0"/>
                <w:sz w:val="24"/>
                <w:szCs w:val="24"/>
                <w:highlight w:val="none"/>
              </w:rPr>
              <w:t>实施城市雨水、电力、通信等各类管网的建设、改造和检查，有序推进城市电</w:t>
            </w:r>
            <w:r>
              <w:rPr>
                <w:rFonts w:hint="default" w:ascii="Times New Roman" w:hAnsi="Times New Roman" w:eastAsia="仿宋_GB2312" w:cs="Times New Roman"/>
                <w:color w:val="auto"/>
                <w:spacing w:val="0"/>
                <w:kern w:val="0"/>
                <w:sz w:val="24"/>
                <w:szCs w:val="24"/>
                <w:highlight w:val="none"/>
                <w:lang w:val="en-US" w:eastAsia="zh-CN"/>
              </w:rPr>
              <w:t>力</w:t>
            </w:r>
            <w:r>
              <w:rPr>
                <w:rFonts w:hint="default" w:ascii="Times New Roman" w:hAnsi="Times New Roman" w:eastAsia="仿宋_GB2312" w:cs="Times New Roman"/>
                <w:color w:val="auto"/>
                <w:spacing w:val="0"/>
                <w:kern w:val="0"/>
                <w:sz w:val="24"/>
                <w:szCs w:val="24"/>
                <w:highlight w:val="none"/>
              </w:rPr>
              <w:t>、通信架空线入地改造工程。</w:t>
            </w:r>
          </w:p>
        </w:tc>
      </w:tr>
    </w:tbl>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lang w:eastAsia="zh-CN"/>
        </w:rPr>
      </w:pPr>
      <w:r>
        <w:rPr>
          <w:rFonts w:hint="default" w:ascii="Times New Roman" w:hAnsi="Times New Roman" w:eastAsia="仿宋" w:cs="Times New Roman"/>
          <w:b/>
          <w:bCs/>
          <w:color w:val="auto"/>
          <w:spacing w:val="0"/>
          <w:sz w:val="32"/>
          <w:highlight w:val="none"/>
        </w:rPr>
        <w:t>突出各镇办发展特色。</w:t>
      </w:r>
      <w:r>
        <w:rPr>
          <w:rFonts w:hint="default" w:ascii="Times New Roman" w:hAnsi="Times New Roman" w:eastAsia="仿宋" w:cs="Times New Roman"/>
          <w:color w:val="auto"/>
          <w:spacing w:val="0"/>
          <w:sz w:val="32"/>
          <w:highlight w:val="none"/>
        </w:rPr>
        <w:t>结合各镇办主导特色产业和主导功能，依托历史文化、传统民俗、特色产业等资源，按照“多规合一”的要求，科学编制特色街区建设规划，因地制宜发展风</w:t>
      </w:r>
      <w:r>
        <w:rPr>
          <w:rFonts w:hint="default" w:ascii="Times New Roman" w:hAnsi="Times New Roman" w:eastAsia="仿宋" w:cs="Times New Roman"/>
          <w:color w:val="auto"/>
          <w:spacing w:val="0"/>
          <w:sz w:val="32"/>
          <w:highlight w:val="none"/>
          <w:lang w:val="en-US" w:eastAsia="zh-CN"/>
        </w:rPr>
        <w:t>格各异的</w:t>
      </w:r>
      <w:r>
        <w:rPr>
          <w:rFonts w:hint="default" w:ascii="Times New Roman" w:hAnsi="Times New Roman" w:eastAsia="仿宋" w:cs="Times New Roman"/>
          <w:color w:val="auto"/>
          <w:spacing w:val="0"/>
          <w:sz w:val="32"/>
          <w:highlight w:val="none"/>
        </w:rPr>
        <w:t>特色街区，推动建设民主首善自由办、生态养老中同办、繁荣商贸胜利路、开放活力南桥街、智慧医疗健康路、滨河文创解放路、魅力新城铁西街、城乡融合平原镇。</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90" w:name="_Toc9595"/>
      <w:bookmarkStart w:id="91" w:name="_Toc12836"/>
      <w:r>
        <w:rPr>
          <w:rFonts w:hint="default" w:ascii="Times New Roman" w:hAnsi="Times New Roman" w:eastAsia="楷体_GB2312" w:cs="Times New Roman"/>
          <w:snapToGrid w:val="0"/>
          <w:color w:val="auto"/>
          <w:spacing w:val="0"/>
          <w:sz w:val="32"/>
          <w:szCs w:val="32"/>
          <w:highlight w:val="none"/>
        </w:rPr>
        <w:t>第四节 加强城市精细化管理</w:t>
      </w:r>
      <w:bookmarkEnd w:id="90"/>
      <w:bookmarkEnd w:id="91"/>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全面加强城市精细化管理，进一步聚焦问题短板，加大投入力度，规范治理行为，加强信息管理，提升管理水平，使用科学化、智能化、精细化、长效化的城市治理手段，打造规范有序的交通环境、干净整洁的市容环境、美丽宜居的生态环境和流光溢彩的城市夜景。在城市治理过程中注重与群众的密切联系，引导居民积极主动参与城市治理决策、监督和管理过程，动态调整城市治理的相关措施和侧重点，维护好人民群众的切身利益。</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以“洁化”促提质。</w:t>
      </w:r>
      <w:r>
        <w:rPr>
          <w:rFonts w:hint="default" w:ascii="Times New Roman" w:hAnsi="Times New Roman" w:eastAsia="仿宋" w:cs="Times New Roman"/>
          <w:color w:val="auto"/>
          <w:spacing w:val="0"/>
          <w:sz w:val="32"/>
          <w:highlight w:val="none"/>
        </w:rPr>
        <w:t>加强市政道路设施清洁维护，实现卫生保洁全覆盖、常态化、无死角</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开展城区河道和城市黑臭水体治理，实现“长治久清”治理目标</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持续推进垃圾分类工作，</w:t>
      </w:r>
      <w:r>
        <w:rPr>
          <w:rFonts w:hint="default" w:ascii="Times New Roman" w:hAnsi="Times New Roman" w:eastAsia="仿宋" w:cs="Times New Roman"/>
          <w:color w:val="auto"/>
          <w:spacing w:val="0"/>
          <w:sz w:val="32"/>
          <w:highlight w:val="none"/>
          <w:lang w:val="en-US" w:eastAsia="zh-CN"/>
        </w:rPr>
        <w:t>扩大</w:t>
      </w:r>
      <w:r>
        <w:rPr>
          <w:rFonts w:hint="default" w:ascii="Times New Roman" w:hAnsi="Times New Roman" w:eastAsia="仿宋" w:cs="Times New Roman"/>
          <w:b w:val="0"/>
          <w:bCs w:val="0"/>
          <w:color w:val="auto"/>
          <w:spacing w:val="0"/>
          <w:sz w:val="32"/>
          <w:highlight w:val="none"/>
        </w:rPr>
        <w:t>生活垃圾分类</w:t>
      </w:r>
      <w:r>
        <w:rPr>
          <w:rFonts w:hint="default" w:ascii="Times New Roman" w:hAnsi="Times New Roman" w:eastAsia="仿宋" w:cs="Times New Roman"/>
          <w:b w:val="0"/>
          <w:bCs w:val="0"/>
          <w:color w:val="auto"/>
          <w:spacing w:val="0"/>
          <w:sz w:val="32"/>
          <w:highlight w:val="none"/>
          <w:lang w:val="en-US" w:eastAsia="zh-CN"/>
        </w:rPr>
        <w:t>覆盖面</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加快公厕建设改造步伐，城区新建及升级改造一批公厕</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开展沿街立面整饰整治及户外广告和招牌提升治理</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 xml:space="preserve">强化工地扬尘防控和餐饮服务业油烟净化治理，规范建筑垃圾管理，提高城区环境质量。 </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以“序化”保畅通。</w:t>
      </w:r>
      <w:r>
        <w:rPr>
          <w:rFonts w:hint="default" w:ascii="Times New Roman" w:hAnsi="Times New Roman" w:eastAsia="仿宋" w:cs="Times New Roman"/>
          <w:color w:val="auto"/>
          <w:spacing w:val="0"/>
          <w:sz w:val="32"/>
          <w:highlight w:val="none"/>
        </w:rPr>
        <w:t>以道路为载体结合道路综合改造工程，加强对市政道路、市政设施、架空线缆、施工围挡及保通路的管理，整治沿街楼院住改商、占道（突店）经营，查处交通违法行为和客运市场非法营运，严厉查处未经核准的渣土运输行为，开展城区停车管理专项整治，积极推进智慧城市建设，打造高品质现代化美丽街区，使城市管理水平有显著提升。</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以“亮化”增颜值。</w:t>
      </w:r>
      <w:r>
        <w:rPr>
          <w:rFonts w:hint="default" w:ascii="Times New Roman" w:hAnsi="Times New Roman" w:eastAsia="仿宋" w:cs="Times New Roman"/>
          <w:color w:val="auto"/>
          <w:spacing w:val="0"/>
          <w:sz w:val="32"/>
          <w:highlight w:val="none"/>
        </w:rPr>
        <w:t>加大老旧路灯设施改造力度，进一步完善功能性照明设施的长效管养维护机制，确保城市照明亮灯率和设施完好率双达标。推进建筑楼体夜景亮化工程建设，提升城市重点道路、河渠、公园周边夜景照明效果；建立夜景亮化智慧控制平台，提高景观照明节能减排水平。</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以“绿化”美环境。</w:t>
      </w:r>
      <w:r>
        <w:rPr>
          <w:rFonts w:hint="default" w:ascii="Times New Roman" w:hAnsi="Times New Roman" w:eastAsia="仿宋" w:cs="Times New Roman"/>
          <w:color w:val="auto"/>
          <w:spacing w:val="0"/>
          <w:sz w:val="32"/>
          <w:highlight w:val="none"/>
        </w:rPr>
        <w:t>围绕增量、提质、升级为主要目标，以铁路、高速路、快速路、河道沿线和楼体屋顶等区域为重点，以“</w:t>
      </w:r>
      <w:r>
        <w:rPr>
          <w:rFonts w:hint="default" w:ascii="Times New Roman" w:hAnsi="Times New Roman" w:eastAsia="仿宋_GB2312" w:cs="Times New Roman"/>
          <w:color w:val="auto"/>
          <w:spacing w:val="0"/>
          <w:kern w:val="2"/>
          <w:sz w:val="32"/>
          <w:highlight w:val="none"/>
        </w:rPr>
        <w:t>300</w:t>
      </w:r>
      <w:r>
        <w:rPr>
          <w:rFonts w:hint="default" w:ascii="Times New Roman" w:hAnsi="Times New Roman" w:eastAsia="仿宋" w:cs="Times New Roman"/>
          <w:color w:val="auto"/>
          <w:spacing w:val="0"/>
          <w:sz w:val="32"/>
          <w:highlight w:val="none"/>
        </w:rPr>
        <w:t>米见绿、</w:t>
      </w:r>
      <w:r>
        <w:rPr>
          <w:rFonts w:hint="default" w:ascii="Times New Roman" w:hAnsi="Times New Roman" w:eastAsia="仿宋_GB2312" w:cs="Times New Roman"/>
          <w:color w:val="auto"/>
          <w:spacing w:val="0"/>
          <w:kern w:val="2"/>
          <w:sz w:val="32"/>
          <w:highlight w:val="none"/>
        </w:rPr>
        <w:t>500</w:t>
      </w:r>
      <w:r>
        <w:rPr>
          <w:rFonts w:hint="default" w:ascii="Times New Roman" w:hAnsi="Times New Roman" w:eastAsia="仿宋" w:cs="Times New Roman"/>
          <w:color w:val="auto"/>
          <w:spacing w:val="0"/>
          <w:sz w:val="32"/>
          <w:highlight w:val="none"/>
        </w:rPr>
        <w:t>米见园”为目标，全面实施增绿工程，重点加快公园游园建设，积极建设口袋公园、微景观、街头游园</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加强绿化日常管养，提升城市绿化景观品质，打造一街一景</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一路一色</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三季有花</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四季常青”的美丽宜居环境。</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92" w:name="_Toc63099151"/>
      <w:bookmarkStart w:id="93" w:name="_Toc12705"/>
      <w:bookmarkStart w:id="94" w:name="_Toc11723"/>
      <w:r>
        <w:rPr>
          <w:rFonts w:hint="default" w:ascii="Times New Roman" w:hAnsi="Times New Roman" w:eastAsia="楷体_GB2312" w:cs="Times New Roman"/>
          <w:snapToGrid w:val="0"/>
          <w:color w:val="auto"/>
          <w:spacing w:val="0"/>
          <w:sz w:val="32"/>
          <w:szCs w:val="32"/>
          <w:highlight w:val="none"/>
        </w:rPr>
        <w:t xml:space="preserve">第五节 </w:t>
      </w:r>
      <w:bookmarkEnd w:id="92"/>
      <w:r>
        <w:rPr>
          <w:rFonts w:hint="default" w:ascii="Times New Roman" w:hAnsi="Times New Roman" w:eastAsia="楷体_GB2312" w:cs="Times New Roman"/>
          <w:snapToGrid w:val="0"/>
          <w:color w:val="auto"/>
          <w:spacing w:val="0"/>
          <w:sz w:val="32"/>
          <w:szCs w:val="32"/>
          <w:highlight w:val="none"/>
        </w:rPr>
        <w:t>推进智慧城市建设</w:t>
      </w:r>
      <w:bookmarkEnd w:id="93"/>
      <w:bookmarkEnd w:id="94"/>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推进政府服务数字化转型，提升公共服务、社会治理等数字化水平。加快融入一体化网上政务服务体系，推动企业和群众办事线上“一网通办”。</w:t>
      </w:r>
      <w:r>
        <w:rPr>
          <w:rFonts w:hint="default" w:ascii="Times New Roman" w:hAnsi="Times New Roman" w:eastAsia="仿宋" w:cs="Times New Roman"/>
          <w:i w:val="0"/>
          <w:caps w:val="0"/>
          <w:color w:val="auto"/>
          <w:spacing w:val="0"/>
          <w:sz w:val="32"/>
          <w:szCs w:val="32"/>
          <w:highlight w:val="none"/>
          <w:shd w:val="clear" w:color="auto" w:fill="FFFFFF"/>
        </w:rPr>
        <w:t>依托市区一体化大数据应用中心体系，</w:t>
      </w:r>
      <w:r>
        <w:rPr>
          <w:rFonts w:hint="default" w:ascii="Times New Roman" w:hAnsi="Times New Roman" w:eastAsia="仿宋" w:cs="Times New Roman"/>
          <w:i w:val="0"/>
          <w:caps w:val="0"/>
          <w:color w:val="auto"/>
          <w:spacing w:val="0"/>
          <w:sz w:val="32"/>
          <w:szCs w:val="32"/>
          <w:highlight w:val="none"/>
          <w:shd w:val="clear" w:color="auto" w:fill="FFFFFF"/>
          <w:lang w:val="en-US" w:eastAsia="zh-CN"/>
        </w:rPr>
        <w:t>加快推进全</w:t>
      </w:r>
      <w:r>
        <w:rPr>
          <w:rFonts w:hint="default" w:ascii="Times New Roman" w:hAnsi="Times New Roman" w:eastAsia="仿宋" w:cs="Times New Roman"/>
          <w:i w:val="0"/>
          <w:caps w:val="0"/>
          <w:color w:val="auto"/>
          <w:spacing w:val="0"/>
          <w:sz w:val="32"/>
          <w:szCs w:val="32"/>
          <w:highlight w:val="none"/>
          <w:shd w:val="clear" w:color="auto" w:fill="FFFFFF"/>
        </w:rPr>
        <w:t>区智慧政务、智慧民生、智慧城管</w:t>
      </w:r>
      <w:r>
        <w:rPr>
          <w:rFonts w:hint="default" w:ascii="Times New Roman" w:hAnsi="Times New Roman" w:eastAsia="仿宋" w:cs="Times New Roman"/>
          <w:i w:val="0"/>
          <w:caps w:val="0"/>
          <w:color w:val="auto"/>
          <w:spacing w:val="0"/>
          <w:sz w:val="32"/>
          <w:szCs w:val="32"/>
          <w:highlight w:val="none"/>
          <w:shd w:val="clear" w:color="auto" w:fill="FFFFFF"/>
          <w:lang w:val="en-US" w:eastAsia="zh-CN"/>
        </w:rPr>
        <w:t>等数字化建设</w:t>
      </w:r>
      <w:r>
        <w:rPr>
          <w:rFonts w:hint="default" w:ascii="Times New Roman" w:hAnsi="Times New Roman" w:eastAsia="仿宋" w:cs="Times New Roman"/>
          <w:i w:val="0"/>
          <w:caps w:val="0"/>
          <w:color w:val="auto"/>
          <w:spacing w:val="0"/>
          <w:sz w:val="32"/>
          <w:szCs w:val="32"/>
          <w:highlight w:val="none"/>
          <w:shd w:val="clear" w:color="auto" w:fill="FFFFFF"/>
          <w:lang w:eastAsia="zh-CN"/>
        </w:rPr>
        <w:t>。</w:t>
      </w:r>
      <w:r>
        <w:rPr>
          <w:rFonts w:hint="default" w:ascii="Times New Roman" w:hAnsi="Times New Roman" w:eastAsia="仿宋" w:cs="Times New Roman"/>
          <w:color w:val="auto"/>
          <w:spacing w:val="0"/>
          <w:sz w:val="32"/>
          <w:highlight w:val="none"/>
        </w:rPr>
        <w:t>积极推进全域</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5G+智慧城管</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、全域</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5G+智慧文旅</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、全域</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5G+智慧校园</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全域</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5G+</w:t>
      </w:r>
      <w:r>
        <w:rPr>
          <w:rFonts w:hint="default" w:ascii="Times New Roman" w:hAnsi="Times New Roman" w:eastAsia="仿宋" w:cs="Times New Roman"/>
          <w:color w:val="auto"/>
          <w:spacing w:val="0"/>
          <w:sz w:val="32"/>
          <w:highlight w:val="none"/>
          <w:lang w:val="en-US" w:eastAsia="zh-CN"/>
        </w:rPr>
        <w:t>智慧消防</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等建设</w:t>
      </w:r>
      <w:r>
        <w:rPr>
          <w:rFonts w:hint="default" w:ascii="Times New Roman" w:hAnsi="Times New Roman" w:eastAsia="仿宋" w:cs="Times New Roman"/>
          <w:color w:val="auto"/>
          <w:spacing w:val="0"/>
          <w:sz w:val="32"/>
          <w:highlight w:val="none"/>
          <w:lang w:eastAsia="zh-CN" w:bidi="ar"/>
        </w:rPr>
        <w:t>，</w:t>
      </w:r>
      <w:r>
        <w:rPr>
          <w:rFonts w:hint="default" w:ascii="Times New Roman" w:hAnsi="Times New Roman" w:eastAsia="仿宋" w:cs="Times New Roman"/>
          <w:color w:val="auto"/>
          <w:spacing w:val="0"/>
          <w:sz w:val="32"/>
          <w:highlight w:val="none"/>
        </w:rPr>
        <w:t>提升城市智慧化、精细化管理水平，推动</w:t>
      </w:r>
      <w:r>
        <w:rPr>
          <w:rFonts w:hint="default" w:ascii="Times New Roman" w:hAnsi="Times New Roman" w:eastAsia="仿宋" w:cs="Times New Roman"/>
          <w:color w:val="auto"/>
          <w:spacing w:val="0"/>
          <w:sz w:val="32"/>
          <w:highlight w:val="none"/>
          <w:lang w:val="en-US" w:eastAsia="zh-CN"/>
        </w:rPr>
        <w:t>全</w:t>
      </w:r>
      <w:r>
        <w:rPr>
          <w:rFonts w:hint="default" w:ascii="Times New Roman" w:hAnsi="Times New Roman" w:eastAsia="仿宋" w:cs="Times New Roman"/>
          <w:color w:val="auto"/>
          <w:spacing w:val="0"/>
          <w:sz w:val="32"/>
          <w:highlight w:val="none"/>
        </w:rPr>
        <w:t>区数字经济发展和智慧城市建设。</w:t>
      </w:r>
    </w:p>
    <w:p>
      <w:pPr>
        <w:pStyle w:val="10"/>
        <w:pageBreakBefore w:val="0"/>
        <w:widowControl w:val="0"/>
        <w:kinsoku/>
        <w:wordWrap/>
        <w:overflowPunct/>
        <w:topLinePunct w:val="0"/>
        <w:autoSpaceDE/>
        <w:autoSpaceDN/>
        <w:bidi w:val="0"/>
        <w:spacing w:before="292" w:beforeLines="50" w:beforeAutospacing="0" w:after="292" w:afterLines="50" w:afterAutospacing="0" w:line="240" w:lineRule="auto"/>
        <w:jc w:val="center"/>
        <w:textAlignment w:val="auto"/>
        <w:outlineLvl w:val="9"/>
        <w:rPr>
          <w:rFonts w:hint="default" w:ascii="Times New Roman" w:hAnsi="Times New Roman" w:eastAsia="仿宋" w:cs="Times New Roman"/>
          <w:color w:val="auto"/>
          <w:spacing w:val="0"/>
          <w:sz w:val="32"/>
          <w:highlight w:val="none"/>
        </w:rPr>
      </w:pPr>
      <w:bookmarkStart w:id="95" w:name="_Toc17073"/>
      <w:bookmarkStart w:id="96" w:name="_Toc30206"/>
      <w:r>
        <w:rPr>
          <w:rFonts w:hint="default" w:ascii="Times New Roman" w:hAnsi="Times New Roman" w:eastAsia="黑体" w:cs="Times New Roman"/>
          <w:color w:val="auto"/>
          <w:sz w:val="32"/>
          <w:szCs w:val="32"/>
          <w:highlight w:val="none"/>
        </w:rPr>
        <w:t>第七章 全面实施乡村振兴战略</w:t>
      </w:r>
      <w:bookmarkEnd w:id="95"/>
      <w:bookmarkEnd w:id="96"/>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全面实施乡村振兴战略，着力发展都市生态农业，加快乡村建设，持续深化农村改革，强化工农互促、城乡互补、协调发展，促进农业高质高效、乡村宜居宜业、农民富裕富足。</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97" w:name="_Toc20583"/>
      <w:bookmarkStart w:id="98" w:name="_Toc12256"/>
      <w:r>
        <w:rPr>
          <w:rFonts w:hint="default" w:ascii="Times New Roman" w:hAnsi="Times New Roman" w:eastAsia="楷体_GB2312" w:cs="Times New Roman"/>
          <w:snapToGrid w:val="0"/>
          <w:color w:val="auto"/>
          <w:spacing w:val="0"/>
          <w:sz w:val="32"/>
          <w:szCs w:val="32"/>
          <w:highlight w:val="none"/>
        </w:rPr>
        <w:t>第一节 发展都市生态农业</w:t>
      </w:r>
      <w:bookmarkEnd w:id="97"/>
      <w:bookmarkEnd w:id="98"/>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发挥区位优势，推进</w:t>
      </w:r>
      <w:r>
        <w:rPr>
          <w:rFonts w:hint="default" w:ascii="Times New Roman" w:hAnsi="Times New Roman" w:eastAsia="仿宋_GB2312" w:cs="Times New Roman"/>
          <w:color w:val="auto"/>
          <w:spacing w:val="0"/>
          <w:kern w:val="2"/>
          <w:sz w:val="32"/>
          <w:highlight w:val="none"/>
        </w:rPr>
        <w:t>1.5</w:t>
      </w:r>
      <w:r>
        <w:rPr>
          <w:rFonts w:hint="default" w:ascii="Times New Roman" w:hAnsi="Times New Roman" w:eastAsia="仿宋" w:cs="Times New Roman"/>
          <w:color w:val="auto"/>
          <w:spacing w:val="0"/>
          <w:sz w:val="32"/>
          <w:highlight w:val="none"/>
        </w:rPr>
        <w:t>万亩高标准农田建设，大力发展都市生态农业，提高农业发展质量效益和竞争力，推进农业现代化。</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b/>
          <w:color w:val="auto"/>
          <w:spacing w:val="0"/>
          <w:sz w:val="32"/>
          <w:highlight w:val="none"/>
        </w:rPr>
      </w:pPr>
      <w:r>
        <w:rPr>
          <w:rFonts w:hint="default" w:ascii="Times New Roman" w:hAnsi="Times New Roman" w:eastAsia="仿宋" w:cs="Times New Roman"/>
          <w:b/>
          <w:bCs/>
          <w:color w:val="auto"/>
          <w:spacing w:val="0"/>
          <w:sz w:val="32"/>
          <w:highlight w:val="none"/>
        </w:rPr>
        <w:t>建设现代农业休闲观光区。</w:t>
      </w:r>
      <w:r>
        <w:rPr>
          <w:rFonts w:hint="default" w:ascii="Times New Roman" w:hAnsi="Times New Roman" w:eastAsia="仿宋" w:cs="Times New Roman"/>
          <w:color w:val="auto"/>
          <w:spacing w:val="0"/>
          <w:sz w:val="32"/>
          <w:highlight w:val="none"/>
        </w:rPr>
        <w:t>扶持水鲜园奶牛养殖场、城郊特色果树种植、苗圃花卉、乡村文化旅游等发展基础，构建生态休闲观光牧场区、高新农业体验项目区、苗圃花卉绿色经济带、乡村文化旅游产业四大版块经济，培育成为集高新农业生产、农业休闲观光、特色农产品加工、城郊农产品销售为一体的现代农业休闲观光产业示范区。</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积极发展特色种植。</w:t>
      </w:r>
      <w:r>
        <w:rPr>
          <w:rFonts w:hint="default" w:ascii="Times New Roman" w:hAnsi="Times New Roman" w:eastAsia="仿宋" w:cs="Times New Roman"/>
          <w:color w:val="auto"/>
          <w:spacing w:val="0"/>
          <w:sz w:val="32"/>
          <w:highlight w:val="none"/>
        </w:rPr>
        <w:t>立足区域特色农业基础，渐进扩展规模。强化家庭农场特色果树种植产业发展，引导辖区内村庄、村民积极连片成区开展樱桃、葡萄等优势果树种植。丁唐路沿线唐庄、洛丝潭、梁任旺、十五里堡等区域继续引进玫瑰、樱花等观赏植物种植，推进苗圃花卉种植业发展。积极开展农产品品牌创建，推进无公害农产品、绿色食品、有机农产品</w:t>
      </w:r>
      <w:r>
        <w:rPr>
          <w:rFonts w:hint="default" w:ascii="Times New Roman" w:hAnsi="Times New Roman" w:eastAsia="仿宋" w:cs="Times New Roman"/>
          <w:color w:val="auto"/>
          <w:spacing w:val="0"/>
          <w:sz w:val="32"/>
          <w:highlight w:val="none"/>
          <w:lang w:eastAsia="zh-CN"/>
        </w:rPr>
        <w:t>的</w:t>
      </w:r>
      <w:r>
        <w:rPr>
          <w:rFonts w:hint="default" w:ascii="Times New Roman" w:hAnsi="Times New Roman" w:eastAsia="仿宋" w:cs="Times New Roman"/>
          <w:color w:val="auto"/>
          <w:spacing w:val="0"/>
          <w:sz w:val="32"/>
          <w:highlight w:val="none"/>
        </w:rPr>
        <w:t>认证</w:t>
      </w:r>
      <w:r>
        <w:rPr>
          <w:rFonts w:hint="default" w:ascii="Times New Roman" w:hAnsi="Times New Roman" w:eastAsia="仿宋" w:cs="Times New Roman"/>
          <w:color w:val="auto"/>
          <w:spacing w:val="0"/>
          <w:sz w:val="32"/>
          <w:highlight w:val="none"/>
          <w:lang w:eastAsia="zh-CN"/>
        </w:rPr>
        <w:t>工作</w:t>
      </w:r>
      <w:r>
        <w:rPr>
          <w:rFonts w:hint="default" w:ascii="Times New Roman" w:hAnsi="Times New Roman" w:eastAsia="仿宋" w:cs="Times New Roman"/>
          <w:color w:val="auto"/>
          <w:spacing w:val="0"/>
          <w:sz w:val="32"/>
          <w:highlight w:val="none"/>
        </w:rPr>
        <w:t>。</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加快农文旅融合发展。</w:t>
      </w:r>
      <w:r>
        <w:rPr>
          <w:rFonts w:hint="default" w:ascii="Times New Roman" w:hAnsi="Times New Roman" w:eastAsia="仿宋" w:cs="Times New Roman"/>
          <w:color w:val="auto"/>
          <w:spacing w:val="0"/>
          <w:sz w:val="32"/>
          <w:highlight w:val="none"/>
        </w:rPr>
        <w:t>打造特色休闲观光牧场、丁唐路苗圃花卉旅游、固城乡村文化旅游</w:t>
      </w:r>
      <w:r>
        <w:rPr>
          <w:rFonts w:hint="eastAsia" w:eastAsia="仿宋" w:cs="Times New Roman"/>
          <w:color w:val="auto"/>
          <w:spacing w:val="0"/>
          <w:sz w:val="32"/>
          <w:highlight w:val="none"/>
          <w:lang w:val="en-US" w:eastAsia="zh-CN"/>
        </w:rPr>
        <w:t>等</w:t>
      </w:r>
      <w:r>
        <w:rPr>
          <w:rFonts w:hint="default" w:ascii="Times New Roman" w:hAnsi="Times New Roman" w:eastAsia="仿宋" w:cs="Times New Roman"/>
          <w:color w:val="auto"/>
          <w:spacing w:val="0"/>
          <w:sz w:val="32"/>
          <w:highlight w:val="none"/>
        </w:rPr>
        <w:t>农文旅融合板块。特色休闲观光牧场板块，支持水鲜园奶牛养殖场，扩展乳品制作体验、奶牛饲喂科教展示、全景挤奶展示等特色休闲项目，延伸乳品加工产业链条。丁唐路苗圃花卉旅游板块，通过打造沿丁唐路、沿西孟姜女河特色景观长廓，扩展苗圃花卉旅游及林业经济产业。固城乡村文化旅游版块，深度挖掘丁固城、张固城文化特色，借鉴上海周庄、郑州千稼集等发展模式，打造“新农村建设样板戏”、“盘鼓表演”等文化旅游，打造集民俗工艺展示、餐饮娱乐休闲、农产品购物消费于一体的民俗特色乡村游。</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培育新型农业经营主体。</w:t>
      </w:r>
      <w:r>
        <w:rPr>
          <w:rFonts w:hint="default" w:ascii="Times New Roman" w:hAnsi="Times New Roman" w:eastAsia="仿宋" w:cs="Times New Roman"/>
          <w:color w:val="auto"/>
          <w:spacing w:val="0"/>
          <w:sz w:val="32"/>
          <w:highlight w:val="none"/>
        </w:rPr>
        <w:t>加快培育农民合作社、家庭农场等新型农业经营主体，健全农业专业化社会化服务体系，发展多种形式适度规模经营，实现小农户和现代农业有机衔接。积极开展示范家庭农场、农民合作社示范社创建活动等，示范引领各类主体规范发展，提升发展规模和质量。力争到“十四五”末，农民专业合作社、家庭农场等新型农业经营主体数量上实现新突破。</w:t>
      </w:r>
    </w:p>
    <w:tbl>
      <w:tblPr>
        <w:tblStyle w:val="13"/>
        <w:tblW w:w="0" w:type="auto"/>
        <w:jc w:val="center"/>
        <w:tblLayout w:type="fixed"/>
        <w:tblCellMar>
          <w:top w:w="0" w:type="dxa"/>
          <w:left w:w="108" w:type="dxa"/>
          <w:bottom w:w="0" w:type="dxa"/>
          <w:right w:w="108" w:type="dxa"/>
        </w:tblCellMar>
      </w:tblPr>
      <w:tblGrid>
        <w:gridCol w:w="8849"/>
      </w:tblGrid>
      <w:tr>
        <w:tblPrEx>
          <w:tblCellMar>
            <w:top w:w="0" w:type="dxa"/>
            <w:left w:w="108" w:type="dxa"/>
            <w:bottom w:w="0" w:type="dxa"/>
            <w:right w:w="108" w:type="dxa"/>
          </w:tblCellMar>
        </w:tblPrEx>
        <w:trPr>
          <w:trHeight w:val="374" w:hRule="atLeast"/>
          <w:jc w:val="center"/>
        </w:trPr>
        <w:tc>
          <w:tcPr>
            <w:tcW w:w="8849"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0" w:lineRule="atLeast"/>
              <w:jc w:val="both"/>
              <w:textAlignment w:val="auto"/>
              <w:outlineLvl w:val="9"/>
              <w:rPr>
                <w:rFonts w:hint="default" w:ascii="Times New Roman" w:hAnsi="Times New Roman" w:eastAsia="宋体" w:cs="Times New Roman"/>
                <w:b/>
                <w:color w:val="auto"/>
                <w:spacing w:val="0"/>
                <w:sz w:val="24"/>
                <w:szCs w:val="24"/>
                <w:highlight w:val="none"/>
              </w:rPr>
            </w:pPr>
            <w:r>
              <w:rPr>
                <w:rFonts w:hint="default" w:ascii="Times New Roman" w:hAnsi="Times New Roman" w:eastAsia="黑体" w:cs="Times New Roman"/>
                <w:bCs/>
                <w:color w:val="auto"/>
                <w:spacing w:val="0"/>
                <w:kern w:val="0"/>
                <w:sz w:val="24"/>
                <w:szCs w:val="24"/>
                <w:highlight w:val="none"/>
              </w:rPr>
              <w:t>专栏7-1 都市生态农业发展重点项目</w:t>
            </w:r>
          </w:p>
        </w:tc>
      </w:tr>
      <w:tr>
        <w:tblPrEx>
          <w:tblCellMar>
            <w:top w:w="0" w:type="dxa"/>
            <w:left w:w="108" w:type="dxa"/>
            <w:bottom w:w="0" w:type="dxa"/>
            <w:right w:w="108" w:type="dxa"/>
          </w:tblCellMar>
        </w:tblPrEx>
        <w:trPr>
          <w:trHeight w:val="5265" w:hRule="atLeast"/>
          <w:jc w:val="center"/>
        </w:trPr>
        <w:tc>
          <w:tcPr>
            <w:tcW w:w="8849"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高标准农田。</w:t>
            </w:r>
            <w:r>
              <w:rPr>
                <w:rFonts w:hint="default" w:ascii="Times New Roman" w:hAnsi="Times New Roman" w:eastAsia="仿宋_GB2312" w:cs="Times New Roman"/>
                <w:color w:val="auto"/>
                <w:spacing w:val="0"/>
                <w:kern w:val="0"/>
                <w:sz w:val="24"/>
                <w:szCs w:val="24"/>
                <w:highlight w:val="none"/>
              </w:rPr>
              <w:t>开展整治田块、建设灌排设施、整修田间道路等，建成高产稳产、旱涝保收的高标准农田1.5万亩。</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现代农业休闲观光示范区。</w:t>
            </w:r>
            <w:r>
              <w:rPr>
                <w:rFonts w:hint="default" w:ascii="Times New Roman" w:hAnsi="Times New Roman" w:eastAsia="仿宋_GB2312" w:cs="Times New Roman"/>
                <w:color w:val="auto"/>
                <w:spacing w:val="0"/>
                <w:kern w:val="0"/>
                <w:sz w:val="24"/>
                <w:szCs w:val="24"/>
                <w:highlight w:val="none"/>
              </w:rPr>
              <w:t>总投资1.2亿元，构建生态休闲观光牧场区、高新农业体验项目区、苗圃花卉绿色经济带、乡村文化旅游产业四大版块，并逐步发展成为集高新农业生产、农业休闲观光、特色农产加工、城郊农产销售为一体的现代农业休闲观光产业示范区。</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泽耀·新乡农博城（农产品交易中心）。</w:t>
            </w:r>
            <w:r>
              <w:rPr>
                <w:rFonts w:hint="default" w:ascii="Times New Roman" w:hAnsi="Times New Roman" w:eastAsia="仿宋_GB2312" w:cs="Times New Roman"/>
                <w:color w:val="auto"/>
                <w:spacing w:val="0"/>
                <w:kern w:val="0"/>
                <w:sz w:val="24"/>
                <w:szCs w:val="24"/>
                <w:highlight w:val="none"/>
              </w:rPr>
              <w:t>总投资20亿元，选址平原镇南部区域，总建筑面积约15万平方米，建设集批发市场交易功能区；社会公益板块；冷链仓储、加工物流中心；</w:t>
            </w:r>
            <w:r>
              <w:rPr>
                <w:rFonts w:hint="default" w:ascii="Times New Roman" w:hAnsi="Times New Roman" w:eastAsia="仿宋_GB2312" w:cs="Times New Roman"/>
                <w:color w:val="auto"/>
                <w:spacing w:val="0"/>
                <w:sz w:val="24"/>
                <w:szCs w:val="24"/>
                <w:highlight w:val="none"/>
              </w:rPr>
              <w:t>商业</w:t>
            </w:r>
            <w:r>
              <w:rPr>
                <w:rFonts w:hint="default" w:ascii="Times New Roman" w:hAnsi="Times New Roman" w:eastAsia="仿宋_GB2312" w:cs="Times New Roman"/>
                <w:color w:val="auto"/>
                <w:spacing w:val="0"/>
                <w:kern w:val="0"/>
                <w:sz w:val="24"/>
                <w:szCs w:val="24"/>
                <w:highlight w:val="none"/>
              </w:rPr>
              <w:t>服务配套；农产品电子商务、综合运营服务配套；农产品及食品检测检疫；二、三级农产品流通体系化网络设施；各类小商品市场为一体辐射周边城市、面向全国的农产品交易中心。</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yellow"/>
              </w:rPr>
            </w:pPr>
            <w:r>
              <w:rPr>
                <w:rFonts w:hint="default" w:ascii="Times New Roman" w:hAnsi="Times New Roman" w:eastAsia="仿宋_GB2312" w:cs="Times New Roman"/>
                <w:b/>
                <w:bCs/>
                <w:color w:val="auto"/>
                <w:spacing w:val="0"/>
                <w:kern w:val="0"/>
                <w:sz w:val="24"/>
                <w:szCs w:val="24"/>
                <w:highlight w:val="none"/>
              </w:rPr>
              <w:t>元庄惠农冷链物流有限公司农产品仓储保鲜冷链项目。</w:t>
            </w:r>
            <w:r>
              <w:rPr>
                <w:rFonts w:hint="default" w:ascii="Times New Roman" w:hAnsi="Times New Roman" w:eastAsia="仿宋_GB2312" w:cs="Times New Roman"/>
                <w:color w:val="auto"/>
                <w:spacing w:val="0"/>
                <w:kern w:val="0"/>
                <w:sz w:val="24"/>
                <w:szCs w:val="24"/>
                <w:highlight w:val="none"/>
              </w:rPr>
              <w:t>投资2000万元，结合卫滨交通优势，构建农产品仓储保鲜冷链物流项目，作为农产品的转运、仓储配送基地。</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lang w:val="en-US" w:eastAsia="zh-CN" w:bidi="ar-SA"/>
              </w:rPr>
            </w:pPr>
            <w:r>
              <w:rPr>
                <w:rFonts w:hint="default" w:ascii="Times New Roman" w:hAnsi="Times New Roman" w:eastAsia="仿宋_GB2312" w:cs="Times New Roman"/>
                <w:b/>
                <w:bCs/>
                <w:color w:val="auto"/>
                <w:spacing w:val="0"/>
                <w:kern w:val="0"/>
                <w:sz w:val="24"/>
                <w:szCs w:val="24"/>
                <w:highlight w:val="none"/>
                <w:lang w:val="en-US" w:eastAsia="zh-CN" w:bidi="ar-SA"/>
              </w:rPr>
              <w:t>田园综合体项目。</w:t>
            </w:r>
            <w:r>
              <w:rPr>
                <w:rFonts w:hint="default" w:ascii="Times New Roman" w:hAnsi="Times New Roman" w:eastAsia="仿宋_GB2312" w:cs="Times New Roman"/>
                <w:color w:val="auto"/>
                <w:spacing w:val="0"/>
                <w:kern w:val="0"/>
                <w:sz w:val="24"/>
                <w:szCs w:val="24"/>
                <w:highlight w:val="none"/>
                <w:lang w:val="en-US" w:eastAsia="zh-CN" w:bidi="ar-SA"/>
              </w:rPr>
              <w:t>总投资1.63亿元，位于关堤乡郭小庄村、刘庄村、司马村、柿园村。主要包含民宿家园、果树采摘、经济作物、蔬菜大棚、福瓜小镇等功能区及园区配套公共服务、基础实施建设。</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宋体" w:cs="Times New Roman"/>
                <w:color w:val="auto"/>
                <w:spacing w:val="0"/>
                <w:sz w:val="24"/>
                <w:szCs w:val="24"/>
                <w:highlight w:val="none"/>
              </w:rPr>
            </w:pPr>
            <w:r>
              <w:rPr>
                <w:rFonts w:hint="default" w:ascii="Times New Roman" w:hAnsi="Times New Roman" w:eastAsia="仿宋_GB2312" w:cs="Times New Roman"/>
                <w:b/>
                <w:bCs/>
                <w:color w:val="auto"/>
                <w:spacing w:val="0"/>
                <w:kern w:val="0"/>
                <w:sz w:val="24"/>
                <w:szCs w:val="24"/>
                <w:highlight w:val="none"/>
              </w:rPr>
              <w:t>新乡万邦农产品冷链物流园建设项目。</w:t>
            </w:r>
          </w:p>
        </w:tc>
      </w:tr>
    </w:tbl>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99" w:name="_Toc52057021"/>
      <w:bookmarkStart w:id="100" w:name="_Toc23135"/>
      <w:bookmarkStart w:id="101" w:name="_Toc25819"/>
      <w:r>
        <w:rPr>
          <w:rFonts w:hint="default" w:ascii="Times New Roman" w:hAnsi="Times New Roman" w:eastAsia="楷体_GB2312" w:cs="Times New Roman"/>
          <w:snapToGrid w:val="0"/>
          <w:color w:val="auto"/>
          <w:spacing w:val="0"/>
          <w:sz w:val="32"/>
          <w:szCs w:val="32"/>
          <w:highlight w:val="none"/>
        </w:rPr>
        <w:t xml:space="preserve">第二节 </w:t>
      </w:r>
      <w:bookmarkEnd w:id="99"/>
      <w:r>
        <w:rPr>
          <w:rFonts w:hint="default" w:ascii="Times New Roman" w:hAnsi="Times New Roman" w:eastAsia="楷体_GB2312" w:cs="Times New Roman"/>
          <w:snapToGrid w:val="0"/>
          <w:color w:val="auto"/>
          <w:spacing w:val="0"/>
          <w:sz w:val="32"/>
          <w:szCs w:val="32"/>
          <w:highlight w:val="none"/>
        </w:rPr>
        <w:t>实施乡村建设行动</w:t>
      </w:r>
      <w:bookmarkEnd w:id="100"/>
      <w:bookmarkEnd w:id="101"/>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把乡村建设摆在现代化建设的重要位置，推动黄河流域生态保护和高质量发展产业项目和基础设施项目落地落实，围绕“整村改造村”“产城融合村”和“特色产业村”的特点，有序部署乡村基础设施、公共服务设施的延伸，统筹推进生态修复、农田水利设施等重大工程，改善农村人居环境，加快建设美丽乡村。</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推进道路交通提升改造。</w:t>
      </w:r>
      <w:r>
        <w:rPr>
          <w:rFonts w:hint="default" w:ascii="Times New Roman" w:hAnsi="Times New Roman" w:eastAsia="仿宋" w:cs="Times New Roman"/>
          <w:color w:val="auto"/>
          <w:spacing w:val="0"/>
          <w:sz w:val="32"/>
          <w:highlight w:val="none"/>
        </w:rPr>
        <w:t>做好S309长济线新乡西环至获嘉武陟界段改建工程卫滨区</w:t>
      </w:r>
      <w:r>
        <w:rPr>
          <w:rFonts w:hint="default" w:ascii="Times New Roman" w:hAnsi="Times New Roman" w:eastAsia="仿宋_GB2312" w:cs="Times New Roman"/>
          <w:color w:val="auto"/>
          <w:spacing w:val="0"/>
          <w:kern w:val="2"/>
          <w:sz w:val="32"/>
          <w:highlight w:val="none"/>
        </w:rPr>
        <w:t>2.15</w:t>
      </w:r>
      <w:r>
        <w:rPr>
          <w:rFonts w:hint="default" w:ascii="Times New Roman" w:hAnsi="Times New Roman" w:eastAsia="仿宋" w:cs="Times New Roman"/>
          <w:color w:val="auto"/>
          <w:spacing w:val="0"/>
          <w:sz w:val="32"/>
          <w:highlight w:val="none"/>
        </w:rPr>
        <w:t>公里省级道路建设。做好农村公路危桥改造，改造</w:t>
      </w:r>
      <w:r>
        <w:rPr>
          <w:rFonts w:hint="default" w:ascii="Times New Roman" w:hAnsi="Times New Roman" w:eastAsia="仿宋_GB2312" w:cs="Times New Roman"/>
          <w:color w:val="auto"/>
          <w:spacing w:val="0"/>
          <w:kern w:val="2"/>
          <w:sz w:val="32"/>
          <w:highlight w:val="none"/>
        </w:rPr>
        <w:t>4</w:t>
      </w:r>
      <w:r>
        <w:rPr>
          <w:rFonts w:hint="default" w:ascii="Times New Roman" w:hAnsi="Times New Roman" w:eastAsia="仿宋" w:cs="Times New Roman"/>
          <w:color w:val="auto"/>
          <w:spacing w:val="0"/>
          <w:sz w:val="32"/>
          <w:highlight w:val="none"/>
        </w:rPr>
        <w:t>座共</w:t>
      </w:r>
      <w:r>
        <w:rPr>
          <w:rFonts w:hint="default" w:ascii="Times New Roman" w:hAnsi="Times New Roman" w:eastAsia="仿宋_GB2312" w:cs="Times New Roman"/>
          <w:color w:val="auto"/>
          <w:spacing w:val="0"/>
          <w:kern w:val="2"/>
          <w:sz w:val="32"/>
          <w:highlight w:val="none"/>
        </w:rPr>
        <w:t>51.5</w:t>
      </w:r>
      <w:r>
        <w:rPr>
          <w:rFonts w:hint="default" w:ascii="Times New Roman" w:hAnsi="Times New Roman" w:eastAsia="仿宋" w:cs="Times New Roman"/>
          <w:color w:val="auto"/>
          <w:spacing w:val="0"/>
          <w:sz w:val="32"/>
          <w:highlight w:val="none"/>
        </w:rPr>
        <w:t>延米。推进农村公路提升工程，改造提升卫滨区农村公路错车道、路面大修、路肩整修加固、绿化及附属设施共计</w:t>
      </w:r>
      <w:r>
        <w:rPr>
          <w:rFonts w:hint="default" w:ascii="Times New Roman" w:hAnsi="Times New Roman" w:eastAsia="仿宋_GB2312" w:cs="Times New Roman"/>
          <w:color w:val="auto"/>
          <w:spacing w:val="0"/>
          <w:kern w:val="2"/>
          <w:sz w:val="32"/>
          <w:highlight w:val="none"/>
        </w:rPr>
        <w:t>5.3</w:t>
      </w:r>
      <w:r>
        <w:rPr>
          <w:rFonts w:hint="default" w:ascii="Times New Roman" w:hAnsi="Times New Roman" w:eastAsia="仿宋" w:cs="Times New Roman"/>
          <w:color w:val="auto"/>
          <w:spacing w:val="0"/>
          <w:sz w:val="32"/>
          <w:highlight w:val="none"/>
        </w:rPr>
        <w:t>公里。开展农村公路过村路段排水改造工程，将农村公路过村路段路面无排水或明渠排水改造为管道或暗渠排放，涉排改造共计14.876公里。</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做好农村饮水安全工程提升改造。</w:t>
      </w:r>
      <w:r>
        <w:rPr>
          <w:rFonts w:hint="default" w:ascii="Times New Roman" w:hAnsi="Times New Roman" w:eastAsia="仿宋" w:cs="Times New Roman"/>
          <w:color w:val="auto"/>
          <w:spacing w:val="0"/>
          <w:sz w:val="32"/>
          <w:highlight w:val="none"/>
        </w:rPr>
        <w:t>实施农村饮水安全工程提升改造，推进21处管网延伸工程建设，设计供水人口3.19万人，总设计日供水规模2236.2 吨，对卫滨区早期建设的标准低、工程老化不能保证供水的工程，综合采取配套、改造、联网等措施进行改造。结合南水北调工程和市自来水公司管网设施，通过管网延伸等手段推进城乡一体化建设，提高农村饮水安全水平。</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加强农村生活污水治理。</w:t>
      </w:r>
      <w:r>
        <w:rPr>
          <w:rFonts w:hint="default" w:ascii="Times New Roman" w:hAnsi="Times New Roman" w:eastAsia="仿宋" w:cs="Times New Roman"/>
          <w:color w:val="auto"/>
          <w:spacing w:val="0"/>
          <w:sz w:val="32"/>
          <w:highlight w:val="none"/>
        </w:rPr>
        <w:t>加快谋划建设平原镇生活污水治理项目，新建十五里堡村污水提灌站1座，新建金家营、十五里堡、等21个行政村共54.4公里排水管线及相关配套设施，接入西孟河截污管道、市政污水管网，实现全区农村生活污水全部收集处理。</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加强农村生活垃圾治理。</w:t>
      </w:r>
      <w:r>
        <w:rPr>
          <w:rFonts w:hint="default" w:ascii="Times New Roman" w:hAnsi="Times New Roman" w:eastAsia="仿宋" w:cs="Times New Roman"/>
          <w:color w:val="auto"/>
          <w:spacing w:val="0"/>
          <w:sz w:val="32"/>
          <w:highlight w:val="none"/>
        </w:rPr>
        <w:t>持续加强农村生活垃圾收集治理，引入第三方机构，实现全方位覆盖、无缝隙对接、网格化管理农村卫生保洁长效制度，持续推进城乡环境卫生一体化。升级改造宝潭社区、平原社区、卫源社区3座垃圾中转站，实现在26个村配备垃圾分类收集设备260个，解决群众生活垃圾处理难问题，确保实现全区农村生活垃圾全部收集处理，积极推进农村生活垃圾分类减量工作。</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持续推进农村人居环境整治。</w:t>
      </w:r>
      <w:r>
        <w:rPr>
          <w:rFonts w:hint="default" w:ascii="Times New Roman" w:hAnsi="Times New Roman" w:eastAsia="仿宋" w:cs="Times New Roman"/>
          <w:color w:val="auto"/>
          <w:spacing w:val="0"/>
          <w:sz w:val="32"/>
          <w:highlight w:val="none"/>
        </w:rPr>
        <w:t>实施美丽乡村提标工程，全力抓好人居环境整治，推进厕所革命，推动农村服务功能完善、环境面貌整体提升。实施“扮靓”乡村振兴项目，打造“两点一面一河一廊道”，两点：朱召村史馆、南高村红色旅游基地；一面：西南环两侧形象打造；一河：西孟河；一廊道：丁唐路产业廊道。</w:t>
      </w:r>
    </w:p>
    <w:tbl>
      <w:tblPr>
        <w:tblStyle w:val="13"/>
        <w:tblW w:w="0" w:type="auto"/>
        <w:jc w:val="center"/>
        <w:tblLayout w:type="fixed"/>
        <w:tblCellMar>
          <w:top w:w="0" w:type="dxa"/>
          <w:left w:w="108" w:type="dxa"/>
          <w:bottom w:w="0" w:type="dxa"/>
          <w:right w:w="108" w:type="dxa"/>
        </w:tblCellMar>
      </w:tblPr>
      <w:tblGrid>
        <w:gridCol w:w="8849"/>
      </w:tblGrid>
      <w:tr>
        <w:tblPrEx>
          <w:tblCellMar>
            <w:top w:w="0" w:type="dxa"/>
            <w:left w:w="108" w:type="dxa"/>
            <w:bottom w:w="0" w:type="dxa"/>
            <w:right w:w="108" w:type="dxa"/>
          </w:tblCellMar>
        </w:tblPrEx>
        <w:trPr>
          <w:trHeight w:val="90" w:hRule="atLeast"/>
          <w:jc w:val="center"/>
        </w:trPr>
        <w:tc>
          <w:tcPr>
            <w:tcW w:w="8849"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0" w:lineRule="atLeast"/>
              <w:jc w:val="both"/>
              <w:textAlignment w:val="auto"/>
              <w:outlineLvl w:val="9"/>
              <w:rPr>
                <w:rFonts w:hint="default" w:ascii="Times New Roman" w:hAnsi="Times New Roman" w:eastAsia="楷体" w:cs="Times New Roman"/>
                <w:b/>
                <w:color w:val="auto"/>
                <w:spacing w:val="0"/>
                <w:sz w:val="28"/>
                <w:szCs w:val="28"/>
                <w:highlight w:val="none"/>
              </w:rPr>
            </w:pPr>
            <w:r>
              <w:rPr>
                <w:rFonts w:hint="default" w:ascii="Times New Roman" w:hAnsi="Times New Roman" w:eastAsia="黑体" w:cs="Times New Roman"/>
                <w:bCs/>
                <w:color w:val="auto"/>
                <w:spacing w:val="0"/>
                <w:kern w:val="0"/>
                <w:sz w:val="24"/>
                <w:szCs w:val="24"/>
                <w:highlight w:val="none"/>
              </w:rPr>
              <w:t>专栏7-2  乡村建设重点项目</w:t>
            </w:r>
          </w:p>
        </w:tc>
      </w:tr>
      <w:tr>
        <w:tblPrEx>
          <w:tblCellMar>
            <w:top w:w="0" w:type="dxa"/>
            <w:left w:w="108" w:type="dxa"/>
            <w:bottom w:w="0" w:type="dxa"/>
            <w:right w:w="108" w:type="dxa"/>
          </w:tblCellMar>
        </w:tblPrEx>
        <w:trPr>
          <w:trHeight w:val="4000" w:hRule="atLeast"/>
          <w:jc w:val="center"/>
        </w:trPr>
        <w:tc>
          <w:tcPr>
            <w:tcW w:w="8849"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80" w:lineRule="exact"/>
              <w:ind w:firstLine="482" w:firstLineChars="200"/>
              <w:jc w:val="both"/>
              <w:textAlignment w:val="auto"/>
              <w:outlineLvl w:val="9"/>
              <w:rPr>
                <w:rFonts w:hint="default" w:ascii="Times New Roman" w:hAnsi="Times New Roman" w:eastAsia="仿宋_GB2312" w:cs="Times New Roman"/>
                <w:color w:val="auto"/>
                <w:spacing w:val="-11"/>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推进道路交通提升改造。</w:t>
            </w:r>
            <w:r>
              <w:rPr>
                <w:rFonts w:hint="default" w:ascii="Times New Roman" w:hAnsi="Times New Roman" w:eastAsia="仿宋_GB2312" w:cs="Times New Roman"/>
                <w:color w:val="auto"/>
                <w:spacing w:val="-11"/>
                <w:kern w:val="0"/>
                <w:sz w:val="24"/>
                <w:szCs w:val="24"/>
                <w:highlight w:val="none"/>
              </w:rPr>
              <w:t>实施S309长济线新乡西环至获嘉武陟界段改建工程、农村公路危桥改造、</w:t>
            </w:r>
            <w:r>
              <w:rPr>
                <w:rFonts w:hint="default" w:ascii="Times New Roman" w:hAnsi="Times New Roman" w:eastAsia="仿宋_GB2312" w:cs="Times New Roman"/>
                <w:color w:val="auto"/>
                <w:spacing w:val="-11"/>
                <w:sz w:val="24"/>
                <w:szCs w:val="24"/>
                <w:highlight w:val="none"/>
              </w:rPr>
              <w:t>农村</w:t>
            </w:r>
            <w:r>
              <w:rPr>
                <w:rFonts w:hint="default" w:ascii="Times New Roman" w:hAnsi="Times New Roman" w:eastAsia="仿宋_GB2312" w:cs="Times New Roman"/>
                <w:color w:val="auto"/>
                <w:spacing w:val="-11"/>
                <w:kern w:val="0"/>
                <w:sz w:val="24"/>
                <w:szCs w:val="24"/>
                <w:highlight w:val="none"/>
              </w:rPr>
              <w:t>公路提升工程、农村公路过村路段排水改造工程、卫河堤顶道路工程等。</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8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农村饮水安全工程提升改造项目。</w:t>
            </w:r>
            <w:r>
              <w:rPr>
                <w:rFonts w:hint="default" w:ascii="Times New Roman" w:hAnsi="Times New Roman" w:eastAsia="仿宋_GB2312" w:cs="Times New Roman"/>
                <w:color w:val="auto"/>
                <w:spacing w:val="0"/>
                <w:kern w:val="0"/>
                <w:sz w:val="24"/>
                <w:szCs w:val="24"/>
                <w:highlight w:val="none"/>
              </w:rPr>
              <w:t>建设21处管网延伸工程，设计供水人口3.19万人，设计供水规模</w:t>
            </w:r>
            <w:r>
              <w:rPr>
                <w:rFonts w:hint="default" w:ascii="Times New Roman" w:hAnsi="Times New Roman" w:eastAsia="仿宋_GB2312" w:cs="Times New Roman"/>
                <w:color w:val="auto"/>
                <w:spacing w:val="0"/>
                <w:sz w:val="24"/>
                <w:szCs w:val="24"/>
                <w:highlight w:val="none"/>
              </w:rPr>
              <w:t>2236</w:t>
            </w:r>
            <w:r>
              <w:rPr>
                <w:rFonts w:hint="default" w:ascii="Times New Roman" w:hAnsi="Times New Roman" w:eastAsia="仿宋_GB2312" w:cs="Times New Roman"/>
                <w:color w:val="auto"/>
                <w:spacing w:val="0"/>
                <w:kern w:val="0"/>
                <w:sz w:val="24"/>
                <w:szCs w:val="24"/>
                <w:highlight w:val="none"/>
              </w:rPr>
              <w:t>.2吨/日，对早期（2010年之前）建设的标准低、工程老化不能保证供水的工程，综合采取配套、改造、联网等措施进行改造。</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8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农村生活污水治理工程项目。</w:t>
            </w:r>
            <w:r>
              <w:rPr>
                <w:rFonts w:hint="default" w:ascii="Times New Roman" w:hAnsi="Times New Roman" w:eastAsia="仿宋_GB2312" w:cs="Times New Roman"/>
                <w:color w:val="auto"/>
                <w:spacing w:val="-17"/>
                <w:kern w:val="0"/>
                <w:sz w:val="24"/>
                <w:szCs w:val="24"/>
                <w:highlight w:val="none"/>
              </w:rPr>
              <w:t>实施平原镇生活污水治理项目，新建十五里堡村污水提灌站1座，新建金家营、十五里堡、东水东、八里营、沈小营、王湾、唐庄、水南、王固城、李村、西水东、水南营、中召、洛丝潭、路庄、元庄、张固城、丁固城、赵村、贾屯、梁任旺21个行政村共54.4公里排水管线及相关配套设施，接入西孟河截污管道、市政污水管网。</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80" w:lineRule="exact"/>
              <w:ind w:firstLine="482" w:firstLineChars="200"/>
              <w:jc w:val="both"/>
              <w:textAlignment w:val="auto"/>
              <w:outlineLvl w:val="9"/>
              <w:rPr>
                <w:rFonts w:hint="default" w:ascii="Times New Roman" w:hAnsi="Times New Roman" w:eastAsia="仿宋_GB2312" w:cs="Times New Roman"/>
                <w:color w:val="auto"/>
                <w:spacing w:val="0"/>
                <w:kern w:val="0"/>
                <w:sz w:val="24"/>
                <w:szCs w:val="24"/>
                <w:highlight w:val="none"/>
              </w:rPr>
            </w:pPr>
            <w:r>
              <w:rPr>
                <w:rFonts w:hint="default" w:ascii="Times New Roman" w:hAnsi="Times New Roman" w:eastAsia="仿宋_GB2312" w:cs="Times New Roman"/>
                <w:b/>
                <w:bCs/>
                <w:color w:val="auto"/>
                <w:spacing w:val="0"/>
                <w:kern w:val="0"/>
                <w:sz w:val="24"/>
                <w:szCs w:val="24"/>
                <w:highlight w:val="none"/>
              </w:rPr>
              <w:t>农村生活垃圾治理工程项目。</w:t>
            </w:r>
            <w:r>
              <w:rPr>
                <w:rFonts w:hint="default" w:ascii="Times New Roman" w:hAnsi="Times New Roman" w:eastAsia="仿宋_GB2312" w:cs="Times New Roman"/>
                <w:color w:val="auto"/>
                <w:spacing w:val="-11"/>
                <w:kern w:val="0"/>
                <w:sz w:val="24"/>
                <w:szCs w:val="24"/>
                <w:highlight w:val="none"/>
              </w:rPr>
              <w:t>升级改造宝潭社区、平原社区、卫源社区3座垃圾中转站，包括购置中转设备、周边道路铺设等；在26个村配备垃圾分类收集设备260个。</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80" w:lineRule="exact"/>
              <w:ind w:firstLine="482" w:firstLineChars="200"/>
              <w:jc w:val="both"/>
              <w:textAlignment w:val="auto"/>
              <w:outlineLvl w:val="9"/>
              <w:rPr>
                <w:rFonts w:hint="default" w:ascii="Times New Roman" w:hAnsi="Times New Roman" w:eastAsia="楷体" w:cs="Times New Roman"/>
                <w:b/>
                <w:color w:val="auto"/>
                <w:spacing w:val="0"/>
                <w:sz w:val="28"/>
                <w:szCs w:val="28"/>
                <w:highlight w:val="none"/>
              </w:rPr>
            </w:pPr>
            <w:r>
              <w:rPr>
                <w:rFonts w:hint="default" w:ascii="Times New Roman" w:hAnsi="Times New Roman" w:eastAsia="仿宋_GB2312" w:cs="Times New Roman"/>
                <w:b/>
                <w:bCs/>
                <w:color w:val="auto"/>
                <w:spacing w:val="0"/>
                <w:kern w:val="0"/>
                <w:sz w:val="24"/>
                <w:szCs w:val="24"/>
                <w:highlight w:val="none"/>
              </w:rPr>
              <w:t>畜禽粪污资源化利用设施项目。</w:t>
            </w:r>
            <w:r>
              <w:rPr>
                <w:rFonts w:hint="default" w:ascii="Times New Roman" w:hAnsi="Times New Roman" w:eastAsia="仿宋_GB2312" w:cs="Times New Roman"/>
                <w:color w:val="auto"/>
                <w:spacing w:val="0"/>
                <w:kern w:val="0"/>
                <w:sz w:val="24"/>
                <w:szCs w:val="24"/>
                <w:highlight w:val="none"/>
              </w:rPr>
              <w:t>采用分散收集集中处理能源化利用模式，畜禽废弃物经过中温厌氧发酵转化为沼气、沼液、沼渣。沼气用于场区无害化处理厂沼气锅炉自用；沼渣、沼液</w:t>
            </w:r>
            <w:r>
              <w:rPr>
                <w:rFonts w:hint="default" w:ascii="Times New Roman" w:hAnsi="Times New Roman" w:eastAsia="仿宋_GB2312" w:cs="Times New Roman"/>
                <w:color w:val="auto"/>
                <w:spacing w:val="0"/>
                <w:sz w:val="24"/>
                <w:szCs w:val="24"/>
                <w:highlight w:val="none"/>
              </w:rPr>
              <w:t>作为</w:t>
            </w:r>
            <w:r>
              <w:rPr>
                <w:rFonts w:hint="default" w:ascii="Times New Roman" w:hAnsi="Times New Roman" w:eastAsia="仿宋_GB2312" w:cs="Times New Roman"/>
                <w:color w:val="auto"/>
                <w:spacing w:val="0"/>
                <w:kern w:val="0"/>
                <w:sz w:val="24"/>
                <w:szCs w:val="24"/>
                <w:highlight w:val="none"/>
              </w:rPr>
              <w:t>生态衣肥直接施用于周边农田，最终形成“养殖</w:t>
            </w:r>
            <w:r>
              <w:rPr>
                <w:rFonts w:hint="default" w:ascii="Times New Roman" w:hAnsi="Times New Roman" w:eastAsia="仿宋_GB2312" w:cs="Times New Roman"/>
                <w:color w:val="auto"/>
                <w:spacing w:val="0"/>
                <w:kern w:val="0"/>
                <w:sz w:val="24"/>
                <w:szCs w:val="24"/>
                <w:highlight w:val="none"/>
                <w:lang w:val="en-US" w:eastAsia="zh-CN"/>
              </w:rPr>
              <w:t>-</w:t>
            </w:r>
            <w:r>
              <w:rPr>
                <w:rFonts w:hint="default" w:ascii="Times New Roman" w:hAnsi="Times New Roman" w:eastAsia="仿宋_GB2312" w:cs="Times New Roman"/>
                <w:color w:val="auto"/>
                <w:spacing w:val="0"/>
                <w:kern w:val="0"/>
                <w:sz w:val="24"/>
                <w:szCs w:val="24"/>
                <w:highlight w:val="none"/>
              </w:rPr>
              <w:t>废弃物能源化</w:t>
            </w:r>
            <w:r>
              <w:rPr>
                <w:rFonts w:hint="default" w:ascii="Times New Roman" w:hAnsi="Times New Roman" w:eastAsia="仿宋_GB2312" w:cs="Times New Roman"/>
                <w:color w:val="auto"/>
                <w:spacing w:val="0"/>
                <w:kern w:val="0"/>
                <w:sz w:val="24"/>
                <w:szCs w:val="24"/>
                <w:highlight w:val="none"/>
                <w:lang w:val="en-US" w:eastAsia="zh-CN"/>
              </w:rPr>
              <w:t>-</w:t>
            </w:r>
            <w:r>
              <w:rPr>
                <w:rFonts w:hint="default" w:ascii="Times New Roman" w:hAnsi="Times New Roman" w:eastAsia="仿宋_GB2312" w:cs="Times New Roman"/>
                <w:color w:val="auto"/>
                <w:spacing w:val="0"/>
                <w:kern w:val="0"/>
                <w:sz w:val="24"/>
                <w:szCs w:val="24"/>
                <w:highlight w:val="none"/>
              </w:rPr>
              <w:t>种植业”的良性循环系统，实现污染物“零排放”。</w:t>
            </w:r>
          </w:p>
        </w:tc>
      </w:tr>
    </w:tbl>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02" w:name="_Toc25521"/>
      <w:bookmarkStart w:id="103" w:name="_Toc11750"/>
      <w:r>
        <w:rPr>
          <w:rFonts w:hint="default" w:ascii="Times New Roman" w:hAnsi="Times New Roman" w:eastAsia="楷体_GB2312" w:cs="Times New Roman"/>
          <w:snapToGrid w:val="0"/>
          <w:color w:val="auto"/>
          <w:spacing w:val="0"/>
          <w:sz w:val="32"/>
          <w:szCs w:val="32"/>
          <w:highlight w:val="none"/>
        </w:rPr>
        <w:t>第三节 持续深化农村改革</w:t>
      </w:r>
      <w:bookmarkEnd w:id="102"/>
      <w:bookmarkEnd w:id="10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坚持走城乡融合发展的乡村振兴之路，突出以工促农、以城带乡，推动城乡要素自由流动、平等交换和公共资源合理配置，增强农业农村发展活力。</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深化农村综合改革。</w:t>
      </w:r>
      <w:r>
        <w:rPr>
          <w:rFonts w:hint="default" w:ascii="Times New Roman" w:hAnsi="Times New Roman" w:eastAsia="仿宋" w:cs="Times New Roman"/>
          <w:color w:val="auto"/>
          <w:spacing w:val="0"/>
          <w:sz w:val="32"/>
          <w:highlight w:val="none"/>
        </w:rPr>
        <w:t>持续推进土地利用综合改革，积极探索实施农村集体经营性建设用地入市制度，大力推动农村承包地集中流转,推动闲置宅基地和集体建设用地集中使用。落实第二轮土地承包到期后再延长三十年政策，积极探索实施农村集体经营性建设用地入市制度。建立土地征收公共利益用地认定机制，探索宅基地所有权、资格权、使用权分置实现形式。探索推进城中村改造预留地模式，引导盘活村集体经营资产参与重点项目建设，借鉴先进地区以土地入股引入社会资本发展集体产业的经济模式，充分发挥农村集体经济组织和农民的主体作用，扶持壮大农民合作组织，增加集体收入。实现巩固拓展脱贫攻坚成果同乡村振兴有效衔接。</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color w:val="auto"/>
          <w:spacing w:val="0"/>
          <w:kern w:val="2"/>
          <w:sz w:val="32"/>
          <w:highlight w:val="none"/>
        </w:rPr>
        <w:t>推进农业转移人口市民化。</w:t>
      </w:r>
      <w:r>
        <w:rPr>
          <w:rFonts w:hint="default" w:ascii="Times New Roman" w:hAnsi="Times New Roman" w:eastAsia="仿宋" w:cs="Times New Roman"/>
          <w:color w:val="auto"/>
          <w:spacing w:val="0"/>
          <w:sz w:val="32"/>
          <w:highlight w:val="none"/>
        </w:rPr>
        <w:t>统筹推进基本公共服务均等化，以在城镇稳定就业生活的农业转移人口为重点，逐步把符合条件的农业转移人口转为城镇居民。着力发展壮大集体经济，支持引导农民就近就业创业，尊重农民意愿，鼓励有能力、有意愿的农民工及其家属进城落户，优先解决存量本地人口和进城时间长、就业能力强、适应城镇产业升级和城区竞争环境的人口。推动农业转移人口享有基本公共服务，强化住房和教育牵动，坚持产业为基、就业为本原则，在加快产业发展、以就业带动促进人口集聚的同时，以住房保障和优质教育吸引农村人口向城镇转移。</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04" w:name="_Toc11073"/>
      <w:bookmarkStart w:id="105" w:name="_Toc20605"/>
      <w:r>
        <w:rPr>
          <w:rFonts w:hint="default" w:ascii="Times New Roman" w:hAnsi="Times New Roman" w:eastAsia="楷体_GB2312" w:cs="Times New Roman"/>
          <w:snapToGrid w:val="0"/>
          <w:color w:val="auto"/>
          <w:spacing w:val="0"/>
          <w:sz w:val="32"/>
          <w:szCs w:val="32"/>
          <w:highlight w:val="none"/>
        </w:rPr>
        <w:t>第四节 巩固拓展脱贫攻坚成果</w:t>
      </w:r>
      <w:bookmarkEnd w:id="104"/>
      <w:bookmarkEnd w:id="105"/>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严格落实“四个不摘”要求，保持现有帮扶政策、资金支持、帮扶力量总体稳定。健全防止返贫监测和帮扶机制，加强扶贫项目资金资产管理和监督，推动特色产业可持续发展，确保已脱贫人口不返贫、边缘人口不致贫。提高低收入群体的收入水平和发展能力，进一步缩小收入差距。健全农村社会保障和救助制度，完善兜底保障政策，兜住民生底线。</w:t>
      </w:r>
    </w:p>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rPr>
      </w:pPr>
      <w:bookmarkStart w:id="106" w:name="_Toc17984"/>
      <w:bookmarkStart w:id="107" w:name="_Toc9904"/>
      <w:r>
        <w:rPr>
          <w:rFonts w:hint="default" w:ascii="Times New Roman" w:hAnsi="Times New Roman" w:eastAsia="黑体" w:cs="Times New Roman"/>
          <w:color w:val="auto"/>
          <w:sz w:val="32"/>
          <w:szCs w:val="32"/>
          <w:highlight w:val="none"/>
        </w:rPr>
        <w:fldChar w:fldCharType="begin"/>
      </w:r>
      <w:r>
        <w:rPr>
          <w:rFonts w:hint="default" w:ascii="Times New Roman" w:hAnsi="Times New Roman" w:eastAsia="黑体" w:cs="Times New Roman"/>
          <w:color w:val="auto"/>
          <w:sz w:val="32"/>
          <w:szCs w:val="32"/>
          <w:highlight w:val="none"/>
        </w:rPr>
        <w:instrText xml:space="preserve"> HYPERLINK \l "_Toc52057044" </w:instrText>
      </w:r>
      <w:r>
        <w:rPr>
          <w:rFonts w:hint="default"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rPr>
        <w:t>第八章 全面增强文化软实力</w:t>
      </w:r>
      <w:r>
        <w:rPr>
          <w:rFonts w:hint="default" w:ascii="Times New Roman" w:hAnsi="Times New Roman" w:eastAsia="黑体" w:cs="Times New Roman"/>
          <w:color w:val="auto"/>
          <w:sz w:val="32"/>
          <w:szCs w:val="32"/>
          <w:highlight w:val="none"/>
        </w:rPr>
        <w:fldChar w:fldCharType="end"/>
      </w:r>
      <w:bookmarkEnd w:id="106"/>
      <w:bookmarkEnd w:id="10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牢牢把握社会主义先进文化前进方向，坚定文化自信，加强社会主义精神文明建设，传承、创新、发展优秀传统文化，推动文化产业发展和文化市场繁荣，提高文化软实力。</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08" w:name="_Toc27953"/>
      <w:bookmarkStart w:id="109" w:name="_Toc8975"/>
      <w:r>
        <w:rPr>
          <w:rFonts w:hint="default" w:ascii="Times New Roman" w:hAnsi="Times New Roman" w:eastAsia="楷体_GB2312" w:cs="Times New Roman"/>
          <w:snapToGrid w:val="0"/>
          <w:color w:val="auto"/>
          <w:spacing w:val="0"/>
          <w:sz w:val="32"/>
          <w:szCs w:val="32"/>
          <w:highlight w:val="none"/>
        </w:rPr>
        <w:t>第一节 巩固壮大主流思想舆论</w:t>
      </w:r>
      <w:bookmarkEnd w:id="108"/>
      <w:bookmarkEnd w:id="10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坚持马克思主义在意识形态领域的指导地位，深入开展习近平新时代中国特色社会主义思想学习教育，加强党史、新中国史、改革开放史、社会主义发展史教育，加强爱国主义、集体主义、社会主义教育，弘扬新乡先进群体精神，选树具有卫滨特色的模范群体，推动理想信念教育常态化制度化。牢牢把握正确舆论导向，坚守意识形态主阵地。加强网络文明建设，发展积极健康的网络文化。</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10" w:name="_Toc18007"/>
      <w:bookmarkStart w:id="111" w:name="_Toc27041"/>
      <w:r>
        <w:rPr>
          <w:rFonts w:hint="default" w:ascii="Times New Roman" w:hAnsi="Times New Roman" w:eastAsia="楷体_GB2312" w:cs="Times New Roman"/>
          <w:snapToGrid w:val="0"/>
          <w:color w:val="auto"/>
          <w:spacing w:val="0"/>
          <w:sz w:val="32"/>
          <w:szCs w:val="32"/>
          <w:highlight w:val="none"/>
        </w:rPr>
        <w:t>第二节 提升公共文化服务水平</w:t>
      </w:r>
      <w:bookmarkEnd w:id="110"/>
      <w:bookmarkEnd w:id="111"/>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完善公共文化设施</w:t>
      </w:r>
      <w:r>
        <w:rPr>
          <w:rFonts w:hint="default" w:ascii="Times New Roman" w:hAnsi="Times New Roman" w:eastAsia="仿宋" w:cs="Times New Roman"/>
          <w:color w:val="auto"/>
          <w:spacing w:val="0"/>
          <w:sz w:val="32"/>
          <w:highlight w:val="none"/>
        </w:rPr>
        <w:t>。推进城乡公共文化服务体系一体建设，进一步加大公共文化事业投入，完善文化馆及基层综合文化服务中心硬件设施，推进城市书房建设并投入运营。鼓励社会力量建设博物馆，支持新乡望野艺术博物馆、郭峰中医药博物馆、赵林陶瓷博物馆等非国有博物馆建设。落实文化馆、图书馆总分馆制，坚持公益设施免费对外开放。</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丰富群众文化活动</w:t>
      </w:r>
      <w:r>
        <w:rPr>
          <w:rFonts w:hint="default" w:ascii="Times New Roman" w:hAnsi="Times New Roman" w:eastAsia="仿宋" w:cs="Times New Roman"/>
          <w:color w:val="auto"/>
          <w:spacing w:val="0"/>
          <w:sz w:val="32"/>
          <w:highlight w:val="none"/>
        </w:rPr>
        <w:t>。广泛开展群众性文化活动，推动公共文化数字化建设，发展文化产业街区，健全文化市场体系，鼓励支持发展文化产业，扩大优质文化产品供给。把农村、社区作为公共文化服务的重点，推动优质资源、服务下沉到基层一线，深入实施农家书屋、公益电影放映等文化惠民工程。尊重群众主体地位，充分发挥文化积极分子和文艺骨干的力量，广泛开展文化志愿服务，推动“戏曲进乡村”工作常态化开展，加强基层文化队伍培训，推动社会力量参与公共文化服务。</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强化文化遗产保护利用</w:t>
      </w:r>
      <w:r>
        <w:rPr>
          <w:rFonts w:hint="default" w:ascii="Times New Roman" w:hAnsi="Times New Roman" w:eastAsia="仿宋" w:cs="Times New Roman"/>
          <w:color w:val="auto"/>
          <w:spacing w:val="0"/>
          <w:sz w:val="32"/>
          <w:highlight w:val="none"/>
        </w:rPr>
        <w:t>。树立整体保护、活化保护、活态传承的理念，统筹推进文化遗产真实性、整体性、抢救性、预防性保护，提高卫滨区大运河沿线文化遗产保护能力、展示水平和传承活力。加强大运河沿线非物质文化遗产资源梳理，开展非物质遗产调查及档案、名录建立工作，支持、引导在石榴巷筹建刺绣、泥塑及面塑等非遗项目传习中心。积极挖掘永济渠历史文脉，展示遗址文化，增强文化遗产传承活力，谋划建设卫河航运博物馆。加强对卫河沿岸河朔图书馆、暴张纪念堂等文物建筑的保护与利用，充分展示历史风貌和文化内涵。</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12" w:name="_Toc9730"/>
      <w:bookmarkStart w:id="113" w:name="_Toc17081"/>
      <w:r>
        <w:rPr>
          <w:rFonts w:hint="default" w:ascii="Times New Roman" w:hAnsi="Times New Roman" w:eastAsia="楷体_GB2312" w:cs="Times New Roman"/>
          <w:snapToGrid w:val="0"/>
          <w:color w:val="auto"/>
          <w:spacing w:val="0"/>
          <w:sz w:val="32"/>
          <w:szCs w:val="32"/>
          <w:highlight w:val="none"/>
        </w:rPr>
        <w:t>第三节 提升全民文明素养</w:t>
      </w:r>
      <w:bookmarkEnd w:id="112"/>
      <w:bookmarkEnd w:id="11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培育和践行社会主义核心价值观，加强社会公德、职业道德、家庭美德、个人品德建设。实施文明创建工程，加强新时代文明实践中心建设，深化群众性精神文明创建活动，开展文明行为促进工作，营造良好的文明风尚、精神面貌和人文氛围。弘扬诚信文化，加快信用体系建设。精心选树时代楷模、道德模范等先进典型，让人们学有榜样，行有方向。健全志愿服务体系，广泛开展志愿服务关爱行动，强化奉献意识。提倡艰苦奋斗、勤俭节约，开展以劳动创造幸福为主题的宣传教育。加强家庭、家教、家风建设。</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920" w:type="dxa"/>
            <w:noWrap w:val="0"/>
            <w:vAlign w:val="center"/>
          </w:tcPr>
          <w:p>
            <w:pPr>
              <w:keepNext w:val="0"/>
              <w:keepLines w:val="0"/>
              <w:pageBreakBefore w:val="0"/>
              <w:widowControl w:val="0"/>
              <w:kinsoku/>
              <w:wordWrap/>
              <w:overflowPunct/>
              <w:topLinePunct w:val="0"/>
              <w:autoSpaceDE/>
              <w:autoSpaceDN/>
              <w:bidi w:val="0"/>
              <w:adjustRightInd/>
              <w:snapToGrid/>
              <w:spacing w:after="0" w:line="0" w:lineRule="atLeas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黑体" w:cs="Times New Roman"/>
                <w:color w:val="auto"/>
                <w:sz w:val="24"/>
                <w:szCs w:val="24"/>
                <w:highlight w:val="none"/>
              </w:rPr>
              <w:t>专栏8-1 文化繁荣发展重点项目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0" w:hRule="atLeast"/>
          <w:jc w:val="center"/>
        </w:trPr>
        <w:tc>
          <w:tcPr>
            <w:tcW w:w="8920" w:type="dxa"/>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b/>
                <w:bCs/>
                <w:color w:val="auto"/>
                <w:sz w:val="24"/>
                <w:szCs w:val="24"/>
                <w:highlight w:val="none"/>
                <w:lang w:val="en-US" w:eastAsia="zh-CN"/>
              </w:rPr>
              <w:t>公共文化艺术中心项目</w:t>
            </w:r>
            <w:r>
              <w:rPr>
                <w:rFonts w:hint="default" w:ascii="Times New Roman" w:hAnsi="Times New Roman" w:eastAsia="仿宋_GB2312" w:cs="Times New Roman"/>
                <w:b/>
                <w:bCs/>
                <w:color w:val="auto"/>
                <w:sz w:val="24"/>
                <w:szCs w:val="24"/>
                <w:highlight w:val="none"/>
              </w:rPr>
              <w:t>。</w:t>
            </w:r>
            <w:r>
              <w:rPr>
                <w:rFonts w:hint="default" w:ascii="Times New Roman" w:hAnsi="Times New Roman" w:eastAsia="仿宋_GB2312" w:cs="Times New Roman"/>
                <w:color w:val="auto"/>
                <w:sz w:val="24"/>
                <w:szCs w:val="24"/>
                <w:highlight w:val="none"/>
              </w:rPr>
              <w:t>建筑面积不低于</w:t>
            </w:r>
            <w:r>
              <w:rPr>
                <w:rFonts w:hint="default" w:ascii="Times New Roman" w:hAnsi="Times New Roman" w:eastAsia="仿宋_GB2312" w:cs="Times New Roman"/>
                <w:color w:val="auto"/>
                <w:spacing w:val="0"/>
                <w:sz w:val="24"/>
                <w:szCs w:val="24"/>
                <w:highlight w:val="none"/>
              </w:rPr>
              <w:t>5000</w:t>
            </w:r>
            <w:r>
              <w:rPr>
                <w:rFonts w:hint="default" w:ascii="Times New Roman" w:hAnsi="Times New Roman" w:eastAsia="仿宋_GB2312" w:cs="Times New Roman"/>
                <w:color w:val="auto"/>
                <w:sz w:val="24"/>
                <w:szCs w:val="24"/>
                <w:highlight w:val="none"/>
              </w:rPr>
              <w:t>平方米。</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b/>
                <w:bCs/>
                <w:color w:val="auto"/>
                <w:sz w:val="24"/>
                <w:szCs w:val="24"/>
                <w:highlight w:val="none"/>
              </w:rPr>
              <w:t>南桥里1960文创园区</w:t>
            </w:r>
            <w:r>
              <w:rPr>
                <w:rFonts w:hint="default" w:ascii="Times New Roman" w:hAnsi="Times New Roman" w:eastAsia="仿宋_GB2312" w:cs="Times New Roman"/>
                <w:b/>
                <w:bCs/>
                <w:color w:val="auto"/>
                <w:sz w:val="24"/>
                <w:szCs w:val="24"/>
                <w:highlight w:val="none"/>
                <w:lang w:val="en-US" w:eastAsia="zh-CN"/>
              </w:rPr>
              <w:t>项目</w:t>
            </w:r>
            <w:r>
              <w:rPr>
                <w:rFonts w:hint="default" w:ascii="Times New Roman" w:hAnsi="Times New Roman" w:eastAsia="仿宋_GB2312" w:cs="Times New Roman"/>
                <w:b/>
                <w:bCs/>
                <w:color w:val="auto"/>
                <w:sz w:val="24"/>
                <w:szCs w:val="24"/>
                <w:highlight w:val="none"/>
              </w:rPr>
              <w:t>。</w:t>
            </w:r>
            <w:r>
              <w:rPr>
                <w:rFonts w:hint="default" w:ascii="Times New Roman" w:hAnsi="Times New Roman" w:eastAsia="仿宋_GB2312" w:cs="Times New Roman"/>
                <w:color w:val="auto"/>
                <w:spacing w:val="-11"/>
                <w:sz w:val="24"/>
                <w:szCs w:val="24"/>
                <w:highlight w:val="none"/>
              </w:rPr>
              <w:t>进一步完善商业业态，推进工业遗存文化的传承和保留。</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b/>
                <w:bCs/>
                <w:color w:val="auto"/>
                <w:sz w:val="24"/>
                <w:szCs w:val="24"/>
                <w:highlight w:val="none"/>
              </w:rPr>
              <w:t>新乡千佰度机车文化交流体验园项目。</w:t>
            </w:r>
            <w:r>
              <w:rPr>
                <w:rFonts w:hint="default" w:ascii="Times New Roman" w:hAnsi="Times New Roman" w:eastAsia="仿宋_GB2312" w:cs="Times New Roman"/>
                <w:color w:val="auto"/>
                <w:sz w:val="24"/>
                <w:szCs w:val="24"/>
                <w:highlight w:val="none"/>
              </w:rPr>
              <w:t>推进该项目达产增效，对周边形成文化影响和带动作用。</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bCs/>
                <w:i w:val="0"/>
                <w:caps w:val="0"/>
                <w:color w:val="auto"/>
                <w:spacing w:val="0"/>
                <w:sz w:val="24"/>
                <w:szCs w:val="24"/>
                <w:highlight w:val="none"/>
              </w:rPr>
              <w:t>卫河休闲生态旅游带项目。</w:t>
            </w:r>
            <w:r>
              <w:rPr>
                <w:rFonts w:hint="default" w:ascii="Times New Roman" w:hAnsi="Times New Roman" w:eastAsia="仿宋_GB2312" w:cs="Times New Roman"/>
                <w:b w:val="0"/>
                <w:bCs w:val="0"/>
                <w:i w:val="0"/>
                <w:caps w:val="0"/>
                <w:color w:val="auto"/>
                <w:spacing w:val="0"/>
                <w:sz w:val="24"/>
                <w:szCs w:val="24"/>
                <w:highlight w:val="none"/>
                <w:lang w:val="en-US" w:eastAsia="zh-CN"/>
              </w:rPr>
              <w:t>项目拟选址</w:t>
            </w:r>
            <w:r>
              <w:rPr>
                <w:rFonts w:hint="default" w:ascii="Times New Roman" w:hAnsi="Times New Roman" w:eastAsia="仿宋_GB2312" w:cs="Times New Roman"/>
                <w:i w:val="0"/>
                <w:caps w:val="0"/>
                <w:color w:val="auto"/>
                <w:spacing w:val="0"/>
                <w:sz w:val="24"/>
                <w:szCs w:val="24"/>
                <w:highlight w:val="none"/>
              </w:rPr>
              <w:t>在滨河湾集中安置区项目临河及西部约40亩的供电段区域，打造卫河休闲生态旅游带项目。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b/>
                <w:bCs/>
                <w:color w:val="auto"/>
                <w:sz w:val="24"/>
                <w:szCs w:val="24"/>
                <w:highlight w:val="none"/>
              </w:rPr>
              <w:t>孟姜女河景观带项目。</w:t>
            </w:r>
            <w:r>
              <w:rPr>
                <w:rFonts w:hint="default" w:ascii="Times New Roman" w:hAnsi="Times New Roman" w:eastAsia="仿宋_GB2312" w:cs="Times New Roman"/>
                <w:color w:val="auto"/>
                <w:sz w:val="24"/>
                <w:szCs w:val="24"/>
                <w:highlight w:val="none"/>
              </w:rPr>
              <w:t>沿西孟河打造沿河景观带，沿卫河和西孟河做文化浏览项目，与金龙红色培训基地连成一条文化线。</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00" w:lineRule="exact"/>
              <w:ind w:firstLine="482" w:firstLineChars="200"/>
              <w:jc w:val="both"/>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仿宋_GB2312" w:cs="Times New Roman"/>
                <w:b/>
                <w:bCs/>
                <w:color w:val="auto"/>
                <w:sz w:val="24"/>
                <w:szCs w:val="24"/>
                <w:highlight w:val="none"/>
              </w:rPr>
              <w:t>铁西商业文化步行街项目。</w:t>
            </w:r>
            <w:r>
              <w:rPr>
                <w:rFonts w:hint="default" w:ascii="Times New Roman" w:hAnsi="Times New Roman" w:eastAsia="仿宋_GB2312" w:cs="Times New Roman"/>
                <w:color w:val="auto"/>
                <w:sz w:val="24"/>
                <w:szCs w:val="24"/>
                <w:highlight w:val="none"/>
              </w:rPr>
              <w:t>南街市场及五十间房区域历史悠久，将其进行仿古化统一装修，打造铁西商业文化步行街。</w:t>
            </w:r>
          </w:p>
        </w:tc>
      </w:tr>
    </w:tbl>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rPr>
      </w:pPr>
      <w:bookmarkStart w:id="114" w:name="_Toc12910"/>
      <w:bookmarkStart w:id="115" w:name="_Toc9642"/>
      <w:r>
        <w:rPr>
          <w:rFonts w:hint="default" w:ascii="Times New Roman" w:hAnsi="Times New Roman" w:eastAsia="黑体" w:cs="Times New Roman"/>
          <w:color w:val="auto"/>
          <w:sz w:val="32"/>
          <w:szCs w:val="32"/>
          <w:highlight w:val="none"/>
        </w:rPr>
        <w:t>第九章 全面加强生态文明建设</w:t>
      </w:r>
      <w:bookmarkEnd w:id="114"/>
      <w:bookmarkEnd w:id="115"/>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践行习近平生态文明主导思想，抢抓黄河流域生态保护和高质量发展战略机遇，践行绿水青山就是金山银山理念，坚持生态优先、绿色发展，推进生态保护</w:t>
      </w:r>
      <w:r>
        <w:rPr>
          <w:rFonts w:hint="default" w:ascii="Times New Roman" w:hAnsi="Times New Roman" w:eastAsia="仿宋" w:cs="Times New Roman"/>
          <w:color w:val="auto"/>
          <w:spacing w:val="0"/>
          <w:sz w:val="32"/>
          <w:highlight w:val="none"/>
        </w:rPr>
        <w:t>系统化</w:t>
      </w:r>
      <w:r>
        <w:rPr>
          <w:rFonts w:hint="default" w:ascii="Times New Roman" w:hAnsi="Times New Roman" w:eastAsia="仿宋" w:cs="Times New Roman"/>
          <w:color w:val="auto"/>
          <w:sz w:val="32"/>
          <w:highlight w:val="none"/>
        </w:rPr>
        <w:t>、环境污染治理精细化、资源节约集约利用高效化，深入实施可持续发展战略，促进经济社会发展全面绿色转型，创建绿色生态新格局。</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16" w:name="_Toc26075"/>
      <w:bookmarkStart w:id="117" w:name="_Toc13075"/>
      <w:r>
        <w:rPr>
          <w:rFonts w:hint="default" w:ascii="Times New Roman" w:hAnsi="Times New Roman" w:eastAsia="楷体_GB2312" w:cs="Times New Roman"/>
          <w:snapToGrid w:val="0"/>
          <w:color w:val="auto"/>
          <w:spacing w:val="0"/>
          <w:sz w:val="32"/>
          <w:szCs w:val="32"/>
          <w:highlight w:val="none"/>
        </w:rPr>
        <w:t>第一节 持续深化污染防治</w:t>
      </w:r>
      <w:bookmarkEnd w:id="116"/>
      <w:bookmarkEnd w:id="11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以持续改善环境质量为目标，坚持方向不变、力度不减，突出精准治污、科学治污、依法治污，推动环境质量持续好转。</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color w:val="auto"/>
          <w:sz w:val="32"/>
          <w:highlight w:val="none"/>
        </w:rPr>
        <w:t>纵深推进蓝天保卫战。</w:t>
      </w:r>
      <w:r>
        <w:rPr>
          <w:rFonts w:hint="default" w:ascii="Times New Roman" w:hAnsi="Times New Roman" w:eastAsia="仿宋" w:cs="Times New Roman"/>
          <w:color w:val="auto"/>
          <w:sz w:val="32"/>
          <w:highlight w:val="none"/>
        </w:rPr>
        <w:t>加强工业污染治理，严格新建项目准入管理，推进传统产业集群升级改造，实施工业污染深度治理和VOCs治理，加强臭氧污染管控，强化重污染天气应急应对，确保减少环境污染，实现“散乱污”企业动态清零；加强餐饮油烟净化设施规范安装、维护管理、监督检测和监管；加大秸秆禁烧力度，完善网格化监管机制；落实</w:t>
      </w:r>
      <w:r>
        <w:rPr>
          <w:rFonts w:hint="default" w:ascii="Times New Roman" w:hAnsi="Times New Roman" w:eastAsia="仿宋" w:cs="Times New Roman"/>
          <w:color w:val="auto"/>
          <w:spacing w:val="0"/>
          <w:sz w:val="32"/>
          <w:highlight w:val="none"/>
        </w:rPr>
        <w:t>烟花</w:t>
      </w:r>
      <w:r>
        <w:rPr>
          <w:rFonts w:hint="default" w:ascii="Times New Roman" w:hAnsi="Times New Roman" w:eastAsia="仿宋" w:cs="Times New Roman"/>
          <w:color w:val="auto"/>
          <w:sz w:val="32"/>
          <w:highlight w:val="none"/>
        </w:rPr>
        <w:t>爆竹禁放管理规定，严控烟花爆竹燃放污染；加强禁煤区监管，全面推进民用清洁能源供应。强化柴油货车治理，持续开展重型柴油货车尾气检测、非移动道路移动检测，加强企业管理，禁止非移动道路机械及高排量柴油货车在禁区内行驶，严厉打击依法查处。做好扬尘治理，加大科技控尘力度，推进道路、房建、破拆等建筑施工工地精细化管理，严格落实扬尘管控管理制度，严格落实8个100%管控要求，加强道路清扫保洁和洒水降尘频次，持续开展城市清洁行动，切实降低扬尘污染。积极开展现代环境治理体系建设，推进政府治理、社会调节、企业自治良性互动。</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保障水生态环境安全。</w:t>
      </w:r>
      <w:r>
        <w:rPr>
          <w:rFonts w:hint="default" w:ascii="Times New Roman" w:hAnsi="Times New Roman" w:eastAsia="仿宋" w:cs="Times New Roman"/>
          <w:color w:val="auto"/>
          <w:spacing w:val="0"/>
          <w:sz w:val="32"/>
          <w:highlight w:val="none"/>
        </w:rPr>
        <w:t>综合治理水环境，统筹推进卫河生态环境突出问题排查整治，严格落实河长制，持续推进“四水同治”，加强河道岸线管理，积极开展河流清洁行动。深入治理水污染，深入开展农村生活污水治理、黑臭水体治理、污水处理设施建设、排污口截流、畜禽养殖污染治理等工作，推进污水处理配套管网建设和雨污分流系统改造，有效控制水污染，力争卫河水质持续提升稳定达标。</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保持土壤生态环境质量稳定。</w:t>
      </w:r>
      <w:r>
        <w:rPr>
          <w:rFonts w:hint="default" w:ascii="Times New Roman" w:hAnsi="Times New Roman" w:eastAsia="仿宋" w:cs="Times New Roman"/>
          <w:color w:val="auto"/>
          <w:spacing w:val="0"/>
          <w:sz w:val="32"/>
          <w:highlight w:val="none"/>
        </w:rPr>
        <w:t>加强农用地和建设用地污染防治，开展耕地土壤环境分类管理，加强耕地保护，抓好受污染耕地风险防范，持续推进严格管控类耕地种植结构调整或退耕还林还草。加强建设用地污染状况调查和风险管控，推进土壤污染治理和修复，持续开展污染源整治行动，实施土壤污染综合治理，推广工业污染地块“环境修复+开发建设”模式，确保受污染耕地、污染地块安全利用率明显提高。推进化肥农药减量增效行动，加强农膜、饲料等农业投入品使用管控。加快塑料污染治理，分品种分阶段禁限违规塑料制品的生产、销售和使用。加强危险废物医疗废物收集处理。</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18" w:name="_Toc1748"/>
      <w:bookmarkStart w:id="119" w:name="_Toc3882"/>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HYPERLINK "洛阳市伊滨区区十四五规划纲要——刘鹏20201022-3.doc" \l "_Toc8164"</w:instrText>
      </w:r>
      <w:r>
        <w:rPr>
          <w:rFonts w:hint="default" w:ascii="Times New Roman" w:hAnsi="Times New Roman" w:eastAsia="楷体_GB2312" w:cs="Times New Roman"/>
          <w:snapToGrid w:val="0"/>
          <w:color w:val="auto"/>
          <w:spacing w:val="0"/>
          <w:sz w:val="32"/>
          <w:szCs w:val="32"/>
          <w:highlight w:val="none"/>
        </w:rPr>
        <w:fldChar w:fldCharType="separate"/>
      </w:r>
      <w:r>
        <w:rPr>
          <w:rFonts w:hint="default" w:ascii="Times New Roman" w:hAnsi="Times New Roman" w:eastAsia="楷体_GB2312" w:cs="Times New Roman"/>
          <w:snapToGrid w:val="0"/>
          <w:color w:val="auto"/>
          <w:spacing w:val="0"/>
          <w:sz w:val="32"/>
          <w:szCs w:val="32"/>
          <w:highlight w:val="none"/>
        </w:rPr>
        <w:t>第二节 加快绿色低碳发展</w:t>
      </w:r>
      <w:r>
        <w:rPr>
          <w:rFonts w:hint="default" w:ascii="Times New Roman" w:hAnsi="Times New Roman" w:eastAsia="楷体_GB2312" w:cs="Times New Roman"/>
          <w:snapToGrid w:val="0"/>
          <w:color w:val="auto"/>
          <w:spacing w:val="0"/>
          <w:sz w:val="32"/>
          <w:szCs w:val="32"/>
          <w:highlight w:val="none"/>
        </w:rPr>
        <w:fldChar w:fldCharType="end"/>
      </w:r>
      <w:bookmarkEnd w:id="118"/>
      <w:bookmarkEnd w:id="11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坚持节约优先，树立节约集约循环利用的资源观，加强全过程资源能源节约管理，建立资源循环利用体系，加快形成绿色生产生活方式，全面提升绿色低碳循环发展水平。</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提高能源利用效率。</w:t>
      </w:r>
      <w:r>
        <w:rPr>
          <w:rFonts w:hint="default" w:ascii="Times New Roman" w:hAnsi="Times New Roman" w:eastAsia="仿宋" w:cs="Times New Roman"/>
          <w:color w:val="auto"/>
          <w:sz w:val="32"/>
          <w:highlight w:val="none"/>
        </w:rPr>
        <w:t>推进交通、建筑、商业和公共机构等领域节能，降低全社会能源消耗，持续削减碳排放。推动建筑节能，落实新建建筑节能标准，推进既有建筑节能改造。推动商业和民用节能，推动宾馆、商厦开展照明、空调、电梯、冷藏及其他耗能设备节能</w:t>
      </w:r>
      <w:r>
        <w:rPr>
          <w:rFonts w:hint="default" w:ascii="Times New Roman" w:hAnsi="Times New Roman" w:eastAsia="仿宋" w:cs="Times New Roman"/>
          <w:color w:val="auto"/>
          <w:spacing w:val="0"/>
          <w:sz w:val="32"/>
          <w:highlight w:val="none"/>
        </w:rPr>
        <w:t>改造</w:t>
      </w:r>
      <w:r>
        <w:rPr>
          <w:rFonts w:hint="default" w:ascii="Times New Roman" w:hAnsi="Times New Roman" w:eastAsia="仿宋" w:cs="Times New Roman"/>
          <w:color w:val="auto"/>
          <w:sz w:val="32"/>
          <w:highlight w:val="none"/>
        </w:rPr>
        <w:t>，建设一批节能型商场和超市、绿色低碳宾馆和饭店。加强公共机构节能，加快公共机构节能改造，全面开展节约型机关创建活动。</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合理开发利用水资源。</w:t>
      </w:r>
      <w:r>
        <w:rPr>
          <w:rFonts w:hint="default" w:ascii="Times New Roman" w:hAnsi="Times New Roman" w:eastAsia="仿宋" w:cs="Times New Roman"/>
          <w:color w:val="auto"/>
          <w:sz w:val="32"/>
          <w:highlight w:val="none"/>
        </w:rPr>
        <w:t>深入推进节水工作，工业节水重点推广先进节水</w:t>
      </w:r>
      <w:r>
        <w:rPr>
          <w:rFonts w:hint="default" w:ascii="Times New Roman" w:hAnsi="Times New Roman" w:eastAsia="仿宋" w:cs="Times New Roman"/>
          <w:color w:val="auto"/>
          <w:spacing w:val="0"/>
          <w:sz w:val="32"/>
          <w:highlight w:val="none"/>
        </w:rPr>
        <w:t>技术</w:t>
      </w:r>
      <w:r>
        <w:rPr>
          <w:rFonts w:hint="default" w:ascii="Times New Roman" w:hAnsi="Times New Roman" w:eastAsia="仿宋" w:cs="Times New Roman"/>
          <w:color w:val="auto"/>
          <w:sz w:val="32"/>
          <w:highlight w:val="none"/>
        </w:rPr>
        <w:t>和节水工艺，提高工业用水的重复利用率。生活节水全面推广使用节水器具和设备。大力推进节水农业，实施高效节水改造。继续实施最严格的水资源管理制度，把水量与水质、地方管理与企业管理、点面源防治管理紧密结合起来，不断加强水资源保护与污染防治的集中管理，统一领导、统一监督</w:t>
      </w:r>
      <w:r>
        <w:rPr>
          <w:rFonts w:hint="default" w:ascii="Times New Roman" w:hAnsi="Times New Roman" w:eastAsia="仿宋" w:cs="Times New Roman"/>
          <w:color w:val="auto"/>
          <w:sz w:val="32"/>
          <w:highlight w:val="none"/>
          <w:lang w:eastAsia="zh-CN"/>
        </w:rPr>
        <w:t>、</w:t>
      </w:r>
      <w:r>
        <w:rPr>
          <w:rFonts w:hint="default" w:ascii="Times New Roman" w:hAnsi="Times New Roman" w:eastAsia="仿宋" w:cs="Times New Roman"/>
          <w:color w:val="auto"/>
          <w:sz w:val="32"/>
          <w:highlight w:val="none"/>
        </w:rPr>
        <w:t>统一监测。</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集约利用土地资源。</w:t>
      </w:r>
      <w:r>
        <w:rPr>
          <w:rFonts w:hint="default" w:ascii="Times New Roman" w:hAnsi="Times New Roman" w:eastAsia="仿宋" w:cs="Times New Roman"/>
          <w:color w:val="auto"/>
          <w:sz w:val="32"/>
          <w:highlight w:val="none"/>
        </w:rPr>
        <w:t>严格保护耕地和永久基本农田。统筹土地资源的开发利用和保护，节约集约利用土地，合理确定新增建设用地规模。加大闲置和低效利用土地整治力度，以旧厂房及“城中村”更新改造为重点，盘活城镇低效用地，增加城镇建设用地有效供给。优化工业用地资源配置，推广多层标准厂房，优先发展节地型工业产业。进一步优化城镇用地空间布局，加强对用地开发强度、土地投资强度等用地指标的整体控制。</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倡导绿色生产生活方式。</w:t>
      </w:r>
      <w:r>
        <w:rPr>
          <w:rFonts w:hint="default" w:ascii="Times New Roman" w:hAnsi="Times New Roman" w:eastAsia="仿宋" w:cs="Times New Roman"/>
          <w:color w:val="auto"/>
          <w:sz w:val="32"/>
          <w:highlight w:val="none"/>
        </w:rPr>
        <w:t>优化产业结构、能源结构、用地结构和农业投入结构，打造绿色低碳发展的经济体系。开展绿色生活创建活动，发展绿色交通和绿色建筑，推行垃圾分类和垃圾处理无害化、</w:t>
      </w:r>
      <w:r>
        <w:rPr>
          <w:rFonts w:hint="default" w:ascii="Times New Roman" w:hAnsi="Times New Roman" w:eastAsia="仿宋" w:cs="Times New Roman"/>
          <w:color w:val="auto"/>
          <w:spacing w:val="0"/>
          <w:sz w:val="32"/>
          <w:highlight w:val="none"/>
        </w:rPr>
        <w:t>减量化</w:t>
      </w:r>
      <w:r>
        <w:rPr>
          <w:rFonts w:hint="default" w:ascii="Times New Roman" w:hAnsi="Times New Roman" w:eastAsia="仿宋" w:cs="Times New Roman"/>
          <w:color w:val="auto"/>
          <w:sz w:val="32"/>
          <w:highlight w:val="none"/>
        </w:rPr>
        <w:t>、资源化，加快构建废旧物资循环利用体系。推进廊道绿化、乡村绿化和庭院绿化工作，</w:t>
      </w:r>
      <w:r>
        <w:rPr>
          <w:rFonts w:hint="eastAsia" w:eastAsia="仿宋" w:cs="Times New Roman"/>
          <w:color w:val="auto"/>
          <w:sz w:val="32"/>
          <w:highlight w:val="none"/>
          <w:lang w:val="en-US" w:eastAsia="zh-CN"/>
        </w:rPr>
        <w:t>优化生产生活环境</w:t>
      </w:r>
      <w:r>
        <w:rPr>
          <w:rFonts w:hint="default" w:ascii="Times New Roman" w:hAnsi="Times New Roman" w:eastAsia="仿宋" w:cs="Times New Roman"/>
          <w:color w:val="auto"/>
          <w:sz w:val="32"/>
          <w:highlight w:val="none"/>
        </w:rPr>
        <w:t>，共享生态文明建设成果。</w:t>
      </w:r>
    </w:p>
    <w:p>
      <w:pPr>
        <w:pStyle w:val="4"/>
        <w:keepNext/>
        <w:keepLines/>
        <w:pageBreakBefore w:val="0"/>
        <w:widowControl w:val="0"/>
        <w:kinsoku/>
        <w:wordWrap/>
        <w:overflowPunct/>
        <w:topLinePunct w:val="0"/>
        <w:autoSpaceDE/>
        <w:autoSpaceDN/>
        <w:bidi w:val="0"/>
        <w:adjustRightInd/>
        <w:snapToGrid/>
        <w:spacing w:before="292" w:beforeLines="50" w:after="292" w:afterLines="50" w:line="240" w:lineRule="auto"/>
        <w:textAlignment w:val="auto"/>
        <w:rPr>
          <w:rFonts w:hint="default" w:ascii="Times New Roman" w:hAnsi="Times New Roman" w:eastAsia="黑体" w:cs="Times New Roman"/>
          <w:color w:val="auto"/>
          <w:sz w:val="32"/>
          <w:szCs w:val="32"/>
          <w:highlight w:val="none"/>
        </w:rPr>
      </w:pPr>
      <w:bookmarkStart w:id="120" w:name="_Toc9925"/>
      <w:bookmarkStart w:id="121" w:name="_Toc29748"/>
      <w:r>
        <w:rPr>
          <w:rFonts w:hint="default" w:ascii="Times New Roman" w:hAnsi="Times New Roman" w:eastAsia="黑体" w:cs="Times New Roman"/>
          <w:color w:val="auto"/>
          <w:sz w:val="32"/>
          <w:szCs w:val="32"/>
          <w:highlight w:val="none"/>
        </w:rPr>
        <w:fldChar w:fldCharType="begin"/>
      </w:r>
      <w:r>
        <w:rPr>
          <w:rFonts w:hint="default" w:ascii="Times New Roman" w:hAnsi="Times New Roman" w:eastAsia="黑体" w:cs="Times New Roman"/>
          <w:color w:val="auto"/>
          <w:sz w:val="32"/>
          <w:szCs w:val="32"/>
          <w:highlight w:val="none"/>
        </w:rPr>
        <w:instrText xml:space="preserve"> HYPERLINK \l "_Toc52057039" </w:instrText>
      </w:r>
      <w:r>
        <w:rPr>
          <w:rFonts w:hint="default"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rPr>
        <w:t>第十章 持续增进民生福祉</w:t>
      </w:r>
      <w:r>
        <w:rPr>
          <w:rFonts w:hint="default" w:ascii="Times New Roman" w:hAnsi="Times New Roman" w:eastAsia="黑体" w:cs="Times New Roman"/>
          <w:color w:val="auto"/>
          <w:sz w:val="32"/>
          <w:szCs w:val="32"/>
          <w:highlight w:val="none"/>
        </w:rPr>
        <w:fldChar w:fldCharType="end"/>
      </w:r>
      <w:bookmarkEnd w:id="120"/>
      <w:bookmarkEnd w:id="121"/>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坚持尽力而为、量力而行，积极办好普惠性、基础性、兜底性民生实事，扎实</w:t>
      </w:r>
      <w:r>
        <w:rPr>
          <w:rFonts w:hint="default" w:ascii="Times New Roman" w:hAnsi="Times New Roman" w:eastAsia="仿宋" w:cs="Times New Roman"/>
          <w:color w:val="auto"/>
          <w:spacing w:val="0"/>
          <w:sz w:val="32"/>
          <w:highlight w:val="none"/>
        </w:rPr>
        <w:t>推动</w:t>
      </w:r>
      <w:r>
        <w:rPr>
          <w:rFonts w:hint="default" w:ascii="Times New Roman" w:hAnsi="Times New Roman" w:eastAsia="仿宋" w:cs="Times New Roman"/>
          <w:color w:val="auto"/>
          <w:sz w:val="32"/>
          <w:highlight w:val="none"/>
        </w:rPr>
        <w:t>共同富裕，让人民群众的获得感更足、幸福感更可持续、安全感更有保障。</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22" w:name="_Toc29977"/>
      <w:bookmarkStart w:id="123" w:name="_Toc29132"/>
      <w:r>
        <w:rPr>
          <w:rFonts w:hint="default" w:ascii="Times New Roman" w:hAnsi="Times New Roman" w:eastAsia="楷体_GB2312" w:cs="Times New Roman"/>
          <w:snapToGrid w:val="0"/>
          <w:color w:val="auto"/>
          <w:spacing w:val="0"/>
          <w:sz w:val="32"/>
          <w:szCs w:val="32"/>
          <w:highlight w:val="none"/>
        </w:rPr>
        <w:t>第一节 促进更高质量更充分就业</w:t>
      </w:r>
      <w:bookmarkEnd w:id="122"/>
      <w:bookmarkEnd w:id="12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落实就业优先战略，健全自主择业、市场调节就业、政府促进就业相结合的机制，千方百计稳定和扩大就业。</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fldChar w:fldCharType="begin"/>
      </w:r>
      <w:r>
        <w:rPr>
          <w:rFonts w:hint="default" w:ascii="Times New Roman" w:hAnsi="Times New Roman" w:eastAsia="仿宋" w:cs="Times New Roman"/>
          <w:b/>
          <w:bCs/>
          <w:color w:val="auto"/>
          <w:sz w:val="32"/>
          <w:highlight w:val="none"/>
        </w:rPr>
        <w:instrText xml:space="preserve"> HYPERLINK \l "_Toc52057041" </w:instrText>
      </w:r>
      <w:r>
        <w:rPr>
          <w:rFonts w:hint="default" w:ascii="Times New Roman" w:hAnsi="Times New Roman" w:eastAsia="仿宋" w:cs="Times New Roman"/>
          <w:b/>
          <w:bCs/>
          <w:color w:val="auto"/>
          <w:sz w:val="32"/>
          <w:highlight w:val="none"/>
        </w:rPr>
        <w:fldChar w:fldCharType="separate"/>
      </w:r>
      <w:r>
        <w:rPr>
          <w:rFonts w:hint="default" w:ascii="Times New Roman" w:hAnsi="Times New Roman" w:eastAsia="仿宋" w:cs="Times New Roman"/>
          <w:b/>
          <w:bCs/>
          <w:color w:val="auto"/>
          <w:sz w:val="32"/>
          <w:highlight w:val="none"/>
        </w:rPr>
        <w:t>积极拓展就业</w:t>
      </w:r>
      <w:r>
        <w:rPr>
          <w:rFonts w:hint="default" w:ascii="Times New Roman" w:hAnsi="Times New Roman" w:eastAsia="仿宋" w:cs="Times New Roman"/>
          <w:b/>
          <w:bCs/>
          <w:color w:val="auto"/>
          <w:sz w:val="32"/>
          <w:highlight w:val="none"/>
        </w:rPr>
        <w:fldChar w:fldCharType="end"/>
      </w:r>
      <w:r>
        <w:rPr>
          <w:rFonts w:hint="default" w:ascii="Times New Roman" w:hAnsi="Times New Roman" w:eastAsia="仿宋" w:cs="Times New Roman"/>
          <w:b/>
          <w:bCs/>
          <w:color w:val="auto"/>
          <w:sz w:val="32"/>
          <w:highlight w:val="none"/>
        </w:rPr>
        <w:t>空间。</w:t>
      </w:r>
      <w:r>
        <w:rPr>
          <w:rFonts w:hint="default" w:ascii="Times New Roman" w:hAnsi="Times New Roman" w:eastAsia="仿宋" w:cs="Times New Roman"/>
          <w:color w:val="auto"/>
          <w:sz w:val="32"/>
          <w:highlight w:val="none"/>
        </w:rPr>
        <w:t>坚持分类施策，提高劳动参与率，着力培养新的就业增长点，扩大城镇就业规模，统筹城乡就业，保持就业局势稳定。应用全省统一的互联网+就业创业信息系统，构建覆盖城乡的公共就业创业服务平台。“十四五”期间，力争实现新增城镇就业人数2.9万人以上，城镇失业人员再就业人数0.9万人以上，就业困难人员实现再就业人数0.4万人以上，农村劳动力转移就业累计4万人以上，城镇登记失业率控制在4%以内。</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实施更加积极的就业政策。</w:t>
      </w:r>
      <w:r>
        <w:rPr>
          <w:rFonts w:hint="default" w:ascii="Times New Roman" w:hAnsi="Times New Roman" w:eastAsia="仿宋" w:cs="Times New Roman"/>
          <w:color w:val="auto"/>
          <w:sz w:val="32"/>
          <w:highlight w:val="none"/>
        </w:rPr>
        <w:t>加强就业政策与财税、金融、产业以及教育、社会保障等政策的衔接。</w:t>
      </w:r>
      <w:r>
        <w:rPr>
          <w:rFonts w:hint="default" w:ascii="Times New Roman" w:hAnsi="Times New Roman" w:eastAsia="仿宋" w:cs="Times New Roman"/>
          <w:color w:val="auto"/>
          <w:spacing w:val="0"/>
          <w:sz w:val="32"/>
          <w:highlight w:val="none"/>
        </w:rPr>
        <w:t>围绕</w:t>
      </w:r>
      <w:r>
        <w:rPr>
          <w:rFonts w:hint="default" w:ascii="Times New Roman" w:hAnsi="Times New Roman" w:eastAsia="仿宋" w:cs="Times New Roman"/>
          <w:color w:val="auto"/>
          <w:sz w:val="32"/>
          <w:highlight w:val="none"/>
        </w:rPr>
        <w:t>解决结构性就业矛盾、鼓励劳动者自主创业、提高就业质量，进一步完善积极的就业创业政策，加强对灵活就业、新就业形态的政策支持，促进多种形式就业，支持企业吸纳重点群体就业。建立完善失业动态监测，适时发布预警信息和启动应急预案。</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促进以创业带动就业。</w:t>
      </w:r>
      <w:r>
        <w:rPr>
          <w:rFonts w:hint="default" w:ascii="Times New Roman" w:hAnsi="Times New Roman" w:eastAsia="仿宋" w:cs="Times New Roman"/>
          <w:color w:val="auto"/>
          <w:sz w:val="32"/>
          <w:highlight w:val="none"/>
        </w:rPr>
        <w:t>深入开展大众创业，万众创新，加强“返乡创业服务站”建设，完善服务功能，为返乡创业提供便利。解决劳动者创业过程中融资难、税负重、门槛高等问题，使民营经济和小微企业成为巨大的“就业容纳器”。加大创业资金支持，拓宽创业投融资渠道，及时兑现一次性创业补贴、创业岗位开发补贴和创业担保贷款贴息等。加强德鑫双创空间等创业孵化基地、创业园区和众创空间等新型创业平台建设。“十四五”期间，力争发放政府贴息创业担保贷款9000万元以上，其中返乡农民工创业贷款发放7000万元以上，带动就业2500人以上。</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统筹做好重点群体就业。</w:t>
      </w:r>
      <w:r>
        <w:rPr>
          <w:rFonts w:hint="default" w:ascii="Times New Roman" w:hAnsi="Times New Roman" w:eastAsia="仿宋" w:cs="Times New Roman"/>
          <w:color w:val="auto"/>
          <w:sz w:val="32"/>
          <w:highlight w:val="none"/>
        </w:rPr>
        <w:t>继续把高校毕业生就业摆在首位，深入实施离校毕业生就业促进和创业引领计划，加强就业指导和就业见习。健全高校毕业生到基层</w:t>
      </w:r>
      <w:r>
        <w:rPr>
          <w:rFonts w:hint="default" w:ascii="Times New Roman" w:hAnsi="Times New Roman" w:eastAsia="仿宋" w:cs="Times New Roman"/>
          <w:color w:val="auto"/>
          <w:spacing w:val="0"/>
          <w:sz w:val="32"/>
          <w:highlight w:val="none"/>
        </w:rPr>
        <w:t>工作</w:t>
      </w:r>
      <w:r>
        <w:rPr>
          <w:rFonts w:hint="default" w:ascii="Times New Roman" w:hAnsi="Times New Roman" w:eastAsia="仿宋" w:cs="Times New Roman"/>
          <w:color w:val="auto"/>
          <w:sz w:val="32"/>
          <w:highlight w:val="none"/>
        </w:rPr>
        <w:t>的服务保障机制，参与实施高校毕业生基层培养计划。实施再就业帮扶行动，做好化解过剩产能中职工安置工作。统筹城乡就业，健全完善城乡劳动者平等就业制度，促进农村劳动力转移就业和外出务工人员返乡创业。加强对就业困难人员的就业援助，规范公益岗位开发和管理，对就业困难人员实行实名制动态管理和分类帮扶，确保零就业家庭、最低生活保障家庭等困难家庭至少一人实现就业。</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完善人力资源市场机制。</w:t>
      </w:r>
      <w:r>
        <w:rPr>
          <w:rFonts w:hint="default" w:ascii="Times New Roman" w:hAnsi="Times New Roman" w:eastAsia="仿宋" w:cs="Times New Roman"/>
          <w:color w:val="auto"/>
          <w:sz w:val="32"/>
          <w:highlight w:val="none"/>
        </w:rPr>
        <w:t>完善</w:t>
      </w:r>
      <w:r>
        <w:rPr>
          <w:rFonts w:hint="default" w:ascii="Times New Roman" w:hAnsi="Times New Roman" w:eastAsia="仿宋" w:cs="Times New Roman"/>
          <w:color w:val="auto"/>
          <w:spacing w:val="0"/>
          <w:sz w:val="32"/>
          <w:highlight w:val="none"/>
        </w:rPr>
        <w:t>人力</w:t>
      </w:r>
      <w:r>
        <w:rPr>
          <w:rFonts w:hint="default" w:ascii="Times New Roman" w:hAnsi="Times New Roman" w:eastAsia="仿宋" w:cs="Times New Roman"/>
          <w:color w:val="auto"/>
          <w:sz w:val="32"/>
          <w:highlight w:val="none"/>
        </w:rPr>
        <w:t>资源市场管理制度，建立统一规范的人力资源市场。增强劳动力市场灵活性，促进劳动力在地区、行业、企业之间自由流动。推进人力资源市场诚信体系和标准化建设。规范招人用人制度，消除影响平等就业的制度障碍和就业歧视。大力发展人力资源服务业，规范就业中介服务，加强从业人员职业培训。支持人力资源服务机构推进管理创新、服务创新和产品创新，支持行业协会建设，促进政府、协会、市场主体之间的良性互动。</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强化职业技能培训。</w:t>
      </w:r>
      <w:r>
        <w:rPr>
          <w:rFonts w:hint="default" w:ascii="Times New Roman" w:hAnsi="Times New Roman" w:eastAsia="仿宋" w:cs="Times New Roman"/>
          <w:color w:val="auto"/>
          <w:sz w:val="32"/>
          <w:highlight w:val="none"/>
        </w:rPr>
        <w:t>推行职业技能培训制度，构建覆盖城乡全体劳动者、贯穿劳动者学习工作终身、适应劳动者和市场需求的职业培训制度，完善市场配置资源、劳动者自主选择、政府购买服务和依法监管的职业培训工作机制。进一步改革完善职业资格制度，规范职业资格管理，畅通</w:t>
      </w:r>
      <w:r>
        <w:rPr>
          <w:rFonts w:hint="default" w:ascii="Times New Roman" w:hAnsi="Times New Roman" w:eastAsia="仿宋" w:cs="Times New Roman"/>
          <w:color w:val="auto"/>
          <w:spacing w:val="0"/>
          <w:sz w:val="32"/>
          <w:highlight w:val="none"/>
        </w:rPr>
        <w:t>劳动者</w:t>
      </w:r>
      <w:r>
        <w:rPr>
          <w:rFonts w:hint="default" w:ascii="Times New Roman" w:hAnsi="Times New Roman" w:eastAsia="仿宋" w:cs="Times New Roman"/>
          <w:color w:val="auto"/>
          <w:sz w:val="32"/>
          <w:highlight w:val="none"/>
        </w:rPr>
        <w:t>职业技能发展通道。对贫困家庭子女、未升学初高中毕业生、农民工、失业人员等实行免费职业培训。 “十四五”期间，力争职业技能培训3000人，重点扶植1-2所民办培训机构。</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24" w:name="_Toc13795"/>
      <w:bookmarkStart w:id="125" w:name="_Toc20108"/>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 HYPERLINK \l "_Toc52057042" </w:instrText>
      </w:r>
      <w:r>
        <w:rPr>
          <w:rFonts w:hint="default" w:ascii="Times New Roman" w:hAnsi="Times New Roman" w:eastAsia="楷体_GB2312" w:cs="Times New Roman"/>
          <w:snapToGrid w:val="0"/>
          <w:color w:val="auto"/>
          <w:spacing w:val="0"/>
          <w:sz w:val="32"/>
          <w:szCs w:val="32"/>
          <w:highlight w:val="none"/>
        </w:rPr>
        <w:fldChar w:fldCharType="separate"/>
      </w:r>
      <w:r>
        <w:rPr>
          <w:rFonts w:hint="default" w:ascii="Times New Roman" w:hAnsi="Times New Roman" w:eastAsia="楷体_GB2312" w:cs="Times New Roman"/>
          <w:snapToGrid w:val="0"/>
          <w:color w:val="auto"/>
          <w:spacing w:val="0"/>
          <w:sz w:val="32"/>
          <w:szCs w:val="32"/>
          <w:highlight w:val="none"/>
        </w:rPr>
        <w:t>第二节 加快推进教育现代化进程</w:t>
      </w:r>
      <w:r>
        <w:rPr>
          <w:rFonts w:hint="default" w:ascii="Times New Roman" w:hAnsi="Times New Roman" w:eastAsia="楷体_GB2312" w:cs="Times New Roman"/>
          <w:snapToGrid w:val="0"/>
          <w:color w:val="auto"/>
          <w:spacing w:val="0"/>
          <w:sz w:val="32"/>
          <w:szCs w:val="32"/>
          <w:highlight w:val="none"/>
        </w:rPr>
        <w:fldChar w:fldCharType="end"/>
      </w:r>
      <w:bookmarkEnd w:id="124"/>
      <w:bookmarkEnd w:id="125"/>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全面贯彻党的教育方针，落实立德树人根本任务，加快推进义务教育向高位、优质均衡发展，</w:t>
      </w:r>
      <w:r>
        <w:rPr>
          <w:rFonts w:hint="default" w:ascii="Times New Roman" w:hAnsi="Times New Roman" w:eastAsia="仿宋" w:cs="Times New Roman"/>
          <w:color w:val="auto"/>
          <w:spacing w:val="0"/>
          <w:sz w:val="32"/>
          <w:highlight w:val="none"/>
        </w:rPr>
        <w:t>建设</w:t>
      </w:r>
      <w:r>
        <w:rPr>
          <w:rFonts w:hint="default" w:ascii="Times New Roman" w:hAnsi="Times New Roman" w:eastAsia="仿宋" w:cs="Times New Roman"/>
          <w:color w:val="auto"/>
          <w:sz w:val="32"/>
          <w:highlight w:val="none"/>
        </w:rPr>
        <w:t>教育强区和全市基础教育质量高地，努力办出新时代人民满意的教育。</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rPr>
        <w:t>普及学前教育。</w:t>
      </w:r>
      <w:r>
        <w:rPr>
          <w:rFonts w:hint="default" w:ascii="Times New Roman" w:hAnsi="Times New Roman" w:eastAsia="仿宋" w:cs="Times New Roman"/>
          <w:color w:val="auto"/>
          <w:sz w:val="32"/>
          <w:highlight w:val="none"/>
        </w:rPr>
        <w:t>推进学前教育发展，补齐学前教育短板，构建以公益性、普惠性为主的学前教育公共服务体系。精心实施学前教育三年行动计划，严格落实城区新建小区配建幼儿园制度，推进健宏社区幼儿园等公办幼儿园建设，扩大普惠性公办幼儿园覆盖面，切实解决“入园难”问题。到“十四五”末，学前三年毛入园率达到97%以上；学前一年毛入园率超过99%；普惠性幼儿园达到85%以上。</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推动义务教育均等化。</w:t>
      </w:r>
      <w:r>
        <w:rPr>
          <w:rFonts w:hint="default" w:ascii="Times New Roman" w:hAnsi="Times New Roman" w:eastAsia="仿宋" w:cs="Times New Roman"/>
          <w:color w:val="auto"/>
          <w:spacing w:val="0"/>
          <w:sz w:val="32"/>
          <w:highlight w:val="none"/>
        </w:rPr>
        <w:t>巩固义务教育发展成果，均衡配置教育资源，实现区域内义务教育优质均衡发展。落实住宅建设项目配建义务教育学校政策，推进新丰小学等项目建设，进一步扩充公办学位数量。优化资源配置，</w:t>
      </w:r>
      <w:r>
        <w:rPr>
          <w:rFonts w:hint="default" w:ascii="Times New Roman" w:hAnsi="Times New Roman" w:eastAsia="仿宋" w:cs="Times New Roman"/>
          <w:color w:val="auto"/>
          <w:spacing w:val="0"/>
          <w:sz w:val="32"/>
          <w:highlight w:val="none"/>
          <w:lang w:val="en-US" w:eastAsia="zh-CN"/>
        </w:rPr>
        <w:t>逐</w:t>
      </w:r>
      <w:r>
        <w:rPr>
          <w:rFonts w:hint="default" w:ascii="Times New Roman" w:hAnsi="Times New Roman" w:eastAsia="仿宋" w:cs="Times New Roman"/>
          <w:color w:val="auto"/>
          <w:spacing w:val="0"/>
          <w:sz w:val="32"/>
          <w:highlight w:val="none"/>
        </w:rPr>
        <w:t>步缩小城乡、校际差距。加快信息化建设，重点由基础设施配套向硬件装备转移，配置先进教学设施。小学适龄儿童入学率保持100%，巩固率保持100%；初中适龄少年入学率保持100%，初中巩固率保持在98%以上，辍学率控制在1%以内。至“十四五”末，区属学校全部消除56人以上大班额；光纤接入覆盖率达到100%。</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加强教师队伍建设。</w:t>
      </w:r>
      <w:r>
        <w:rPr>
          <w:rFonts w:hint="default" w:ascii="Times New Roman" w:hAnsi="Times New Roman" w:eastAsia="仿宋" w:cs="Times New Roman"/>
          <w:color w:val="auto"/>
          <w:spacing w:val="0"/>
          <w:sz w:val="32"/>
          <w:highlight w:val="none"/>
        </w:rPr>
        <w:t>强化师德师风建设，提升教师教书育人能力素质。精心实施名师培育计划，全面提升教师职业素质和专业能力，健全完善教师校长培训机制。鼓励教师在实践中大胆探索，创新教育教学模式，造就一支高素质教师队伍。到“十四五”末，培养省市级名师 10 人，省市级骨干教师40 人。</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持续深化教育改革。</w:t>
      </w:r>
      <w:r>
        <w:rPr>
          <w:rFonts w:hint="default" w:ascii="Times New Roman" w:hAnsi="Times New Roman" w:eastAsia="仿宋" w:cs="Times New Roman"/>
          <w:color w:val="auto"/>
          <w:spacing w:val="0"/>
          <w:sz w:val="32"/>
          <w:highlight w:val="none"/>
        </w:rPr>
        <w:t>健全学校家庭社会协同育人机制，增强学生文明素质、社会责任和实践本领，重视青少年身体素质和心理健康教育。支持民办教育发展，规范校外培训机构，加快书香卫滨、学习型卫滨建设，为形成全民学习、终身学习的学习型社会创造条件。</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26" w:name="_Toc18488"/>
      <w:bookmarkStart w:id="127" w:name="_Toc10762"/>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 HYPERLINK \l "_Toc52057045" </w:instrText>
      </w:r>
      <w:r>
        <w:rPr>
          <w:rFonts w:hint="default" w:ascii="Times New Roman" w:hAnsi="Times New Roman" w:eastAsia="楷体_GB2312" w:cs="Times New Roman"/>
          <w:snapToGrid w:val="0"/>
          <w:color w:val="auto"/>
          <w:spacing w:val="0"/>
          <w:sz w:val="32"/>
          <w:szCs w:val="32"/>
          <w:highlight w:val="none"/>
        </w:rPr>
        <w:fldChar w:fldCharType="separate"/>
      </w:r>
      <w:r>
        <w:rPr>
          <w:rFonts w:hint="default" w:ascii="Times New Roman" w:hAnsi="Times New Roman" w:eastAsia="楷体_GB2312" w:cs="Times New Roman"/>
          <w:snapToGrid w:val="0"/>
          <w:color w:val="auto"/>
          <w:spacing w:val="0"/>
          <w:sz w:val="32"/>
          <w:szCs w:val="32"/>
          <w:highlight w:val="none"/>
        </w:rPr>
        <w:t>第三节 健全多层次社会保障体系</w:t>
      </w:r>
      <w:r>
        <w:rPr>
          <w:rFonts w:hint="default" w:ascii="Times New Roman" w:hAnsi="Times New Roman" w:eastAsia="楷体_GB2312" w:cs="Times New Roman"/>
          <w:snapToGrid w:val="0"/>
          <w:color w:val="auto"/>
          <w:spacing w:val="0"/>
          <w:sz w:val="32"/>
          <w:szCs w:val="32"/>
          <w:highlight w:val="none"/>
        </w:rPr>
        <w:fldChar w:fldCharType="end"/>
      </w:r>
      <w:bookmarkEnd w:id="126"/>
      <w:bookmarkEnd w:id="12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z w:val="32"/>
          <w:highlight w:val="none"/>
          <w:shd w:val="clear" w:color="auto" w:fill="FFFFFF"/>
        </w:rPr>
      </w:pPr>
      <w:r>
        <w:rPr>
          <w:rFonts w:hint="default" w:ascii="Times New Roman" w:hAnsi="Times New Roman" w:eastAsia="仿宋" w:cs="Times New Roman"/>
          <w:color w:val="auto"/>
          <w:kern w:val="2"/>
          <w:sz w:val="32"/>
          <w:highlight w:val="none"/>
        </w:rPr>
        <w:t>坚持</w:t>
      </w:r>
      <w:r>
        <w:rPr>
          <w:rFonts w:hint="default" w:ascii="Times New Roman" w:hAnsi="Times New Roman" w:eastAsia="仿宋" w:cs="Times New Roman"/>
          <w:color w:val="auto"/>
          <w:sz w:val="32"/>
          <w:highlight w:val="none"/>
        </w:rPr>
        <w:t>“</w:t>
      </w:r>
      <w:r>
        <w:rPr>
          <w:rFonts w:hint="default" w:ascii="Times New Roman" w:hAnsi="Times New Roman" w:eastAsia="仿宋" w:cs="Times New Roman"/>
          <w:color w:val="auto"/>
          <w:kern w:val="2"/>
          <w:sz w:val="32"/>
          <w:highlight w:val="none"/>
        </w:rPr>
        <w:t>全覆盖、保基本、多层次、可持续</w:t>
      </w:r>
      <w:r>
        <w:rPr>
          <w:rFonts w:hint="default" w:ascii="Times New Roman" w:hAnsi="Times New Roman" w:eastAsia="仿宋" w:cs="Times New Roman"/>
          <w:color w:val="auto"/>
          <w:sz w:val="32"/>
          <w:highlight w:val="none"/>
        </w:rPr>
        <w:t>”</w:t>
      </w:r>
      <w:r>
        <w:rPr>
          <w:rFonts w:hint="default" w:ascii="Times New Roman" w:hAnsi="Times New Roman" w:eastAsia="仿宋" w:cs="Times New Roman"/>
          <w:color w:val="auto"/>
          <w:kern w:val="2"/>
          <w:sz w:val="32"/>
          <w:highlight w:val="none"/>
        </w:rPr>
        <w:t>的方针，覆盖全民、统筹城乡、公平统一、可</w:t>
      </w:r>
      <w:r>
        <w:rPr>
          <w:rFonts w:hint="default" w:ascii="Times New Roman" w:hAnsi="Times New Roman" w:eastAsia="仿宋" w:cs="Times New Roman"/>
          <w:color w:val="auto"/>
          <w:spacing w:val="0"/>
          <w:sz w:val="32"/>
          <w:highlight w:val="none"/>
        </w:rPr>
        <w:t>持续</w:t>
      </w:r>
      <w:r>
        <w:rPr>
          <w:rFonts w:hint="default" w:ascii="Times New Roman" w:hAnsi="Times New Roman" w:eastAsia="仿宋" w:cs="Times New Roman"/>
          <w:color w:val="auto"/>
          <w:kern w:val="2"/>
          <w:sz w:val="32"/>
          <w:highlight w:val="none"/>
        </w:rPr>
        <w:t>的多层次社会保障体系。</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lang w:bidi="ar"/>
        </w:rPr>
        <w:t>完善社会保障制度体系。</w:t>
      </w:r>
      <w:r>
        <w:rPr>
          <w:rFonts w:hint="default" w:ascii="Times New Roman" w:hAnsi="Times New Roman" w:eastAsia="仿宋" w:cs="Times New Roman"/>
          <w:color w:val="auto"/>
          <w:sz w:val="32"/>
          <w:highlight w:val="none"/>
        </w:rPr>
        <w:t>巩固提高全民参保计划，促进和引导各类单位和符合条件的人员长期持续参保。对各类人员参加社会保险情况进行全程跟踪，实现源头管理和精确管理。完善社会统筹与个人账户相结合的职工</w:t>
      </w:r>
      <w:r>
        <w:rPr>
          <w:rFonts w:hint="default" w:ascii="Times New Roman" w:hAnsi="Times New Roman" w:eastAsia="仿宋" w:cs="Times New Roman"/>
          <w:color w:val="auto"/>
          <w:spacing w:val="0"/>
          <w:sz w:val="32"/>
          <w:highlight w:val="none"/>
        </w:rPr>
        <w:t>基本</w:t>
      </w:r>
      <w:r>
        <w:rPr>
          <w:rFonts w:hint="default" w:ascii="Times New Roman" w:hAnsi="Times New Roman" w:eastAsia="仿宋" w:cs="Times New Roman"/>
          <w:color w:val="auto"/>
          <w:sz w:val="32"/>
          <w:highlight w:val="none"/>
        </w:rPr>
        <w:t>养老保险制度和个人账户制度，积极做好基础养老金全国统筹工作。持续做好城乡居民基本养老保险工作，逐步提高城乡居民养老保险金待遇水平。稳步推进机关事业单位养老保险制度改革。规范基本养老保险缴费政策，完善缴费激励约束机制。完善失业保险制度，建立失业保险金标准与最低工资标准挂钩联动制度。</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lang w:bidi="ar"/>
        </w:rPr>
        <w:t>完善劳动人事争议处理机制。</w:t>
      </w:r>
      <w:r>
        <w:rPr>
          <w:rFonts w:hint="default" w:ascii="Times New Roman" w:hAnsi="Times New Roman" w:eastAsia="仿宋" w:cs="Times New Roman"/>
          <w:color w:val="auto"/>
          <w:sz w:val="32"/>
          <w:highlight w:val="none"/>
        </w:rPr>
        <w:t>完善劳动人事争议调解制度，加强专业性劳动人事争议调解工作，加大基层调解规范化建设力度，完善劳动人事争议多元处理机制。加强劳动人事争议预防调解示范工作，提升调解工作规范化水平。完善劳动人事争议仲裁制度，创新仲裁办案方式，优化仲裁办案程序，建立健全案件分类处理制度，依法加大先行裁决、先予执行裁决力度。完善集体劳动人事权利争议处理机制。加大仲裁办案指导力度，健全裁审衔接与工作协调机制，提高争议处理效能。依托协调劳动关系三方机制完善协调处理集体协商争议的办法，有效调处因签订集体合同发生的争议和集体停工事件。</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lang w:bidi="ar"/>
        </w:rPr>
        <w:t>加强劳动保障监察执法。</w:t>
      </w:r>
      <w:r>
        <w:rPr>
          <w:rFonts w:hint="default" w:ascii="Times New Roman" w:hAnsi="Times New Roman" w:eastAsia="仿宋" w:cs="Times New Roman"/>
          <w:color w:val="auto"/>
          <w:sz w:val="32"/>
          <w:highlight w:val="none"/>
        </w:rPr>
        <w:t>加强劳动保障监察执法能力建设，健全劳动保障监察工作体系，理清层级职责。发挥劳动保障监察“网格化、网络化”的作用，落实随机抽取检查对象、随机选派执法检查人员的“双随机”监督检查制度。完善劳动保障监察执法程序，全面落实执法责任制，健全劳动保障监察执法长效机制。健全完善监察执法与刑事司法衔接机制，严厉打击拒不支付劳动报酬等违法犯罪行为。建立健全劳动保障守信激励和失信惩戒机制，建立企业劳动保障诚信等级评价和重大违法行为社会公布制度，健全用人单位劳动保障守法诚信档案。</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kern w:val="2"/>
          <w:sz w:val="32"/>
          <w:highlight w:val="none"/>
        </w:rPr>
      </w:pPr>
      <w:r>
        <w:rPr>
          <w:rFonts w:hint="default" w:ascii="Times New Roman" w:hAnsi="Times New Roman" w:eastAsia="仿宋" w:cs="Times New Roman"/>
          <w:b/>
          <w:bCs/>
          <w:color w:val="auto"/>
          <w:sz w:val="32"/>
          <w:highlight w:val="none"/>
          <w:lang w:bidi="ar"/>
        </w:rPr>
        <w:t>完善社会福利网络。</w:t>
      </w:r>
      <w:r>
        <w:rPr>
          <w:rFonts w:hint="default" w:ascii="Times New Roman" w:hAnsi="Times New Roman" w:eastAsia="仿宋" w:cs="Times New Roman"/>
          <w:color w:val="auto"/>
          <w:kern w:val="2"/>
          <w:sz w:val="32"/>
          <w:highlight w:val="none"/>
        </w:rPr>
        <w:t>强化兜底保障，构建以最低生活保障为基础，各类专项救助和临时救助为辅助、社会力量共同参与的社会救助综合体系。统筹推进扶老、助残、救孤、济困、优抚等福利事业发展。建立健全社会救助与社会保险、人道救助、慈善救助、扶贫政策等有效衔接机制，鼓励社会力量提供就业指导、技能培训、创业支持、法律援助等救助服务，积极开展志愿服务活动。健全困境儿童、高龄和失能老人、重度和贫困残疾人福利保障制度和服务体系。支持残疾人</w:t>
      </w:r>
      <w:r>
        <w:rPr>
          <w:rFonts w:hint="default" w:ascii="Times New Roman" w:hAnsi="Times New Roman" w:eastAsia="仿宋" w:cs="Times New Roman"/>
          <w:color w:val="auto"/>
          <w:spacing w:val="0"/>
          <w:sz w:val="32"/>
          <w:highlight w:val="none"/>
        </w:rPr>
        <w:t>事业</w:t>
      </w:r>
      <w:r>
        <w:rPr>
          <w:rFonts w:hint="default" w:ascii="Times New Roman" w:hAnsi="Times New Roman" w:eastAsia="仿宋" w:cs="Times New Roman"/>
          <w:color w:val="auto"/>
          <w:kern w:val="2"/>
          <w:sz w:val="32"/>
          <w:highlight w:val="none"/>
        </w:rPr>
        <w:t>发展，落实残疾人基本社会保障，建立完善残疾人康复救助体制，促进残疾人就业，健全残疾人服务体系，增强全社会扶残助残意识。积极发展慈善事业，落实鼓励回馈社会、扶贫济困的税收政策，扎实开展社会救济和“点对点”式社会互助、志愿服务活动。</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28" w:name="_Toc14808"/>
      <w:bookmarkStart w:id="129" w:name="_Toc15483"/>
      <w:r>
        <w:rPr>
          <w:rFonts w:hint="default" w:ascii="Times New Roman" w:hAnsi="Times New Roman" w:eastAsia="楷体_GB2312" w:cs="Times New Roman"/>
          <w:snapToGrid w:val="0"/>
          <w:color w:val="auto"/>
          <w:spacing w:val="0"/>
          <w:sz w:val="32"/>
          <w:szCs w:val="32"/>
          <w:highlight w:val="none"/>
        </w:rPr>
        <w:t>第四节 增进人民卫生健康福祉</w:t>
      </w:r>
      <w:bookmarkEnd w:id="128"/>
      <w:bookmarkEnd w:id="12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kern w:val="2"/>
          <w:sz w:val="32"/>
          <w:highlight w:val="none"/>
        </w:rPr>
      </w:pPr>
      <w:r>
        <w:rPr>
          <w:rFonts w:hint="default" w:ascii="Times New Roman" w:hAnsi="Times New Roman" w:eastAsia="仿宋" w:cs="Times New Roman"/>
          <w:color w:val="auto"/>
          <w:kern w:val="2"/>
          <w:sz w:val="32"/>
          <w:highlight w:val="none"/>
        </w:rPr>
        <w:t>倡导全面健康理念，深入实施</w:t>
      </w:r>
      <w:r>
        <w:rPr>
          <w:rFonts w:hint="default" w:ascii="Times New Roman" w:hAnsi="Times New Roman" w:eastAsia="仿宋" w:cs="Times New Roman"/>
          <w:color w:val="auto"/>
          <w:sz w:val="32"/>
          <w:highlight w:val="none"/>
        </w:rPr>
        <w:t>“</w:t>
      </w:r>
      <w:r>
        <w:rPr>
          <w:rFonts w:hint="default" w:ascii="Times New Roman" w:hAnsi="Times New Roman" w:eastAsia="仿宋" w:cs="Times New Roman"/>
          <w:color w:val="auto"/>
          <w:kern w:val="2"/>
          <w:sz w:val="32"/>
          <w:highlight w:val="none"/>
        </w:rPr>
        <w:t>健康卫滨</w:t>
      </w:r>
      <w:r>
        <w:rPr>
          <w:rFonts w:hint="default" w:ascii="Times New Roman" w:hAnsi="Times New Roman" w:eastAsia="仿宋" w:cs="Times New Roman"/>
          <w:color w:val="auto"/>
          <w:sz w:val="32"/>
          <w:highlight w:val="none"/>
        </w:rPr>
        <w:t>”</w:t>
      </w:r>
      <w:r>
        <w:rPr>
          <w:rFonts w:hint="default" w:ascii="Times New Roman" w:hAnsi="Times New Roman" w:eastAsia="仿宋" w:cs="Times New Roman"/>
          <w:color w:val="auto"/>
          <w:kern w:val="2"/>
          <w:sz w:val="32"/>
          <w:highlight w:val="none"/>
        </w:rPr>
        <w:t>建设，健全公共卫生服务体系，提升基本公共卫生</w:t>
      </w:r>
      <w:r>
        <w:rPr>
          <w:rFonts w:hint="default" w:ascii="Times New Roman" w:hAnsi="Times New Roman" w:eastAsia="仿宋" w:cs="Times New Roman"/>
          <w:color w:val="auto"/>
          <w:spacing w:val="0"/>
          <w:sz w:val="32"/>
          <w:highlight w:val="none"/>
        </w:rPr>
        <w:t>服务</w:t>
      </w:r>
      <w:r>
        <w:rPr>
          <w:rFonts w:hint="default" w:ascii="Times New Roman" w:hAnsi="Times New Roman" w:eastAsia="仿宋" w:cs="Times New Roman"/>
          <w:color w:val="auto"/>
          <w:kern w:val="2"/>
          <w:sz w:val="32"/>
          <w:highlight w:val="none"/>
        </w:rPr>
        <w:t>能力，加快卫生健康事业从</w:t>
      </w:r>
      <w:r>
        <w:rPr>
          <w:rFonts w:hint="default" w:ascii="Times New Roman" w:hAnsi="Times New Roman" w:eastAsia="仿宋" w:cs="Times New Roman"/>
          <w:color w:val="auto"/>
          <w:sz w:val="32"/>
          <w:highlight w:val="none"/>
        </w:rPr>
        <w:t>“</w:t>
      </w:r>
      <w:r>
        <w:rPr>
          <w:rFonts w:hint="default" w:ascii="Times New Roman" w:hAnsi="Times New Roman" w:eastAsia="仿宋" w:cs="Times New Roman"/>
          <w:color w:val="auto"/>
          <w:kern w:val="2"/>
          <w:sz w:val="32"/>
          <w:highlight w:val="none"/>
        </w:rPr>
        <w:t>以治病为中心</w:t>
      </w:r>
      <w:r>
        <w:rPr>
          <w:rFonts w:hint="default" w:ascii="Times New Roman" w:hAnsi="Times New Roman" w:eastAsia="仿宋" w:cs="Times New Roman"/>
          <w:color w:val="auto"/>
          <w:sz w:val="32"/>
          <w:highlight w:val="none"/>
        </w:rPr>
        <w:t>”</w:t>
      </w:r>
      <w:r>
        <w:rPr>
          <w:rFonts w:hint="default" w:ascii="Times New Roman" w:hAnsi="Times New Roman" w:eastAsia="仿宋" w:cs="Times New Roman"/>
          <w:color w:val="auto"/>
          <w:kern w:val="2"/>
          <w:sz w:val="32"/>
          <w:highlight w:val="none"/>
        </w:rPr>
        <w:t>向</w:t>
      </w:r>
      <w:r>
        <w:rPr>
          <w:rFonts w:hint="default" w:ascii="Times New Roman" w:hAnsi="Times New Roman" w:eastAsia="仿宋" w:cs="Times New Roman"/>
          <w:color w:val="auto"/>
          <w:sz w:val="32"/>
          <w:highlight w:val="none"/>
        </w:rPr>
        <w:t>“</w:t>
      </w:r>
      <w:r>
        <w:rPr>
          <w:rFonts w:hint="default" w:ascii="Times New Roman" w:hAnsi="Times New Roman" w:eastAsia="仿宋" w:cs="Times New Roman"/>
          <w:color w:val="auto"/>
          <w:kern w:val="2"/>
          <w:sz w:val="32"/>
          <w:highlight w:val="none"/>
        </w:rPr>
        <w:t>以人民健康为中心</w:t>
      </w:r>
      <w:r>
        <w:rPr>
          <w:rFonts w:hint="default" w:ascii="Times New Roman" w:hAnsi="Times New Roman" w:eastAsia="仿宋" w:cs="Times New Roman"/>
          <w:color w:val="auto"/>
          <w:sz w:val="32"/>
          <w:highlight w:val="none"/>
        </w:rPr>
        <w:t>”</w:t>
      </w:r>
      <w:r>
        <w:rPr>
          <w:rFonts w:hint="default" w:ascii="Times New Roman" w:hAnsi="Times New Roman" w:eastAsia="仿宋" w:cs="Times New Roman"/>
          <w:color w:val="auto"/>
          <w:kern w:val="2"/>
          <w:sz w:val="32"/>
          <w:highlight w:val="none"/>
        </w:rPr>
        <w:t>转变。</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楷体" w:cs="Times New Roman"/>
          <w:bCs/>
          <w:color w:val="auto"/>
          <w:sz w:val="32"/>
          <w:highlight w:val="none"/>
        </w:rPr>
      </w:pPr>
      <w:bookmarkStart w:id="130" w:name="_Toc57569291"/>
      <w:bookmarkStart w:id="131" w:name="_Toc62052118"/>
      <w:bookmarkStart w:id="132" w:name="_Toc56986073"/>
      <w:bookmarkStart w:id="133" w:name="_Toc62048992"/>
      <w:r>
        <w:rPr>
          <w:rFonts w:hint="default" w:ascii="Times New Roman" w:hAnsi="Times New Roman" w:eastAsia="仿宋" w:cs="Times New Roman"/>
          <w:b/>
          <w:bCs/>
          <w:color w:val="auto"/>
          <w:sz w:val="32"/>
          <w:highlight w:val="none"/>
          <w:lang w:bidi="ar"/>
        </w:rPr>
        <w:t>健全医疗卫生服务体系</w:t>
      </w:r>
      <w:bookmarkEnd w:id="130"/>
      <w:bookmarkEnd w:id="131"/>
      <w:bookmarkEnd w:id="132"/>
      <w:bookmarkEnd w:id="133"/>
      <w:r>
        <w:rPr>
          <w:rFonts w:hint="default" w:ascii="Times New Roman" w:hAnsi="Times New Roman" w:eastAsia="仿宋" w:cs="Times New Roman"/>
          <w:b/>
          <w:bCs/>
          <w:color w:val="auto"/>
          <w:sz w:val="32"/>
          <w:highlight w:val="none"/>
          <w:lang w:bidi="ar"/>
        </w:rPr>
        <w:t>。</w:t>
      </w:r>
      <w:r>
        <w:rPr>
          <w:rFonts w:hint="default" w:ascii="Times New Roman" w:hAnsi="Times New Roman" w:eastAsia="仿宋" w:cs="Times New Roman"/>
          <w:color w:val="auto"/>
          <w:sz w:val="32"/>
          <w:highlight w:val="none"/>
        </w:rPr>
        <w:t>加强对区属公立医院基础管理，落实公立医院经营管理自主权，提升区属医疗机构的综合竞争力；狠抓医疗服务和管理模式创新，在提高资源利用效率方面实现新突破，以实现区属医疗机构与市属</w:t>
      </w:r>
      <w:r>
        <w:rPr>
          <w:rFonts w:hint="default" w:ascii="Times New Roman" w:hAnsi="Times New Roman" w:eastAsia="仿宋" w:cs="Times New Roman"/>
          <w:color w:val="auto"/>
          <w:spacing w:val="0"/>
          <w:sz w:val="32"/>
          <w:highlight w:val="none"/>
        </w:rPr>
        <w:t>大型</w:t>
      </w:r>
      <w:r>
        <w:rPr>
          <w:rFonts w:hint="default" w:ascii="Times New Roman" w:hAnsi="Times New Roman" w:eastAsia="仿宋" w:cs="Times New Roman"/>
          <w:color w:val="auto"/>
          <w:sz w:val="32"/>
          <w:highlight w:val="none"/>
        </w:rPr>
        <w:t>综合医院错位发展。建立稳定的公共卫生事业投入机制，优化医疗卫生体系，积极推进公有产权村卫生室建设，力争到“十四五”末公有产权村室占比达到80%，明确公有产权村卫生室权属关系，巩固和发挥村标准卫生室建设带动作用。按规定落实村卫生室基本药物制度专项补助、基本公共卫生服务补助资金。</w:t>
      </w:r>
      <w:r>
        <w:rPr>
          <w:rFonts w:hint="default" w:ascii="Times New Roman" w:hAnsi="Times New Roman" w:eastAsia="仿宋" w:cs="Times New Roman"/>
          <w:bCs/>
          <w:color w:val="auto"/>
          <w:sz w:val="32"/>
          <w:highlight w:val="none"/>
        </w:rPr>
        <w:t>以</w:t>
      </w:r>
      <w:r>
        <w:rPr>
          <w:rFonts w:hint="default" w:ascii="Times New Roman" w:hAnsi="Times New Roman" w:eastAsia="仿宋" w:cs="Times New Roman"/>
          <w:color w:val="auto"/>
          <w:sz w:val="32"/>
          <w:highlight w:val="none"/>
        </w:rPr>
        <w:t>新华医院、口腔医院、平原医院提质升级为重点，着力加强防疫救治、医疗基础设施建设，充分利用儿科、中医、口腔等特色优势，全面提升医疗服务水平。坚持中西医并重，推进中西医结合医院建设，大力发展中医药事业。提升各社区卫生服务中心中医医疗服务能力。</w:t>
      </w:r>
      <w:bookmarkStart w:id="134" w:name="_Toc57569292"/>
      <w:bookmarkStart w:id="135" w:name="_Toc62048993"/>
      <w:bookmarkStart w:id="136" w:name="_Toc56986074"/>
      <w:bookmarkStart w:id="137" w:name="_Toc6205211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highlight w:val="none"/>
          <w:lang w:bidi="ar"/>
        </w:rPr>
        <w:t>提升公共卫生服务能力</w:t>
      </w:r>
      <w:bookmarkEnd w:id="134"/>
      <w:bookmarkEnd w:id="135"/>
      <w:bookmarkEnd w:id="136"/>
      <w:bookmarkEnd w:id="137"/>
      <w:r>
        <w:rPr>
          <w:rFonts w:hint="default" w:ascii="Times New Roman" w:hAnsi="Times New Roman" w:eastAsia="仿宋" w:cs="Times New Roman"/>
          <w:b/>
          <w:bCs/>
          <w:color w:val="auto"/>
          <w:sz w:val="32"/>
          <w:highlight w:val="none"/>
          <w:lang w:bidi="ar"/>
        </w:rPr>
        <w:t>。</w:t>
      </w:r>
      <w:r>
        <w:rPr>
          <w:rFonts w:hint="default" w:ascii="Times New Roman" w:hAnsi="Times New Roman" w:eastAsia="仿宋" w:cs="Times New Roman"/>
          <w:color w:val="auto"/>
          <w:sz w:val="32"/>
          <w:highlight w:val="none"/>
        </w:rPr>
        <w:t>充分发挥健康卫滨行动作用，统筹政府、社会、个人广泛参与，强化《推进健康卫滨行动实施方案》落实责任。按照国家基本公共卫生服务</w:t>
      </w:r>
      <w:r>
        <w:rPr>
          <w:rFonts w:hint="default" w:ascii="Times New Roman" w:hAnsi="Times New Roman" w:eastAsia="仿宋" w:cs="Times New Roman"/>
          <w:color w:val="auto"/>
          <w:spacing w:val="0"/>
          <w:sz w:val="32"/>
          <w:highlight w:val="none"/>
        </w:rPr>
        <w:t>项目</w:t>
      </w:r>
      <w:r>
        <w:rPr>
          <w:rFonts w:hint="default" w:ascii="Times New Roman" w:hAnsi="Times New Roman" w:eastAsia="仿宋" w:cs="Times New Roman"/>
          <w:color w:val="auto"/>
          <w:sz w:val="32"/>
          <w:highlight w:val="none"/>
        </w:rPr>
        <w:t>标准，做好健康促进与教育工作。继续推行婚前检查、孕前优生等工作。保障母婴安全，推动基本生育全程免费服务。进一步提高孕产妇、新生儿医疗急救能力。加大出生缺陷防治力度，全面实施免费孕前优生健康检查，努力降低出生缺陷发生率。继续实施扩大国家免疫规划，适龄儿童免疫规划疫苗接种率保持在96%以上。</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bookmarkStart w:id="138" w:name="_Toc62052120"/>
      <w:bookmarkStart w:id="139" w:name="_Toc62048994"/>
      <w:bookmarkStart w:id="140" w:name="_Toc56986075"/>
      <w:bookmarkStart w:id="141" w:name="_Toc57569293"/>
      <w:r>
        <w:rPr>
          <w:rFonts w:hint="default" w:ascii="Times New Roman" w:hAnsi="Times New Roman" w:eastAsia="仿宋" w:cs="Times New Roman"/>
          <w:b/>
          <w:bCs/>
          <w:color w:val="auto"/>
          <w:sz w:val="32"/>
          <w:highlight w:val="none"/>
          <w:lang w:bidi="ar"/>
        </w:rPr>
        <w:t>加快补齐卫生健康短板</w:t>
      </w:r>
      <w:bookmarkEnd w:id="138"/>
      <w:bookmarkEnd w:id="139"/>
      <w:bookmarkEnd w:id="140"/>
      <w:bookmarkEnd w:id="141"/>
      <w:r>
        <w:rPr>
          <w:rFonts w:hint="default" w:ascii="Times New Roman" w:hAnsi="Times New Roman" w:eastAsia="仿宋" w:cs="Times New Roman"/>
          <w:b/>
          <w:bCs/>
          <w:color w:val="auto"/>
          <w:sz w:val="32"/>
          <w:highlight w:val="none"/>
          <w:lang w:bidi="ar"/>
        </w:rPr>
        <w:t>。</w:t>
      </w:r>
      <w:r>
        <w:rPr>
          <w:rFonts w:hint="default" w:ascii="Times New Roman" w:hAnsi="Times New Roman" w:eastAsia="仿宋" w:cs="Times New Roman"/>
          <w:color w:val="auto"/>
          <w:sz w:val="32"/>
          <w:highlight w:val="none"/>
        </w:rPr>
        <w:t>健全卫生应急管理指挥体系，按照集中、统一和高效原则，坚持平战结合、防治一体、联防联控、群防群治，把党委政府治理优势和专业部门技术优势结合起来，强化部门职责、属地责任、社区管控、社会动员和区域协同，构建指令清晰、系统有序、条块畅达、</w:t>
      </w:r>
      <w:r>
        <w:rPr>
          <w:rFonts w:hint="default" w:ascii="Times New Roman" w:hAnsi="Times New Roman" w:eastAsia="仿宋" w:cs="Times New Roman"/>
          <w:color w:val="auto"/>
          <w:spacing w:val="0"/>
          <w:sz w:val="32"/>
          <w:highlight w:val="none"/>
        </w:rPr>
        <w:t>执行</w:t>
      </w:r>
      <w:r>
        <w:rPr>
          <w:rFonts w:hint="default" w:ascii="Times New Roman" w:hAnsi="Times New Roman" w:eastAsia="仿宋" w:cs="Times New Roman"/>
          <w:color w:val="auto"/>
          <w:sz w:val="32"/>
          <w:highlight w:val="none"/>
        </w:rPr>
        <w:t>有力的领导指挥体系。提升重大疫情应急响应能力，健全各类专业应急预案，建立常态化风险防控机制，细化分级响应标准和应急措施，做到常备不懈。健全疾病预防控制体系，贯彻预防为主方针，构建以区疾控中心为主，医疗机</w:t>
      </w:r>
      <w:r>
        <w:rPr>
          <w:rFonts w:hint="default" w:ascii="Times New Roman" w:hAnsi="Times New Roman" w:eastAsia="仿宋" w:cs="Times New Roman"/>
          <w:color w:val="auto"/>
          <w:spacing w:val="0"/>
          <w:sz w:val="32"/>
          <w:highlight w:val="none"/>
        </w:rPr>
        <w:t>构为辅，基层医疗卫生机构为基础网络的疾病预防控制体系。加强区疾控中心基础设施、实验室能力和人才队伍建设，创新医防协同机制，打造集预防、监测预警、应急指挥、物资储备于一体的区疾病预防控制中心，提高应对突发公共卫生事件能力。完善重</w:t>
      </w:r>
      <w:r>
        <w:rPr>
          <w:rFonts w:hint="default" w:ascii="Times New Roman" w:hAnsi="Times New Roman" w:eastAsia="仿宋" w:cs="Times New Roman"/>
          <w:color w:val="auto"/>
          <w:sz w:val="32"/>
          <w:highlight w:val="none"/>
        </w:rPr>
        <w:t>大疫情救治体系，形成以市级救治基地为龙头，区级综合医院为基础，镇卫生院为补充的救治体系，支持社会办医。健全公共卫生应急管理体制、应急物资储备、医保和救助机制等保障机制。</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z w:val="32"/>
          <w:highlight w:val="none"/>
        </w:rPr>
      </w:pPr>
      <w:bookmarkStart w:id="142" w:name="_Toc62048995"/>
      <w:bookmarkStart w:id="143" w:name="_Toc62052121"/>
      <w:bookmarkStart w:id="144" w:name="_Toc57569294"/>
      <w:bookmarkStart w:id="145" w:name="_Toc56986076"/>
      <w:r>
        <w:rPr>
          <w:rFonts w:hint="default" w:ascii="Times New Roman" w:hAnsi="Times New Roman" w:eastAsia="仿宋" w:cs="Times New Roman"/>
          <w:b/>
          <w:bCs/>
          <w:color w:val="auto"/>
          <w:sz w:val="32"/>
          <w:highlight w:val="none"/>
          <w:lang w:bidi="ar"/>
        </w:rPr>
        <w:t>建立完善全民健身</w:t>
      </w:r>
      <w:bookmarkEnd w:id="142"/>
      <w:bookmarkEnd w:id="143"/>
      <w:bookmarkEnd w:id="144"/>
      <w:bookmarkEnd w:id="145"/>
      <w:r>
        <w:rPr>
          <w:rFonts w:hint="default" w:ascii="Times New Roman" w:hAnsi="Times New Roman" w:eastAsia="仿宋" w:cs="Times New Roman"/>
          <w:b/>
          <w:bCs/>
          <w:color w:val="auto"/>
          <w:sz w:val="32"/>
          <w:highlight w:val="none"/>
          <w:lang w:bidi="ar"/>
        </w:rPr>
        <w:t>服务体系。</w:t>
      </w:r>
      <w:r>
        <w:rPr>
          <w:rFonts w:hint="default" w:ascii="Times New Roman" w:hAnsi="Times New Roman" w:eastAsia="仿宋" w:cs="Times New Roman"/>
          <w:color w:val="auto"/>
          <w:sz w:val="32"/>
          <w:highlight w:val="none"/>
        </w:rPr>
        <w:t>树立“健康</w:t>
      </w:r>
      <w:r>
        <w:rPr>
          <w:rFonts w:hint="default" w:ascii="Times New Roman" w:hAnsi="Times New Roman" w:eastAsia="仿宋" w:cs="Times New Roman"/>
          <w:color w:val="auto"/>
          <w:spacing w:val="0"/>
          <w:sz w:val="32"/>
          <w:highlight w:val="none"/>
        </w:rPr>
        <w:t>第一</w:t>
      </w:r>
      <w:r>
        <w:rPr>
          <w:rFonts w:hint="default" w:ascii="Times New Roman" w:hAnsi="Times New Roman" w:eastAsia="仿宋" w:cs="Times New Roman"/>
          <w:color w:val="auto"/>
          <w:sz w:val="32"/>
          <w:highlight w:val="none"/>
        </w:rPr>
        <w:t>”的理念，把体育工作摆上重要位置。加强体育工作的计划性，结合实际，按照省市要求保证体育事业资金投入稳步增长。推进体育社会化发展，吸引各类民间资本投入体育产业，增强体育活力。</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46" w:name="_Toc26602"/>
      <w:bookmarkStart w:id="147" w:name="_Toc14079"/>
      <w:r>
        <w:rPr>
          <w:rFonts w:hint="default" w:ascii="Times New Roman" w:hAnsi="Times New Roman" w:eastAsia="楷体_GB2312" w:cs="Times New Roman"/>
          <w:snapToGrid w:val="0"/>
          <w:color w:val="auto"/>
          <w:spacing w:val="0"/>
          <w:sz w:val="32"/>
          <w:szCs w:val="32"/>
          <w:highlight w:val="none"/>
        </w:rPr>
        <w:t>第五节 完善养老托幼服务体系</w:t>
      </w:r>
      <w:bookmarkEnd w:id="146"/>
      <w:bookmarkEnd w:id="14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大力发展养老服务业，建设以居家为基础、社区为依托、机构为补充、社会为主体、医养相结合，功能完善、规模适度、服务优良、覆盖城乡的多层次养老服务体系。充分发挥政府主导作用和社会力量主体作用，全面落实各项惠老政策，积极推动辖区各养老服务机构的服务方式多样化、服务队伍专业化、监督管理规范化</w:t>
      </w:r>
      <w:r>
        <w:rPr>
          <w:rFonts w:hint="default" w:ascii="Times New Roman" w:hAnsi="Times New Roman" w:eastAsia="仿宋" w:cs="Times New Roman"/>
          <w:color w:val="auto"/>
          <w:sz w:val="32"/>
          <w:highlight w:val="none"/>
          <w:lang w:eastAsia="zh-CN"/>
        </w:rPr>
        <w:t>。</w:t>
      </w:r>
      <w:r>
        <w:rPr>
          <w:rFonts w:hint="default" w:ascii="Times New Roman" w:hAnsi="Times New Roman" w:eastAsia="仿宋" w:cs="Times New Roman"/>
          <w:color w:val="auto"/>
          <w:sz w:val="32"/>
          <w:highlight w:val="none"/>
        </w:rPr>
        <w:t>积极开展政府购买居家养老服务，优先保障孤老及低收入的高龄、独居、失能、失独、空巢等困难老年人的服务需求，同时兼顾老年人改善和提高养老服务条件的要求。加快推进社区和居家养老服务体系建设，建立健全区、镇（办）、社区（村）三级居家养老管理服务网络，努力打造15分钟养老服务圈。</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918" w:type="dxa"/>
            <w:noWrap w:val="0"/>
            <w:vAlign w:val="top"/>
          </w:tcPr>
          <w:p>
            <w:pPr>
              <w:pStyle w:val="10"/>
              <w:pageBreakBefore w:val="0"/>
              <w:widowControl w:val="0"/>
              <w:kinsoku/>
              <w:wordWrap/>
              <w:overflowPunct/>
              <w:topLinePunct w:val="0"/>
              <w:autoSpaceDE/>
              <w:autoSpaceDN/>
              <w:bidi w:val="0"/>
              <w:spacing w:before="0" w:beforeLines="0" w:beforeAutospacing="0" w:after="0" w:afterLines="0" w:afterAutospacing="0" w:line="240" w:lineRule="auto"/>
              <w:jc w:val="both"/>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黑体" w:cs="Times New Roman"/>
                <w:color w:val="auto"/>
                <w:sz w:val="24"/>
                <w:szCs w:val="24"/>
                <w:highlight w:val="none"/>
              </w:rPr>
              <w:t>专栏10-1 民生福祉重点项目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jc w:val="center"/>
        </w:trPr>
        <w:tc>
          <w:tcPr>
            <w:tcW w:w="8918" w:type="dxa"/>
            <w:noWrap w:val="0"/>
            <w:vAlign w:val="center"/>
          </w:tcPr>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b/>
                <w:color w:val="auto"/>
                <w:sz w:val="24"/>
                <w:szCs w:val="24"/>
                <w:highlight w:val="none"/>
              </w:rPr>
              <w:t>教育现代化</w:t>
            </w:r>
            <w:r>
              <w:rPr>
                <w:rFonts w:hint="default" w:ascii="Times New Roman" w:hAnsi="Times New Roman" w:eastAsia="仿宋_GB2312" w:cs="Times New Roman"/>
                <w:b/>
                <w:bCs/>
                <w:color w:val="auto"/>
                <w:sz w:val="24"/>
                <w:szCs w:val="24"/>
                <w:highlight w:val="none"/>
              </w:rPr>
              <w:t>项目</w:t>
            </w:r>
            <w:r>
              <w:rPr>
                <w:rFonts w:hint="default" w:ascii="Times New Roman" w:hAnsi="Times New Roman" w:eastAsia="仿宋_GB2312" w:cs="Times New Roman"/>
                <w:b/>
                <w:color w:val="auto"/>
                <w:sz w:val="24"/>
                <w:szCs w:val="24"/>
                <w:highlight w:val="none"/>
              </w:rPr>
              <w:t>。</w:t>
            </w:r>
            <w:r>
              <w:rPr>
                <w:rFonts w:hint="default" w:ascii="Times New Roman" w:hAnsi="Times New Roman" w:eastAsia="仿宋_GB2312" w:cs="Times New Roman"/>
                <w:color w:val="auto"/>
                <w:spacing w:val="0"/>
                <w:sz w:val="24"/>
                <w:szCs w:val="24"/>
                <w:highlight w:val="none"/>
              </w:rPr>
              <w:t>实施</w:t>
            </w:r>
            <w:r>
              <w:rPr>
                <w:rFonts w:hint="default" w:ascii="Times New Roman" w:hAnsi="Times New Roman" w:eastAsia="仿宋_GB2312" w:cs="Times New Roman"/>
                <w:color w:val="auto"/>
                <w:sz w:val="24"/>
                <w:szCs w:val="24"/>
                <w:highlight w:val="none"/>
              </w:rPr>
              <w:t>新丰小学、新荷小学新建综合教学楼、健宏社区幼儿园、东水东幼儿园</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体育公园等项目。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b/>
                <w:color w:val="auto"/>
                <w:sz w:val="24"/>
                <w:szCs w:val="24"/>
                <w:highlight w:val="none"/>
              </w:rPr>
              <w:t>社会保障</w:t>
            </w:r>
            <w:r>
              <w:rPr>
                <w:rFonts w:hint="default" w:ascii="Times New Roman" w:hAnsi="Times New Roman" w:eastAsia="仿宋_GB2312" w:cs="Times New Roman"/>
                <w:b/>
                <w:bCs/>
                <w:color w:val="auto"/>
                <w:sz w:val="24"/>
                <w:szCs w:val="24"/>
                <w:highlight w:val="none"/>
              </w:rPr>
              <w:t>项目</w:t>
            </w:r>
            <w:r>
              <w:rPr>
                <w:rFonts w:hint="default" w:ascii="Times New Roman" w:hAnsi="Times New Roman" w:eastAsia="仿宋_GB2312" w:cs="Times New Roman"/>
                <w:b/>
                <w:color w:val="auto"/>
                <w:sz w:val="24"/>
                <w:szCs w:val="24"/>
                <w:highlight w:val="none"/>
              </w:rPr>
              <w:t>。</w:t>
            </w:r>
            <w:r>
              <w:rPr>
                <w:rFonts w:hint="default" w:ascii="Times New Roman" w:hAnsi="Times New Roman" w:eastAsia="仿宋_GB2312" w:cs="Times New Roman"/>
                <w:color w:val="auto"/>
                <w:sz w:val="24"/>
                <w:szCs w:val="24"/>
                <w:highlight w:val="none"/>
              </w:rPr>
              <w:t>推动卫滨区人社服务大厅等项目建设。</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b/>
                <w:color w:val="auto"/>
                <w:sz w:val="24"/>
                <w:szCs w:val="24"/>
                <w:highlight w:val="none"/>
              </w:rPr>
              <w:t>卫生健康</w:t>
            </w:r>
            <w:r>
              <w:rPr>
                <w:rFonts w:hint="default" w:ascii="Times New Roman" w:hAnsi="Times New Roman" w:eastAsia="仿宋_GB2312" w:cs="Times New Roman"/>
                <w:b/>
                <w:bCs/>
                <w:color w:val="auto"/>
                <w:sz w:val="24"/>
                <w:szCs w:val="24"/>
                <w:highlight w:val="none"/>
              </w:rPr>
              <w:t>项目</w:t>
            </w:r>
            <w:r>
              <w:rPr>
                <w:rFonts w:hint="default" w:ascii="Times New Roman" w:hAnsi="Times New Roman" w:eastAsia="仿宋_GB2312" w:cs="Times New Roman"/>
                <w:b/>
                <w:color w:val="auto"/>
                <w:sz w:val="24"/>
                <w:szCs w:val="24"/>
                <w:highlight w:val="none"/>
              </w:rPr>
              <w:t>。</w:t>
            </w:r>
            <w:r>
              <w:rPr>
                <w:rFonts w:hint="default" w:ascii="Times New Roman" w:hAnsi="Times New Roman" w:eastAsia="仿宋_GB2312" w:cs="Times New Roman"/>
                <w:color w:val="auto"/>
                <w:sz w:val="24"/>
                <w:szCs w:val="24"/>
                <w:highlight w:val="none"/>
              </w:rPr>
              <w:t>实施</w:t>
            </w:r>
            <w:r>
              <w:rPr>
                <w:rFonts w:hint="default" w:ascii="Times New Roman" w:hAnsi="Times New Roman" w:eastAsia="仿宋_GB2312" w:cs="Times New Roman"/>
                <w:color w:val="auto"/>
                <w:spacing w:val="0"/>
                <w:sz w:val="24"/>
                <w:szCs w:val="24"/>
                <w:highlight w:val="none"/>
              </w:rPr>
              <w:t>新乡市</w:t>
            </w:r>
            <w:r>
              <w:rPr>
                <w:rFonts w:hint="default" w:ascii="Times New Roman" w:hAnsi="Times New Roman" w:eastAsia="仿宋_GB2312" w:cs="Times New Roman"/>
                <w:color w:val="auto"/>
                <w:sz w:val="24"/>
                <w:szCs w:val="24"/>
                <w:highlight w:val="none"/>
              </w:rPr>
              <w:t>中西医结合医院、卫滨区疾病预防控制中心业务大楼、新华医院感染隔离病房、卫滨区妇幼保健中心、公共卫生、社区卫生服务中心、15个村卫生室等项目。</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firstLine="482" w:firstLineChars="200"/>
              <w:jc w:val="both"/>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仿宋_GB2312" w:cs="Times New Roman"/>
                <w:b/>
                <w:color w:val="auto"/>
                <w:sz w:val="24"/>
                <w:szCs w:val="24"/>
                <w:highlight w:val="none"/>
              </w:rPr>
              <w:t>养老服务</w:t>
            </w:r>
            <w:r>
              <w:rPr>
                <w:rFonts w:hint="default" w:ascii="Times New Roman" w:hAnsi="Times New Roman" w:eastAsia="仿宋_GB2312" w:cs="Times New Roman"/>
                <w:b/>
                <w:bCs/>
                <w:color w:val="auto"/>
                <w:sz w:val="24"/>
                <w:szCs w:val="24"/>
                <w:highlight w:val="none"/>
              </w:rPr>
              <w:t>项目</w:t>
            </w:r>
            <w:r>
              <w:rPr>
                <w:rFonts w:hint="default" w:ascii="Times New Roman" w:hAnsi="Times New Roman" w:eastAsia="仿宋_GB2312" w:cs="Times New Roman"/>
                <w:b/>
                <w:color w:val="auto"/>
                <w:sz w:val="24"/>
                <w:szCs w:val="24"/>
                <w:highlight w:val="none"/>
              </w:rPr>
              <w:t>。</w:t>
            </w:r>
            <w:r>
              <w:rPr>
                <w:rFonts w:hint="default" w:ascii="Times New Roman" w:hAnsi="Times New Roman" w:eastAsia="仿宋_GB2312" w:cs="Times New Roman"/>
                <w:color w:val="auto"/>
                <w:sz w:val="24"/>
                <w:szCs w:val="24"/>
                <w:highlight w:val="none"/>
                <w:lang w:eastAsia="zh-CN"/>
              </w:rPr>
              <w:t>推进</w:t>
            </w:r>
            <w:r>
              <w:rPr>
                <w:rFonts w:hint="default" w:ascii="Times New Roman" w:hAnsi="Times New Roman" w:eastAsia="仿宋_GB2312" w:cs="Times New Roman"/>
                <w:color w:val="auto"/>
                <w:sz w:val="24"/>
                <w:szCs w:val="24"/>
                <w:highlight w:val="none"/>
              </w:rPr>
              <w:t>卫滨区大健康产业园、社区养老中心等项目。</w:t>
            </w:r>
          </w:p>
        </w:tc>
      </w:tr>
    </w:tbl>
    <w:p>
      <w:pPr>
        <w:pStyle w:val="10"/>
        <w:keepNext w:val="0"/>
        <w:keepLines w:val="0"/>
        <w:pageBreakBefore w:val="0"/>
        <w:widowControl w:val="0"/>
        <w:kinsoku/>
        <w:wordWrap/>
        <w:overflowPunct/>
        <w:topLinePunct w:val="0"/>
        <w:autoSpaceDE/>
        <w:autoSpaceDN/>
        <w:bidi w:val="0"/>
        <w:adjustRightInd/>
        <w:snapToGrid/>
        <w:spacing w:before="292" w:beforeLines="50" w:beforeAutospacing="0" w:after="292" w:afterLines="50" w:afterAutospacing="0" w:line="240" w:lineRule="auto"/>
        <w:ind w:firstLine="0" w:firstLineChars="0"/>
        <w:jc w:val="center"/>
        <w:textAlignment w:val="auto"/>
        <w:outlineLvl w:val="9"/>
        <w:rPr>
          <w:rFonts w:hint="default" w:ascii="Times New Roman" w:hAnsi="Times New Roman" w:eastAsia="黑体" w:cs="Times New Roman"/>
          <w:snapToGrid w:val="0"/>
          <w:color w:val="auto"/>
          <w:spacing w:val="0"/>
          <w:sz w:val="32"/>
          <w:szCs w:val="32"/>
          <w:highlight w:val="none"/>
          <w:lang w:val="en-US" w:eastAsia="zh-CN"/>
        </w:rPr>
      </w:pPr>
      <w:bookmarkStart w:id="148" w:name="_Toc16292"/>
      <w:bookmarkStart w:id="149" w:name="_Toc28426"/>
      <w:r>
        <w:rPr>
          <w:rFonts w:hint="default" w:ascii="Times New Roman" w:hAnsi="Times New Roman" w:eastAsia="黑体" w:cs="Times New Roman"/>
          <w:snapToGrid w:val="0"/>
          <w:color w:val="auto"/>
          <w:spacing w:val="0"/>
          <w:sz w:val="32"/>
          <w:szCs w:val="32"/>
          <w:highlight w:val="none"/>
          <w:lang w:val="en-US" w:eastAsia="zh-CN"/>
        </w:rPr>
        <w:fldChar w:fldCharType="begin"/>
      </w:r>
      <w:r>
        <w:rPr>
          <w:rFonts w:hint="default" w:ascii="Times New Roman" w:hAnsi="Times New Roman" w:eastAsia="黑体" w:cs="Times New Roman"/>
          <w:snapToGrid w:val="0"/>
          <w:color w:val="auto"/>
          <w:spacing w:val="0"/>
          <w:sz w:val="32"/>
          <w:szCs w:val="32"/>
          <w:highlight w:val="none"/>
          <w:lang w:val="en-US" w:eastAsia="zh-CN"/>
        </w:rPr>
        <w:instrText xml:space="preserve"> HYPERLINK \l "_Toc52057046" </w:instrText>
      </w:r>
      <w:r>
        <w:rPr>
          <w:rFonts w:hint="default" w:ascii="Times New Roman" w:hAnsi="Times New Roman" w:eastAsia="黑体" w:cs="Times New Roman"/>
          <w:snapToGrid w:val="0"/>
          <w:color w:val="auto"/>
          <w:spacing w:val="0"/>
          <w:sz w:val="32"/>
          <w:szCs w:val="32"/>
          <w:highlight w:val="none"/>
          <w:lang w:val="en-US" w:eastAsia="zh-CN"/>
        </w:rPr>
        <w:fldChar w:fldCharType="separate"/>
      </w:r>
      <w:r>
        <w:rPr>
          <w:rFonts w:hint="default" w:ascii="Times New Roman" w:hAnsi="Times New Roman" w:eastAsia="黑体" w:cs="Times New Roman"/>
          <w:snapToGrid w:val="0"/>
          <w:color w:val="auto"/>
          <w:spacing w:val="0"/>
          <w:sz w:val="32"/>
          <w:szCs w:val="32"/>
          <w:highlight w:val="none"/>
          <w:lang w:val="en-US" w:eastAsia="zh-CN"/>
        </w:rPr>
        <w:t xml:space="preserve">第十一章 </w:t>
      </w:r>
      <w:r>
        <w:rPr>
          <w:rFonts w:hint="default" w:ascii="Times New Roman" w:hAnsi="Times New Roman" w:eastAsia="黑体" w:cs="Times New Roman"/>
          <w:snapToGrid w:val="0"/>
          <w:color w:val="auto"/>
          <w:spacing w:val="0"/>
          <w:sz w:val="32"/>
          <w:szCs w:val="32"/>
          <w:highlight w:val="none"/>
          <w:lang w:val="en-US" w:eastAsia="zh-CN"/>
        </w:rPr>
        <w:fldChar w:fldCharType="end"/>
      </w:r>
      <w:r>
        <w:rPr>
          <w:rFonts w:hint="default" w:ascii="Times New Roman" w:hAnsi="Times New Roman" w:eastAsia="黑体" w:cs="Times New Roman"/>
          <w:snapToGrid w:val="0"/>
          <w:color w:val="auto"/>
          <w:spacing w:val="0"/>
          <w:sz w:val="32"/>
          <w:szCs w:val="32"/>
          <w:highlight w:val="none"/>
          <w:lang w:val="en-US" w:eastAsia="zh-CN"/>
        </w:rPr>
        <w:t>推进平安卫滨建设</w:t>
      </w:r>
      <w:bookmarkEnd w:id="148"/>
      <w:bookmarkEnd w:id="149"/>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全面落实国家安全战略，把安全发展贯穿全区经济社会发展各领域和全过程，完善平安建设体系，防范和化解各类风险，全面提升安全发展保障水平。</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50" w:name="_Toc26703"/>
      <w:bookmarkStart w:id="151" w:name="_Toc731"/>
      <w:r>
        <w:rPr>
          <w:rFonts w:hint="default" w:ascii="Times New Roman" w:hAnsi="Times New Roman" w:eastAsia="楷体_GB2312" w:cs="Times New Roman"/>
          <w:snapToGrid w:val="0"/>
          <w:color w:val="auto"/>
          <w:spacing w:val="0"/>
          <w:sz w:val="32"/>
          <w:szCs w:val="32"/>
          <w:highlight w:val="none"/>
          <w:lang w:val="en-US" w:eastAsia="zh-CN"/>
        </w:rPr>
        <w:t xml:space="preserve">第一节 </w:t>
      </w:r>
      <w:r>
        <w:rPr>
          <w:rFonts w:hint="default" w:ascii="Times New Roman" w:hAnsi="Times New Roman" w:eastAsia="楷体_GB2312" w:cs="Times New Roman"/>
          <w:snapToGrid w:val="0"/>
          <w:color w:val="auto"/>
          <w:spacing w:val="0"/>
          <w:sz w:val="32"/>
          <w:szCs w:val="32"/>
          <w:highlight w:val="none"/>
        </w:rPr>
        <w:t>全面维护政治安全</w:t>
      </w:r>
      <w:bookmarkEnd w:id="150"/>
      <w:bookmarkEnd w:id="151"/>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全面落实国家安全责任制，加强国家安全宣传教育，增强全民国家安全意识，巩固国家安全人民防线。坚定维护国家政权安全、制度安全、意识形态安全，守护维护政治安全生命线。严格落实意识形态工作责任制，加强各类阵地建设和管理，全面加强网络安全保障体系和能力建设，依法打击危害网络意识形态安全行为。严密防范和打击敌对势力渗透、破坏、颠覆、分裂活动。</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52" w:name="_Toc4031"/>
      <w:bookmarkStart w:id="153" w:name="_Toc18802"/>
      <w:r>
        <w:rPr>
          <w:rFonts w:hint="default" w:ascii="Times New Roman" w:hAnsi="Times New Roman" w:eastAsia="楷体_GB2312" w:cs="Times New Roman"/>
          <w:snapToGrid w:val="0"/>
          <w:color w:val="auto"/>
          <w:spacing w:val="0"/>
          <w:sz w:val="32"/>
          <w:szCs w:val="32"/>
          <w:highlight w:val="none"/>
        </w:rPr>
        <w:t xml:space="preserve">第二节 </w:t>
      </w:r>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 HYPERLINK "" \l "_Toc52057050" </w:instrText>
      </w:r>
      <w:r>
        <w:rPr>
          <w:rFonts w:hint="default" w:ascii="Times New Roman" w:hAnsi="Times New Roman" w:eastAsia="楷体_GB2312" w:cs="Times New Roman"/>
          <w:snapToGrid w:val="0"/>
          <w:color w:val="auto"/>
          <w:spacing w:val="0"/>
          <w:sz w:val="32"/>
          <w:szCs w:val="32"/>
          <w:highlight w:val="none"/>
        </w:rPr>
        <w:fldChar w:fldCharType="separate"/>
      </w:r>
      <w:r>
        <w:rPr>
          <w:rFonts w:hint="default" w:ascii="Times New Roman" w:hAnsi="Times New Roman" w:eastAsia="楷体_GB2312" w:cs="Times New Roman"/>
          <w:snapToGrid w:val="0"/>
          <w:color w:val="auto"/>
          <w:spacing w:val="0"/>
          <w:sz w:val="32"/>
          <w:szCs w:val="32"/>
          <w:highlight w:val="none"/>
        </w:rPr>
        <w:t>全面确保经济</w:t>
      </w:r>
      <w:r>
        <w:rPr>
          <w:rFonts w:hint="default" w:ascii="Times New Roman" w:hAnsi="Times New Roman" w:eastAsia="楷体_GB2312" w:cs="Times New Roman"/>
          <w:snapToGrid w:val="0"/>
          <w:color w:val="auto"/>
          <w:spacing w:val="0"/>
          <w:sz w:val="32"/>
          <w:szCs w:val="32"/>
          <w:highlight w:val="none"/>
        </w:rPr>
        <w:fldChar w:fldCharType="end"/>
      </w:r>
      <w:r>
        <w:rPr>
          <w:rFonts w:hint="default" w:ascii="Times New Roman" w:hAnsi="Times New Roman" w:eastAsia="楷体_GB2312" w:cs="Times New Roman"/>
          <w:snapToGrid w:val="0"/>
          <w:color w:val="auto"/>
          <w:spacing w:val="0"/>
          <w:sz w:val="32"/>
          <w:szCs w:val="32"/>
          <w:highlight w:val="none"/>
        </w:rPr>
        <w:t>和人民生命安全</w:t>
      </w:r>
      <w:bookmarkEnd w:id="152"/>
      <w:bookmarkEnd w:id="15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加强经济安全风险预警、防控机制和能力建设，严密排查和防范经济领域存在的风险隐患，防控化解金融风险、政府债务风险，严厉打击非法集资行为，坚决守住不发生区域性系统性金融风险底线。坚持把保护人民生命安全放在第一位，全面提高公共安全保障能力。完善和落实安全生产责任制，深入开展安全生产专项整治，加强安全生产监管执法，有效遏制重特大安全事故。加强和改进食品药品等质量安全监管，争创省级食品安全示范区。开展全民安全意识教育，健全突发事件应急处置机制和应急物资保障体系，提升防灾减灾抗灾救灾能力。</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54" w:name="_Toc3557"/>
      <w:bookmarkStart w:id="155" w:name="_Toc25125"/>
      <w:r>
        <w:rPr>
          <w:rFonts w:hint="default" w:ascii="Times New Roman" w:hAnsi="Times New Roman" w:eastAsia="楷体_GB2312" w:cs="Times New Roman"/>
          <w:snapToGrid w:val="0"/>
          <w:color w:val="auto"/>
          <w:spacing w:val="0"/>
          <w:sz w:val="32"/>
          <w:szCs w:val="32"/>
          <w:highlight w:val="none"/>
        </w:rPr>
        <w:t>第三节 维护社会稳定和安全</w:t>
      </w:r>
      <w:bookmarkEnd w:id="154"/>
      <w:bookmarkEnd w:id="155"/>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lang w:bidi="ar"/>
        </w:rPr>
        <w:t>完善共建共治共享的社会治理体系。</w:t>
      </w:r>
      <w:r>
        <w:rPr>
          <w:rFonts w:hint="default" w:ascii="Times New Roman" w:hAnsi="Times New Roman" w:eastAsia="仿宋" w:cs="Times New Roman"/>
          <w:color w:val="auto"/>
          <w:spacing w:val="0"/>
          <w:sz w:val="32"/>
          <w:highlight w:val="none"/>
        </w:rPr>
        <w:t>健全党组织领导的“四治”融合城乡基层治理体系，发挥群团组织和社会组织在社会治理中的作用，建设社会治理共同体。推动社会治理重心下移，向基层放权赋能，加强城乡社区治理和服务体系建设，构建党建引领、网格化管理、精细化服务、信息化支持、开放共享的基层管理服务平台。深入推进诉调对接多元化解，强化“法官前出、调解员全程跟进”，充分发挥“一办五中心”作用，坚持和发扬新时代“枫桥经验”。继续推行各级领导干部下基层大接访制度，落实重大信访案件领导分包制度，切实做到“三到位一处理”。健全社会心理服务体系和危机干预。</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lang w:bidi="ar"/>
        </w:rPr>
        <w:t>推进社会治安防控体系建设。</w:t>
      </w:r>
      <w:r>
        <w:rPr>
          <w:rFonts w:hint="default" w:ascii="Times New Roman" w:hAnsi="Times New Roman" w:eastAsia="仿宋" w:cs="Times New Roman"/>
          <w:color w:val="auto"/>
          <w:spacing w:val="0"/>
          <w:sz w:val="32"/>
          <w:highlight w:val="none"/>
        </w:rPr>
        <w:t>持续推进扫黑除恶专项斗争，坚持打防结合，始终保持对违法犯罪的高压态势，妥善做好邪教防范和处置工作，营造和谐安定的社会环境。加快建设“雪亮”工程，运用大数据、智能化手段，构建全方位的治安防控体系。加强城乡结合部、学校周边、房屋出租集中区域、服务娱乐场所等重点部位和薄弱环节的治安集中整治，依法打击各种违法犯罪和暴力恐怖活动，确保犯罪率低于全省平均水平。统筹提升三级综合中心功能，落实综治例会等制度机制，持续整治黄赌毒，坚决防范和打击暴力恐怖、黑恶势力、新型网络犯罪，保持社会和谐稳定。</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lang w:bidi="ar"/>
        </w:rPr>
        <w:t>健全现代应急管理体系。</w:t>
      </w:r>
      <w:r>
        <w:rPr>
          <w:rFonts w:hint="default" w:ascii="Times New Roman" w:hAnsi="Times New Roman" w:eastAsia="仿宋" w:cs="Times New Roman"/>
          <w:color w:val="auto"/>
          <w:spacing w:val="0"/>
          <w:sz w:val="32"/>
          <w:highlight w:val="none"/>
        </w:rPr>
        <w:t>做好全区总体和专项应急预案的制定与修订。建设应急指挥平台，实现应急信息资源对接共享，构建全方位、立体化的应急管理体系。建立应急协调联动机制，推进全区综合性应急救援队伍建设，指导镇办及社会应急救援力量建设</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全面提升救援能力。推进安全生产风险分级管控和隐患排查治理双重预防体系建设。</w:t>
      </w:r>
      <w:r>
        <w:rPr>
          <w:rFonts w:hint="default" w:ascii="Times New Roman" w:hAnsi="Times New Roman" w:eastAsia="仿宋" w:cs="Times New Roman"/>
          <w:color w:val="auto"/>
          <w:spacing w:val="0"/>
          <w:sz w:val="32"/>
          <w:highlight w:val="none"/>
          <w:lang w:val="en-US" w:eastAsia="zh-CN"/>
        </w:rPr>
        <w:t>健全自然灾害风险预判</w:t>
      </w:r>
      <w:r>
        <w:rPr>
          <w:rFonts w:hint="default" w:ascii="Times New Roman" w:hAnsi="Times New Roman" w:eastAsia="仿宋" w:cs="Times New Roman"/>
          <w:color w:val="auto"/>
          <w:spacing w:val="0"/>
          <w:sz w:val="32"/>
          <w:highlight w:val="none"/>
        </w:rPr>
        <w:t>、</w:t>
      </w:r>
      <w:r>
        <w:rPr>
          <w:rFonts w:hint="default" w:ascii="Times New Roman" w:hAnsi="Times New Roman" w:eastAsia="仿宋" w:cs="Times New Roman"/>
          <w:color w:val="auto"/>
          <w:spacing w:val="0"/>
          <w:sz w:val="32"/>
          <w:highlight w:val="none"/>
          <w:lang w:val="en-US" w:eastAsia="zh-CN"/>
        </w:rPr>
        <w:t>监测预警、信息共享机制</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lang w:val="en-US" w:eastAsia="zh-CN"/>
        </w:rPr>
        <w:t>完善自然灾害救助制度</w:t>
      </w:r>
      <w:r>
        <w:rPr>
          <w:rFonts w:hint="default" w:ascii="Times New Roman" w:hAnsi="Times New Roman" w:eastAsia="仿宋" w:cs="Times New Roman"/>
          <w:color w:val="auto"/>
          <w:spacing w:val="0"/>
          <w:sz w:val="32"/>
          <w:highlight w:val="none"/>
        </w:rPr>
        <w:t>。</w:t>
      </w:r>
      <w:r>
        <w:rPr>
          <w:rFonts w:hint="default" w:ascii="Times New Roman" w:hAnsi="Times New Roman" w:eastAsia="仿宋" w:cs="Times New Roman"/>
          <w:color w:val="auto"/>
          <w:spacing w:val="0"/>
          <w:sz w:val="32"/>
          <w:highlight w:val="none"/>
          <w:lang w:val="en-US" w:eastAsia="zh-CN"/>
        </w:rPr>
        <w:t>开展防灾减灾宣传教育和应急疏散</w:t>
      </w:r>
      <w:r>
        <w:rPr>
          <w:rFonts w:hint="default" w:ascii="Times New Roman" w:hAnsi="Times New Roman" w:eastAsia="仿宋" w:cs="Times New Roman"/>
          <w:color w:val="auto"/>
          <w:spacing w:val="0"/>
          <w:sz w:val="32"/>
          <w:highlight w:val="none"/>
        </w:rPr>
        <w:t>演练，</w:t>
      </w:r>
      <w:r>
        <w:rPr>
          <w:rFonts w:hint="default" w:ascii="Times New Roman" w:hAnsi="Times New Roman" w:eastAsia="仿宋" w:cs="Times New Roman"/>
          <w:color w:val="auto"/>
          <w:spacing w:val="0"/>
          <w:sz w:val="32"/>
          <w:highlight w:val="none"/>
          <w:lang w:val="en-US" w:eastAsia="zh-CN"/>
        </w:rPr>
        <w:t>积极发展社会救援力量。</w:t>
      </w:r>
      <w:r>
        <w:rPr>
          <w:rFonts w:hint="default" w:ascii="Times New Roman" w:hAnsi="Times New Roman" w:eastAsia="仿宋" w:cs="Times New Roman"/>
          <w:color w:val="auto"/>
          <w:spacing w:val="0"/>
          <w:sz w:val="32"/>
          <w:highlight w:val="none"/>
        </w:rPr>
        <w:t>进一步加强消防工作</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lang w:val="en-US" w:eastAsia="zh-CN"/>
        </w:rPr>
        <w:t>积极推进区第二消防救援站建设</w:t>
      </w:r>
      <w:r>
        <w:rPr>
          <w:rFonts w:hint="default" w:ascii="Times New Roman" w:hAnsi="Times New Roman" w:eastAsia="仿宋" w:cs="Times New Roman"/>
          <w:color w:val="auto"/>
          <w:spacing w:val="0"/>
          <w:sz w:val="32"/>
          <w:highlight w:val="none"/>
        </w:rPr>
        <w:t>。</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56" w:name="_Toc23828"/>
      <w:bookmarkStart w:id="157" w:name="_Toc18815"/>
      <w:r>
        <w:rPr>
          <w:rFonts w:hint="default" w:ascii="Times New Roman" w:hAnsi="Times New Roman" w:eastAsia="楷体_GB2312" w:cs="Times New Roman"/>
          <w:snapToGrid w:val="0"/>
          <w:color w:val="auto"/>
          <w:spacing w:val="0"/>
          <w:sz w:val="32"/>
          <w:szCs w:val="32"/>
          <w:highlight w:val="none"/>
        </w:rPr>
        <w:t>第四节 全面推进依法治区</w:t>
      </w:r>
      <w:bookmarkEnd w:id="156"/>
      <w:bookmarkEnd w:id="15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lang w:bidi="ar"/>
        </w:rPr>
        <w:t>全面建设法治政府。</w:t>
      </w:r>
      <w:r>
        <w:rPr>
          <w:rFonts w:hint="default" w:ascii="Times New Roman" w:hAnsi="Times New Roman" w:eastAsia="仿宋" w:cs="Times New Roman"/>
          <w:color w:val="auto"/>
          <w:spacing w:val="0"/>
          <w:sz w:val="32"/>
          <w:highlight w:val="none"/>
        </w:rPr>
        <w:t>依法行政，做到“法无授权不可为、法定职责必须为”，加快建设法治卫滨。提升规范执法活动，全面推行行政执法公示制度、执法全过程记录制度及重大执法决定法制审核制度。全面落实重大行政决策程序规定，完善合法性审查、风险评估、责任追究等制度，支持群团组织、社会组织参与社会治理，实现科学民主依法决策。加快构建系统完备、科学规范、运行高效的依法行政制度体系，全面推进政务公开和政府信息公开，确保权力在阳光下运行。打造卫河宪法主题公园，营造学习法律、遵守法律、运用法律的社会氛围。</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lang w:val="en-US" w:eastAsia="zh-CN"/>
        </w:rPr>
      </w:pPr>
      <w:r>
        <w:rPr>
          <w:rFonts w:hint="default" w:ascii="Times New Roman" w:hAnsi="Times New Roman" w:eastAsia="仿宋" w:cs="Times New Roman"/>
          <w:b/>
          <w:bCs/>
          <w:color w:val="auto"/>
          <w:spacing w:val="0"/>
          <w:sz w:val="32"/>
          <w:highlight w:val="none"/>
          <w:lang w:bidi="ar"/>
        </w:rPr>
        <w:t>构建完善法律服务体系。</w:t>
      </w:r>
      <w:r>
        <w:rPr>
          <w:rFonts w:hint="default" w:ascii="Times New Roman" w:hAnsi="Times New Roman" w:eastAsia="仿宋" w:cs="Times New Roman"/>
          <w:color w:val="auto"/>
          <w:spacing w:val="0"/>
          <w:sz w:val="32"/>
          <w:highlight w:val="none"/>
        </w:rPr>
        <w:t>规范提升司法所整体履职能力，充分发挥司法所的职能作用，开展星级司法所创建工作。加强公共法律服务机构与队伍建设，保障法律援助、村</w:t>
      </w:r>
      <w:r>
        <w:rPr>
          <w:rFonts w:hint="default" w:ascii="Times New Roman" w:hAnsi="Times New Roman" w:eastAsia="仿宋" w:cs="Times New Roman"/>
          <w:color w:val="auto"/>
          <w:spacing w:val="0"/>
          <w:sz w:val="32"/>
          <w:highlight w:val="none"/>
          <w:lang w:eastAsia="zh-CN"/>
        </w:rPr>
        <w:t>（居）</w:t>
      </w:r>
      <w:r>
        <w:rPr>
          <w:rFonts w:hint="default" w:ascii="Times New Roman" w:hAnsi="Times New Roman" w:eastAsia="仿宋" w:cs="Times New Roman"/>
          <w:color w:val="auto"/>
          <w:spacing w:val="0"/>
          <w:sz w:val="32"/>
          <w:highlight w:val="none"/>
        </w:rPr>
        <w:t>法律顾问、司法所、人民调解和公共法律服务体系建设各项经费。加快公共法律网络平台建设，完善公共法律实体平台，加强业务培训，</w:t>
      </w:r>
      <w:r>
        <w:rPr>
          <w:rFonts w:hint="default" w:ascii="Times New Roman" w:hAnsi="Times New Roman" w:eastAsia="仿宋" w:cs="Times New Roman"/>
          <w:color w:val="auto"/>
          <w:spacing w:val="0"/>
          <w:sz w:val="32"/>
          <w:highlight w:val="none"/>
          <w:lang w:val="en-US" w:eastAsia="zh-CN"/>
        </w:rPr>
        <w:t>提高法律服务质量和水平。</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rPr>
        <w:t>优化法律援助服务供给</w:t>
      </w:r>
      <w:r>
        <w:rPr>
          <w:rFonts w:hint="default" w:ascii="Times New Roman" w:hAnsi="Times New Roman" w:eastAsia="仿宋" w:cs="Times New Roman"/>
          <w:b w:val="0"/>
          <w:bCs w:val="0"/>
          <w:color w:val="auto"/>
          <w:spacing w:val="0"/>
          <w:sz w:val="32"/>
          <w:highlight w:val="none"/>
        </w:rPr>
        <w:t>。</w:t>
      </w:r>
      <w:r>
        <w:rPr>
          <w:rFonts w:hint="default" w:ascii="Times New Roman" w:hAnsi="Times New Roman" w:eastAsia="仿宋" w:cs="Times New Roman"/>
          <w:color w:val="auto"/>
          <w:spacing w:val="0"/>
          <w:sz w:val="32"/>
          <w:highlight w:val="none"/>
        </w:rPr>
        <w:t>认真贯彻《河南省法律援助条例》，明确免审查经济困难人员范围，规范民事、行政法律援助事项，强化法律援助律师值班制度，健全法律援助案件受理、审查、指派工作机制。持续开展</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助力农民工</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法援惠民生</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深化刑事案件律师辩护全覆盖</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等工作，对特殊群体申请的法律援助，坚持应援尽援</w:t>
      </w:r>
      <w:r>
        <w:rPr>
          <w:rFonts w:hint="eastAsia" w:eastAsia="仿宋" w:cs="Times New Roman"/>
          <w:color w:val="auto"/>
          <w:spacing w:val="0"/>
          <w:sz w:val="32"/>
          <w:highlight w:val="none"/>
          <w:lang w:val="en-US" w:eastAsia="zh-CN"/>
        </w:rPr>
        <w:t>、</w:t>
      </w:r>
      <w:r>
        <w:rPr>
          <w:rFonts w:hint="default" w:ascii="Times New Roman" w:hAnsi="Times New Roman" w:eastAsia="仿宋" w:cs="Times New Roman"/>
          <w:color w:val="auto"/>
          <w:spacing w:val="0"/>
          <w:sz w:val="32"/>
          <w:highlight w:val="none"/>
        </w:rPr>
        <w:t>简化程序、快速办理、及时办结。</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3"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
          <w:bCs/>
          <w:color w:val="auto"/>
          <w:spacing w:val="0"/>
          <w:sz w:val="32"/>
          <w:highlight w:val="none"/>
          <w:lang w:bidi="ar"/>
        </w:rPr>
        <w:t>有效化解社会矛盾纠纷。</w:t>
      </w:r>
      <w:r>
        <w:rPr>
          <w:rFonts w:hint="default" w:ascii="Times New Roman" w:hAnsi="Times New Roman" w:eastAsia="仿宋" w:cs="Times New Roman"/>
          <w:color w:val="auto"/>
          <w:spacing w:val="0"/>
          <w:sz w:val="32"/>
          <w:highlight w:val="none"/>
        </w:rPr>
        <w:t>全面提升人民调解队伍建设水平，完善区、镇</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办</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、村</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居</w:t>
      </w:r>
      <w:r>
        <w:rPr>
          <w:rFonts w:hint="default" w:ascii="Times New Roman" w:hAnsi="Times New Roman"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人民调委会三级调解机构，规范调解卷宗管理，加大经费保障力度，使人民调解工作规范高质量开展。认真宣传落实社区矫正法，加强对特殊人群的管控，进一步推进社区</w:t>
      </w:r>
      <w:r>
        <w:rPr>
          <w:rFonts w:hint="default" w:ascii="Times New Roman" w:hAnsi="Times New Roman" w:eastAsia="仿宋" w:cs="Times New Roman"/>
          <w:color w:val="auto"/>
          <w:spacing w:val="0"/>
          <w:sz w:val="32"/>
          <w:highlight w:val="none"/>
          <w:lang w:val="en-US" w:eastAsia="zh-CN"/>
        </w:rPr>
        <w:t>矫正</w:t>
      </w:r>
      <w:r>
        <w:rPr>
          <w:rFonts w:hint="default" w:ascii="Times New Roman" w:hAnsi="Times New Roman" w:eastAsia="仿宋" w:cs="Times New Roman"/>
          <w:color w:val="auto"/>
          <w:spacing w:val="0"/>
          <w:sz w:val="32"/>
          <w:highlight w:val="none"/>
        </w:rPr>
        <w:t>工作规范化、制度化。</w:t>
      </w:r>
      <w:r>
        <w:rPr>
          <w:rFonts w:hint="default" w:ascii="Times New Roman" w:hAnsi="Times New Roman" w:eastAsia="仿宋" w:cs="Times New Roman"/>
          <w:color w:val="auto"/>
          <w:spacing w:val="0"/>
          <w:sz w:val="32"/>
          <w:highlight w:val="none"/>
          <w:lang w:val="en-US" w:eastAsia="zh-CN"/>
        </w:rPr>
        <w:t>加强对</w:t>
      </w:r>
      <w:r>
        <w:rPr>
          <w:rFonts w:hint="default" w:ascii="Times New Roman" w:hAnsi="Times New Roman" w:eastAsia="仿宋" w:cs="Times New Roman"/>
          <w:color w:val="auto"/>
          <w:spacing w:val="0"/>
          <w:sz w:val="32"/>
          <w:highlight w:val="none"/>
        </w:rPr>
        <w:t>刑满释放人员的</w:t>
      </w:r>
      <w:r>
        <w:rPr>
          <w:rFonts w:hint="default" w:ascii="Times New Roman" w:hAnsi="Times New Roman" w:eastAsia="仿宋" w:cs="Times New Roman"/>
          <w:color w:val="auto"/>
          <w:spacing w:val="0"/>
          <w:sz w:val="32"/>
          <w:highlight w:val="none"/>
          <w:lang w:val="en-US" w:eastAsia="zh-CN"/>
        </w:rPr>
        <w:t>安置</w:t>
      </w:r>
      <w:r>
        <w:rPr>
          <w:rFonts w:hint="default" w:ascii="Times New Roman" w:hAnsi="Times New Roman" w:eastAsia="仿宋" w:cs="Times New Roman"/>
          <w:color w:val="auto"/>
          <w:spacing w:val="0"/>
          <w:sz w:val="32"/>
          <w:highlight w:val="none"/>
        </w:rPr>
        <w:t>帮教，使其顺利回归社会，</w:t>
      </w:r>
      <w:r>
        <w:rPr>
          <w:rFonts w:hint="default" w:ascii="Times New Roman" w:hAnsi="Times New Roman" w:eastAsia="仿宋" w:cs="Times New Roman"/>
          <w:color w:val="auto"/>
          <w:spacing w:val="0"/>
          <w:sz w:val="32"/>
          <w:highlight w:val="none"/>
          <w:lang w:val="en-US" w:eastAsia="zh-CN"/>
        </w:rPr>
        <w:t>维护</w:t>
      </w:r>
      <w:r>
        <w:rPr>
          <w:rFonts w:hint="default" w:ascii="Times New Roman" w:hAnsi="Times New Roman" w:eastAsia="仿宋" w:cs="Times New Roman"/>
          <w:color w:val="auto"/>
          <w:spacing w:val="0"/>
          <w:sz w:val="32"/>
          <w:highlight w:val="none"/>
        </w:rPr>
        <w:t>社会和谐稳定。</w:t>
      </w:r>
    </w:p>
    <w:p>
      <w:pPr>
        <w:pStyle w:val="10"/>
        <w:keepNext w:val="0"/>
        <w:keepLines w:val="0"/>
        <w:pageBreakBefore w:val="0"/>
        <w:widowControl w:val="0"/>
        <w:kinsoku/>
        <w:wordWrap/>
        <w:overflowPunct/>
        <w:topLinePunct w:val="0"/>
        <w:autoSpaceDE/>
        <w:autoSpaceDN/>
        <w:bidi w:val="0"/>
        <w:adjustRightInd/>
        <w:snapToGrid/>
        <w:spacing w:before="292" w:beforeLines="50" w:beforeAutospacing="0" w:after="292" w:afterLines="50" w:afterAutospacing="0" w:line="240" w:lineRule="auto"/>
        <w:ind w:firstLine="0" w:firstLineChars="0"/>
        <w:jc w:val="center"/>
        <w:textAlignment w:val="auto"/>
        <w:outlineLvl w:val="9"/>
        <w:rPr>
          <w:rFonts w:hint="default" w:ascii="Times New Roman" w:hAnsi="Times New Roman" w:eastAsia="黑体" w:cs="Times New Roman"/>
          <w:snapToGrid w:val="0"/>
          <w:color w:val="auto"/>
          <w:spacing w:val="0"/>
          <w:sz w:val="32"/>
          <w:szCs w:val="32"/>
          <w:highlight w:val="none"/>
          <w:lang w:val="en-US" w:eastAsia="zh-CN"/>
        </w:rPr>
      </w:pPr>
      <w:bookmarkStart w:id="158" w:name="_Toc59083734"/>
      <w:bookmarkEnd w:id="158"/>
      <w:bookmarkStart w:id="159" w:name="_Toc3516"/>
      <w:bookmarkStart w:id="160" w:name="_Toc10844"/>
      <w:r>
        <w:rPr>
          <w:rFonts w:hint="default" w:ascii="Times New Roman" w:hAnsi="Times New Roman" w:eastAsia="黑体" w:cs="Times New Roman"/>
          <w:snapToGrid w:val="0"/>
          <w:color w:val="auto"/>
          <w:spacing w:val="0"/>
          <w:sz w:val="32"/>
          <w:szCs w:val="32"/>
          <w:highlight w:val="none"/>
          <w:lang w:val="en-US" w:eastAsia="zh-CN"/>
        </w:rPr>
        <w:t>第十二章 加强规划实施保障</w:t>
      </w:r>
      <w:bookmarkEnd w:id="159"/>
      <w:bookmarkEnd w:id="160"/>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实现“十四五”规划和二〇三五年远景目标，必须坚持党的全面领导，统一思想、凝聚共识，充分调动一切积极因素，广泛团结一切可以团结的力量，形成推动发展的强大合力。</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61" w:name="_Toc20567"/>
      <w:bookmarkStart w:id="162" w:name="_Toc55225222"/>
      <w:bookmarkStart w:id="163" w:name="_Toc8378"/>
      <w:r>
        <w:rPr>
          <w:rFonts w:hint="default" w:ascii="Times New Roman" w:hAnsi="Times New Roman" w:eastAsia="楷体_GB2312" w:cs="Times New Roman"/>
          <w:snapToGrid w:val="0"/>
          <w:color w:val="auto"/>
          <w:spacing w:val="0"/>
          <w:sz w:val="32"/>
          <w:szCs w:val="32"/>
          <w:highlight w:val="none"/>
        </w:rPr>
        <w:t>第一节 坚持党的全面领导</w:t>
      </w:r>
      <w:bookmarkEnd w:id="161"/>
      <w:bookmarkEnd w:id="162"/>
      <w:bookmarkEnd w:id="16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深入学习贯彻落实习近平新时代中国特色社会主义思想，巩固深化“不忘初心、牢记使命”主题教育成果，进一步增强“四个意识”，坚定“四个自信”，做到“两个维护”，严守党的政治纪律和政治规矩。坚决贯彻党把方向、谋大局、定政策、促改革的要求，把党的领导贯彻到经济社会发展全过程各方面。持续大抓基层、大抓基础，建强战斗堡垒，发挥党组织的政治领导力、思想引领力、群众组织力、社会号召力。锲而不舍落实中央八项规定精神，持续纠治形式主义、官僚主义，切实为基层减负。认真贯彻落实党和国家监督体系工作部署，强化对公权力运行的制约和监督，一体推进不敢腐、不能腐、不想腐，营造风清气正的良好政治生态。</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64" w:name="_Toc8190"/>
      <w:bookmarkStart w:id="165" w:name="_Toc14065"/>
      <w:r>
        <w:rPr>
          <w:rFonts w:hint="default" w:ascii="Times New Roman" w:hAnsi="Times New Roman" w:eastAsia="楷体_GB2312" w:cs="Times New Roman"/>
          <w:snapToGrid w:val="0"/>
          <w:color w:val="auto"/>
          <w:spacing w:val="0"/>
          <w:sz w:val="32"/>
          <w:szCs w:val="32"/>
          <w:highlight w:val="none"/>
        </w:rPr>
        <w:t>第二节 推进社会主义政治建设</w:t>
      </w:r>
      <w:bookmarkEnd w:id="164"/>
      <w:bookmarkEnd w:id="165"/>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_GB2312" w:cs="Times New Roman"/>
          <w:color w:val="auto"/>
          <w:spacing w:val="0"/>
          <w:highlight w:val="none"/>
          <w:lang w:eastAsia="zh-CN"/>
        </w:rPr>
      </w:pPr>
      <w:r>
        <w:rPr>
          <w:rFonts w:hint="default" w:ascii="Times New Roman" w:hAnsi="Times New Roman" w:eastAsia="仿宋" w:cs="Times New Roman"/>
          <w:color w:val="auto"/>
          <w:spacing w:val="0"/>
          <w:sz w:val="32"/>
          <w:highlight w:val="none"/>
        </w:rPr>
        <w:t>坚持党的领导、人民当家作主、依法治区有机统一，坚定不移走中国特色社会主义道路。坚持和完善人民代表大会制度，支持和保障人大及其常委会依法行使职权，加强人大对“一府一委两院”的监督。坚持和完善中国共产党领导的多党合作和政治协商制度，加强人民政协专门协商机构建设，提高建言资政和凝聚共识水平。全面贯彻党的宗教工作基本方针，积极引导宗教与社会主义社会相适应。发挥工会、共青团、妇联等人民团体作用，把各自联系的群众紧紧凝聚在党的周围。完善大统战工作格局，全面贯彻党的侨务政策，巩固和发展大团结大联合局面。全面贯彻党的民族政策，促进各民族共同团结奋斗、共同繁荣发展。做好退役军人事务，稳步推进退役军人事务领域治理体系和治理能力现代化。开展全民国防教育，做好双拥工作和军事设施保护工作。不断提升兵员征集质量，努力打造“卫滨精兵”品牌。加强国防后备力量建设，探索完善国防动员机制和军民融合发展机制，努力推动国防建设和经济社会建设协调发展。</w:t>
      </w:r>
      <w:r>
        <w:rPr>
          <w:rFonts w:hint="default" w:ascii="Times New Roman" w:hAnsi="Times New Roman" w:cs="Times New Roman"/>
          <w:color w:val="auto"/>
          <w:spacing w:val="0"/>
          <w:highlight w:val="none"/>
          <w:lang w:eastAsia="zh-CN"/>
        </w:rPr>
        <w:tab/>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66" w:name="_Toc23122"/>
      <w:bookmarkStart w:id="167" w:name="_Toc3202"/>
      <w:r>
        <w:rPr>
          <w:rFonts w:hint="default" w:ascii="Times New Roman" w:hAnsi="Times New Roman" w:eastAsia="楷体_GB2312" w:cs="Times New Roman"/>
          <w:snapToGrid w:val="0"/>
          <w:color w:val="auto"/>
          <w:spacing w:val="0"/>
          <w:sz w:val="32"/>
          <w:szCs w:val="32"/>
          <w:highlight w:val="none"/>
        </w:rPr>
        <w:t>第三节 建设高素质干部队伍</w:t>
      </w:r>
      <w:bookmarkEnd w:id="166"/>
      <w:bookmarkEnd w:id="167"/>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全面贯彻新时代党的组织路线，落实好干部标准，严把政治关、廉洁关和素质能力关，以正确用人导向引领干事创业导向。完善人才工作体系，培养造就大批德才兼备的高素质人才。强化素质能力建设，优化干部队伍结构、加强教育培训和实践锻炼。为基层减负赋能，在政策、待遇等方面给予更多倾斜，关心关爱基层干部。</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68" w:name="_Toc29824"/>
      <w:bookmarkStart w:id="169" w:name="_Toc30365"/>
      <w:bookmarkStart w:id="170" w:name="_Toc8302"/>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 HYPERLINK \l "_Toc17506_WPSOffice_Level2" </w:instrText>
      </w:r>
      <w:r>
        <w:rPr>
          <w:rFonts w:hint="default" w:ascii="Times New Roman" w:hAnsi="Times New Roman" w:eastAsia="楷体_GB2312" w:cs="Times New Roman"/>
          <w:snapToGrid w:val="0"/>
          <w:color w:val="auto"/>
          <w:spacing w:val="0"/>
          <w:sz w:val="32"/>
          <w:szCs w:val="32"/>
          <w:highlight w:val="none"/>
        </w:rPr>
        <w:fldChar w:fldCharType="separate"/>
      </w:r>
      <w:bookmarkStart w:id="171" w:name="_Toc55225224"/>
      <w:r>
        <w:rPr>
          <w:rFonts w:hint="default" w:ascii="Times New Roman" w:hAnsi="Times New Roman" w:eastAsia="楷体_GB2312" w:cs="Times New Roman"/>
          <w:snapToGrid w:val="0"/>
          <w:color w:val="auto"/>
          <w:spacing w:val="0"/>
          <w:sz w:val="32"/>
          <w:szCs w:val="32"/>
          <w:highlight w:val="none"/>
        </w:rPr>
        <w:t>第四节 突出重大项目带动</w:t>
      </w:r>
      <w:bookmarkEnd w:id="171"/>
      <w:r>
        <w:rPr>
          <w:rFonts w:hint="default" w:ascii="Times New Roman" w:hAnsi="Times New Roman" w:eastAsia="楷体_GB2312" w:cs="Times New Roman"/>
          <w:snapToGrid w:val="0"/>
          <w:color w:val="auto"/>
          <w:spacing w:val="0"/>
          <w:sz w:val="32"/>
          <w:szCs w:val="32"/>
          <w:highlight w:val="none"/>
        </w:rPr>
        <w:fldChar w:fldCharType="end"/>
      </w:r>
      <w:bookmarkEnd w:id="168"/>
      <w:bookmarkEnd w:id="169"/>
      <w:bookmarkEnd w:id="170"/>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bCs/>
          <w:color w:val="auto"/>
          <w:spacing w:val="0"/>
          <w:sz w:val="32"/>
          <w:highlight w:val="none"/>
          <w:lang w:bidi="ar"/>
        </w:rPr>
        <w:t>把项目建设作为</w:t>
      </w:r>
      <w:r>
        <w:rPr>
          <w:rFonts w:hint="default" w:ascii="Times New Roman" w:hAnsi="Times New Roman" w:eastAsia="仿宋" w:cs="Times New Roman"/>
          <w:color w:val="auto"/>
          <w:spacing w:val="0"/>
          <w:sz w:val="32"/>
          <w:highlight w:val="none"/>
        </w:rPr>
        <w:t>“</w:t>
      </w:r>
      <w:r>
        <w:rPr>
          <w:rFonts w:hint="default" w:ascii="Times New Roman" w:hAnsi="Times New Roman" w:eastAsia="仿宋" w:cs="Times New Roman"/>
          <w:bCs/>
          <w:color w:val="auto"/>
          <w:spacing w:val="0"/>
          <w:sz w:val="32"/>
          <w:highlight w:val="none"/>
          <w:lang w:bidi="ar"/>
        </w:rPr>
        <w:t>一把手</w:t>
      </w:r>
      <w:r>
        <w:rPr>
          <w:rFonts w:hint="default" w:ascii="Times New Roman" w:hAnsi="Times New Roman" w:eastAsia="仿宋" w:cs="Times New Roman"/>
          <w:color w:val="auto"/>
          <w:spacing w:val="0"/>
          <w:sz w:val="32"/>
          <w:highlight w:val="none"/>
        </w:rPr>
        <w:t>”</w:t>
      </w:r>
      <w:r>
        <w:rPr>
          <w:rFonts w:hint="default" w:ascii="Times New Roman" w:hAnsi="Times New Roman" w:eastAsia="仿宋" w:cs="Times New Roman"/>
          <w:bCs/>
          <w:color w:val="auto"/>
          <w:spacing w:val="0"/>
          <w:sz w:val="32"/>
          <w:highlight w:val="none"/>
          <w:lang w:bidi="ar"/>
        </w:rPr>
        <w:t>工程。</w:t>
      </w:r>
      <w:r>
        <w:rPr>
          <w:rFonts w:hint="default" w:ascii="Times New Roman" w:hAnsi="Times New Roman" w:eastAsia="仿宋" w:cs="Times New Roman"/>
          <w:color w:val="auto"/>
          <w:spacing w:val="0"/>
          <w:sz w:val="32"/>
          <w:highlight w:val="none"/>
        </w:rPr>
        <w:t>突出大项目带动、大园区承载、大企业引领，持续谋划一批、储备一批、招引一批、开工一批、建成一批带动能力强的重大项目。抢抓黄河流域生态保护和高质量发展等机遇，围绕产业发展、科技创新、基础设施、乡村振兴、社会事业等谋划实施一批投资规模大、科技含量高的重大项目、重大工程，形成储备一批、建设一批、投产一批的良性循环。通过项目建设，有力地促进“十四五”规划的落实和经济社会发展。</w:t>
      </w:r>
      <w:r>
        <w:rPr>
          <w:rFonts w:hint="default" w:ascii="Times New Roman" w:hAnsi="Times New Roman" w:eastAsia="仿宋" w:cs="Times New Roman"/>
          <w:bCs/>
          <w:color w:val="auto"/>
          <w:spacing w:val="0"/>
          <w:sz w:val="32"/>
          <w:highlight w:val="none"/>
          <w:lang w:bidi="ar"/>
        </w:rPr>
        <w:t>完善重大项目责任推进机制，</w:t>
      </w:r>
      <w:r>
        <w:rPr>
          <w:rFonts w:hint="default" w:ascii="Times New Roman" w:hAnsi="Times New Roman" w:eastAsia="仿宋" w:cs="Times New Roman"/>
          <w:color w:val="auto"/>
          <w:spacing w:val="0"/>
          <w:sz w:val="32"/>
          <w:highlight w:val="none"/>
        </w:rPr>
        <w:t>对重大签约项目，明确责任领导、责任单位、责任人，制定项目推进计划，明确进度要求，全程跟踪服务，加快项目落地开工建设。实行重大项目督查通报制度，坚持月通报、季点评、半年观摩、全年总评工作机制，比谋划看储备、比前期看转化、比招引看投资、比开工看进度、比服务看实效，不断激发投资活力、优化投资结构、提高投资贡献率。强化重点项目资金、土地等要素保障。</w:t>
      </w:r>
      <w:bookmarkStart w:id="172" w:name="_Toc7573"/>
      <w:bookmarkStart w:id="173" w:name="_Toc23550"/>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lang w:val="en-US" w:eastAsia="zh-CN"/>
        </w:rPr>
      </w:pPr>
      <w:r>
        <w:rPr>
          <w:rFonts w:hint="default" w:ascii="Times New Roman" w:hAnsi="Times New Roman" w:eastAsia="楷体_GB2312" w:cs="Times New Roman"/>
          <w:snapToGrid w:val="0"/>
          <w:color w:val="auto"/>
          <w:spacing w:val="0"/>
          <w:sz w:val="32"/>
          <w:szCs w:val="32"/>
          <w:highlight w:val="none"/>
          <w:lang w:val="en-US" w:eastAsia="zh-CN"/>
        </w:rPr>
        <w:t>第五节 健全规划实施机制</w:t>
      </w:r>
      <w:bookmarkEnd w:id="172"/>
      <w:bookmarkEnd w:id="173"/>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lang w:bidi="ar"/>
        </w:rPr>
      </w:pPr>
      <w:r>
        <w:rPr>
          <w:rFonts w:hint="default" w:ascii="Times New Roman" w:hAnsi="Times New Roman" w:eastAsia="仿宋" w:cs="Times New Roman"/>
          <w:color w:val="auto"/>
          <w:spacing w:val="0"/>
          <w:sz w:val="32"/>
          <w:highlight w:val="none"/>
          <w:lang w:bidi="ar"/>
        </w:rPr>
        <w:t>健全各级各类规划衔接协调机制，增强国民经济和社会发展规划对各级各类规划编制的指导作用，确保各级各类规划在总体要求上指向一致、空间配置上相互协调、时序安排上科学有序。加强年度计划与发展规划衔接，分解本规划确定的发展目标、重点任务和重大项目，明确牵头单位、工作责任、年度目标和推进举措，确保规划目标任务有方案、按计划、分步骤有效得到落实。建立健全规划实施定期考核机制，按照规划实施的目标责任和任务分工，全面考核各镇</w:t>
      </w:r>
      <w:r>
        <w:rPr>
          <w:rFonts w:hint="eastAsia" w:eastAsia="仿宋" w:cs="Times New Roman"/>
          <w:color w:val="auto"/>
          <w:spacing w:val="0"/>
          <w:sz w:val="32"/>
          <w:highlight w:val="none"/>
          <w:lang w:eastAsia="zh-CN" w:bidi="ar"/>
        </w:rPr>
        <w:t>（</w:t>
      </w:r>
      <w:r>
        <w:rPr>
          <w:rFonts w:hint="default" w:ascii="Times New Roman" w:hAnsi="Times New Roman" w:eastAsia="仿宋" w:cs="Times New Roman"/>
          <w:color w:val="auto"/>
          <w:spacing w:val="0"/>
          <w:sz w:val="32"/>
          <w:highlight w:val="none"/>
          <w:lang w:bidi="ar"/>
        </w:rPr>
        <w:t>办</w:t>
      </w:r>
      <w:r>
        <w:rPr>
          <w:rFonts w:hint="eastAsia" w:eastAsia="仿宋" w:cs="Times New Roman"/>
          <w:color w:val="auto"/>
          <w:spacing w:val="0"/>
          <w:sz w:val="32"/>
          <w:highlight w:val="none"/>
          <w:lang w:eastAsia="zh-CN" w:bidi="ar"/>
        </w:rPr>
        <w:t>）</w:t>
      </w:r>
      <w:r>
        <w:rPr>
          <w:rFonts w:hint="default" w:ascii="Times New Roman" w:hAnsi="Times New Roman" w:eastAsia="仿宋" w:cs="Times New Roman"/>
          <w:color w:val="auto"/>
          <w:spacing w:val="0"/>
          <w:sz w:val="32"/>
          <w:highlight w:val="none"/>
          <w:lang w:bidi="ar"/>
        </w:rPr>
        <w:t>、各有关部门的贯彻落实情况。运用定量考核与定性评估的方法，提高规划评估考核的科学性。开展中期评估，根据中期评估情况以及国内外形势变化需要适时对规划进行修订。完善规划实施监督机制，自觉接受人大监督、社会监督、审计监督。</w:t>
      </w:r>
    </w:p>
    <w:p>
      <w:pPr>
        <w:pStyle w:val="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outlineLvl w:val="9"/>
        <w:rPr>
          <w:rFonts w:hint="default" w:ascii="Times New Roman" w:hAnsi="Times New Roman" w:eastAsia="楷体_GB2312" w:cs="Times New Roman"/>
          <w:snapToGrid w:val="0"/>
          <w:color w:val="auto"/>
          <w:spacing w:val="0"/>
          <w:sz w:val="32"/>
          <w:szCs w:val="32"/>
          <w:highlight w:val="none"/>
        </w:rPr>
      </w:pPr>
      <w:bookmarkStart w:id="174" w:name="_Toc18376"/>
      <w:bookmarkStart w:id="175" w:name="_Toc30742"/>
      <w:bookmarkStart w:id="176" w:name="_Toc759"/>
      <w:r>
        <w:rPr>
          <w:rFonts w:hint="default" w:ascii="Times New Roman" w:hAnsi="Times New Roman" w:eastAsia="楷体_GB2312" w:cs="Times New Roman"/>
          <w:snapToGrid w:val="0"/>
          <w:color w:val="auto"/>
          <w:spacing w:val="0"/>
          <w:sz w:val="32"/>
          <w:szCs w:val="32"/>
          <w:highlight w:val="none"/>
        </w:rPr>
        <w:fldChar w:fldCharType="begin"/>
      </w:r>
      <w:r>
        <w:rPr>
          <w:rFonts w:hint="default" w:ascii="Times New Roman" w:hAnsi="Times New Roman" w:eastAsia="楷体_GB2312" w:cs="Times New Roman"/>
          <w:snapToGrid w:val="0"/>
          <w:color w:val="auto"/>
          <w:spacing w:val="0"/>
          <w:sz w:val="32"/>
          <w:szCs w:val="32"/>
          <w:highlight w:val="none"/>
        </w:rPr>
        <w:instrText xml:space="preserve"> HYPERLINK \l _Toc27230_WPSOffice_Level2 </w:instrText>
      </w:r>
      <w:r>
        <w:rPr>
          <w:rFonts w:hint="default" w:ascii="Times New Roman" w:hAnsi="Times New Roman" w:eastAsia="楷体_GB2312" w:cs="Times New Roman"/>
          <w:snapToGrid w:val="0"/>
          <w:color w:val="auto"/>
          <w:spacing w:val="0"/>
          <w:sz w:val="32"/>
          <w:szCs w:val="32"/>
          <w:highlight w:val="none"/>
        </w:rPr>
        <w:fldChar w:fldCharType="separate"/>
      </w:r>
      <w:bookmarkStart w:id="177" w:name="_Toc55225228"/>
      <w:r>
        <w:rPr>
          <w:rFonts w:hint="default" w:ascii="Times New Roman" w:hAnsi="Times New Roman" w:eastAsia="楷体_GB2312" w:cs="Times New Roman"/>
          <w:snapToGrid w:val="0"/>
          <w:color w:val="auto"/>
          <w:spacing w:val="0"/>
          <w:sz w:val="32"/>
          <w:szCs w:val="32"/>
          <w:highlight w:val="none"/>
        </w:rPr>
        <w:t xml:space="preserve">第六节 </w:t>
      </w:r>
      <w:bookmarkEnd w:id="177"/>
      <w:r>
        <w:rPr>
          <w:rFonts w:hint="default" w:ascii="Times New Roman" w:hAnsi="Times New Roman" w:eastAsia="楷体_GB2312" w:cs="Times New Roman"/>
          <w:snapToGrid w:val="0"/>
          <w:color w:val="auto"/>
          <w:spacing w:val="0"/>
          <w:sz w:val="32"/>
          <w:szCs w:val="32"/>
          <w:highlight w:val="none"/>
        </w:rPr>
        <w:t>营造</w:t>
      </w:r>
      <w:r>
        <w:rPr>
          <w:rFonts w:hint="default" w:ascii="Times New Roman" w:hAnsi="Times New Roman" w:eastAsia="楷体_GB2312" w:cs="Times New Roman"/>
          <w:color w:val="auto"/>
          <w:spacing w:val="0"/>
          <w:sz w:val="32"/>
          <w:szCs w:val="32"/>
          <w:highlight w:val="none"/>
        </w:rPr>
        <w:t>良好</w:t>
      </w:r>
      <w:r>
        <w:rPr>
          <w:rFonts w:hint="default" w:ascii="Times New Roman" w:hAnsi="Times New Roman" w:eastAsia="楷体_GB2312" w:cs="Times New Roman"/>
          <w:snapToGrid w:val="0"/>
          <w:color w:val="auto"/>
          <w:spacing w:val="0"/>
          <w:sz w:val="32"/>
          <w:szCs w:val="32"/>
          <w:highlight w:val="none"/>
        </w:rPr>
        <w:t>发展环境</w:t>
      </w:r>
      <w:r>
        <w:rPr>
          <w:rFonts w:hint="default" w:ascii="Times New Roman" w:hAnsi="Times New Roman" w:eastAsia="楷体_GB2312" w:cs="Times New Roman"/>
          <w:snapToGrid w:val="0"/>
          <w:color w:val="auto"/>
          <w:spacing w:val="0"/>
          <w:sz w:val="32"/>
          <w:szCs w:val="32"/>
          <w:highlight w:val="none"/>
        </w:rPr>
        <w:fldChar w:fldCharType="end"/>
      </w:r>
      <w:bookmarkEnd w:id="174"/>
      <w:bookmarkEnd w:id="175"/>
      <w:bookmarkEnd w:id="176"/>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color w:val="auto"/>
          <w:spacing w:val="0"/>
          <w:sz w:val="32"/>
          <w:highlight w:val="none"/>
        </w:rPr>
      </w:pPr>
      <w:r>
        <w:rPr>
          <w:rFonts w:hint="default" w:ascii="Times New Roman" w:hAnsi="Times New Roman" w:eastAsia="仿宋" w:cs="Times New Roman"/>
          <w:color w:val="auto"/>
          <w:spacing w:val="0"/>
          <w:sz w:val="32"/>
          <w:highlight w:val="none"/>
        </w:rPr>
        <w:t>采取多种形式，面向社会、面向广大市民，广泛宣传规划，增强公众对规划的认识和了解，让规划确定的方针政策和发展蓝图深入人心，激发全区人民参与规划实施的主人翁意识，动员和引导全社会力量共同推进规划落实。建立和完善社会参与机制，依法对规划制定和执行情况进行信息公开，有效组织引导公众通过法定程序和渠道参与规划的实施和监督，发挥新闻媒体、群众社团的桥梁和监督作用，充分发挥各级政府、社会各界的积极性、主动性和创造性，尊重基层首创精神，汇聚人民群众的力量和智慧，形成全区人民群策群力、共建共享的生动局面。</w:t>
      </w:r>
    </w:p>
    <w:p>
      <w:pPr>
        <w:pStyle w:val="10"/>
        <w:pageBreakBefore w:val="0"/>
        <w:widowControl w:val="0"/>
        <w:kinsoku/>
        <w:wordWrap/>
        <w:overflowPunct/>
        <w:topLinePunct w:val="0"/>
        <w:autoSpaceDE/>
        <w:autoSpaceDN/>
        <w:bidi w:val="0"/>
        <w:spacing w:before="0" w:beforeLines="0" w:beforeAutospacing="0" w:after="0" w:afterLines="0" w:afterAutospacing="0" w:line="240" w:lineRule="auto"/>
        <w:ind w:firstLine="640" w:firstLineChars="200"/>
        <w:jc w:val="both"/>
        <w:textAlignment w:val="auto"/>
        <w:outlineLvl w:val="9"/>
        <w:rPr>
          <w:rFonts w:hint="default" w:ascii="Times New Roman" w:hAnsi="Times New Roman" w:eastAsia="仿宋" w:cs="Times New Roman"/>
          <w:b/>
          <w:bCs/>
          <w:color w:val="auto"/>
          <w:spacing w:val="0"/>
          <w:sz w:val="32"/>
          <w:highlight w:val="none"/>
          <w:lang w:bidi="ar"/>
        </w:rPr>
      </w:pPr>
      <w:r>
        <w:rPr>
          <w:rFonts w:hint="default" w:ascii="Times New Roman" w:hAnsi="Times New Roman" w:eastAsia="仿宋" w:cs="Times New Roman"/>
          <w:color w:val="auto"/>
          <w:spacing w:val="0"/>
          <w:sz w:val="32"/>
          <w:highlight w:val="none"/>
        </w:rPr>
        <w:t>实现“十四五”规划和二〇三五年远景目标，意义重大，任务艰巨，前景光明。让我们更加紧密团结在以习近平同志为核心的党中央周围，牢记嘱托、勇担使命</w:t>
      </w:r>
      <w:r>
        <w:rPr>
          <w:rFonts w:hint="eastAsia"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锐意进取</w:t>
      </w:r>
      <w:r>
        <w:rPr>
          <w:rFonts w:hint="eastAsia" w:eastAsia="仿宋" w:cs="Times New Roman"/>
          <w:color w:val="auto"/>
          <w:spacing w:val="0"/>
          <w:sz w:val="32"/>
          <w:highlight w:val="none"/>
          <w:lang w:eastAsia="zh-CN"/>
        </w:rPr>
        <w:t>、</w:t>
      </w:r>
      <w:r>
        <w:rPr>
          <w:rFonts w:hint="default" w:ascii="Times New Roman" w:hAnsi="Times New Roman" w:eastAsia="仿宋" w:cs="Times New Roman"/>
          <w:color w:val="auto"/>
          <w:spacing w:val="0"/>
          <w:sz w:val="32"/>
          <w:highlight w:val="none"/>
        </w:rPr>
        <w:t>真抓实干，为建设活力卫滨、繁荣卫滨、美丽卫滨、幸福卫滨，实现“十四五”规划宏伟蓝图和二〇三五年远景目标而努力奋斗！</w:t>
      </w:r>
    </w:p>
    <w:p>
      <w:pPr>
        <w:pStyle w:val="3"/>
        <w:rPr>
          <w:rFonts w:hint="default" w:ascii="Times New Roman" w:hAnsi="Times New Roman" w:eastAsia="仿宋_GB2312" w:cs="Times New Roman"/>
          <w:b w:val="0"/>
          <w:bCs w:val="0"/>
          <w:color w:val="000000"/>
          <w:sz w:val="32"/>
          <w:szCs w:val="32"/>
          <w:u w:val="none"/>
        </w:rPr>
      </w:pPr>
    </w:p>
    <w:sectPr>
      <w:footerReference r:id="rId4" w:type="default"/>
      <w:pgSz w:w="11906" w:h="16838"/>
      <w:pgMar w:top="2098" w:right="1474" w:bottom="1984" w:left="1587" w:header="851" w:footer="1134" w:gutter="0"/>
      <w:pgNumType w:fmt="decimal" w:start="1"/>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-104775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8.25pt;height:144pt;width:144pt;mso-position-horizontal:outside;mso-position-horizontal-relative:margin;mso-wrap-style:none;z-index:251659264;mso-width-relative:page;mso-height-relative:page;" filled="f" stroked="f" coordsize="21600,21600" o:gfxdata="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mvgH7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pPr>
                      <w:pStyle w:val="6"/>
                      <w:rPr>
                        <w:rFonts w:hint="default"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-104775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8.25pt;height:144pt;width:144pt;mso-position-horizontal:outside;mso-position-horizontal-relative:margin;mso-wrap-style:none;z-index:251660288;mso-width-relative:page;mso-height-relative:page;" filled="f" stroked="f" coordsize="21600,21600" o:gfxdata="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Zr4B+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pPr>
                      <w:pStyle w:val="6"/>
                      <w:rPr>
                        <w:rFonts w:hint="default"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Y2E1YWJiN2YzMWVkODFhZmI3Zjc0MDI4ZTNkNDEifQ=="/>
  </w:docVars>
  <w:rsids>
    <w:rsidRoot w:val="00601688"/>
    <w:rsid w:val="00601688"/>
    <w:rsid w:val="0C575D3B"/>
    <w:rsid w:val="149577F2"/>
    <w:rsid w:val="1E5B5C28"/>
    <w:rsid w:val="1E9A16BC"/>
    <w:rsid w:val="1FFA721C"/>
    <w:rsid w:val="24182B21"/>
    <w:rsid w:val="2B6B1C92"/>
    <w:rsid w:val="2ED11C94"/>
    <w:rsid w:val="30CF6C9F"/>
    <w:rsid w:val="39B561C9"/>
    <w:rsid w:val="4D7912E1"/>
    <w:rsid w:val="4E4047AF"/>
    <w:rsid w:val="534E0C51"/>
    <w:rsid w:val="632638A0"/>
    <w:rsid w:val="66AB72EE"/>
    <w:rsid w:val="7428691F"/>
    <w:rsid w:val="74C5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156" w:beforeLines="50" w:after="156" w:afterLines="50" w:line="570" w:lineRule="exact"/>
      <w:jc w:val="center"/>
      <w:outlineLvl w:val="0"/>
    </w:pPr>
    <w:rPr>
      <w:rFonts w:eastAsia="黑体"/>
      <w:bCs/>
      <w:kern w:val="44"/>
      <w:szCs w:val="44"/>
    </w:rPr>
  </w:style>
  <w:style w:type="paragraph" w:styleId="5">
    <w:name w:val="heading 2"/>
    <w:basedOn w:val="1"/>
    <w:next w:val="1"/>
    <w:qFormat/>
    <w:uiPriority w:val="9"/>
    <w:pPr>
      <w:keepNext/>
      <w:keepLines/>
      <w:widowControl w:val="0"/>
      <w:adjustRightInd/>
      <w:snapToGrid/>
      <w:spacing w:before="156" w:beforeLines="50" w:after="156" w:afterLines="50" w:line="570" w:lineRule="exact"/>
      <w:jc w:val="center"/>
      <w:outlineLvl w:val="1"/>
    </w:pPr>
    <w:rPr>
      <w:rFonts w:ascii="Arial" w:hAnsi="Arial" w:eastAsia="楷体"/>
      <w:b/>
      <w:szCs w:val="20"/>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afterLines="0"/>
    </w:pPr>
    <w:rPr>
      <w:rFonts w:eastAsia="宋体"/>
      <w:kern w:val="0"/>
      <w:sz w:val="20"/>
      <w:szCs w:val="20"/>
    </w:rPr>
  </w:style>
  <w:style w:type="paragraph" w:styleId="3">
    <w:name w:val="Body Text 2"/>
    <w:basedOn w:val="1"/>
    <w:qFormat/>
    <w:uiPriority w:val="0"/>
    <w:pPr>
      <w:widowControl w:val="0"/>
      <w:jc w:val="both"/>
    </w:pPr>
    <w:rPr>
      <w:rFonts w:ascii="Calibri" w:hAnsi="Calibri" w:eastAsia="宋体" w:cs="Times New Roman"/>
      <w:kern w:val="2"/>
      <w:sz w:val="24"/>
      <w:szCs w:val="24"/>
      <w:lang w:val="en-US" w:eastAsia="zh-CN" w:bidi="ar-SA"/>
    </w:rPr>
  </w:style>
  <w:style w:type="paragraph" w:styleId="6">
    <w:name w:val="footer"/>
    <w:basedOn w:val="1"/>
    <w:qFormat/>
    <w:uiPriority w:val="99"/>
    <w:pPr>
      <w:tabs>
        <w:tab w:val="center" w:pos="4153"/>
        <w:tab w:val="right" w:pos="8306"/>
      </w:tabs>
    </w:pPr>
    <w:rPr>
      <w:rFonts w:eastAsia="宋体"/>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rPr>
      <w:rFonts w:ascii="Times New Roman" w:hAnsi="Times New Roman" w:eastAsia="黑体"/>
      <w:sz w:val="28"/>
    </w:rPr>
  </w:style>
  <w:style w:type="paragraph" w:styleId="9">
    <w:name w:val="toc 2"/>
    <w:basedOn w:val="1"/>
    <w:next w:val="1"/>
    <w:unhideWhenUsed/>
    <w:qFormat/>
    <w:uiPriority w:val="39"/>
    <w:pPr>
      <w:ind w:left="420" w:leftChars="200"/>
    </w:pPr>
    <w:rPr>
      <w:rFonts w:ascii="Times New Roman" w:hAnsi="Times New Roman" w:eastAsia="楷体"/>
      <w:sz w:val="28"/>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styleId="11">
    <w:name w:val="Body Text First Indent"/>
    <w:basedOn w:val="2"/>
    <w:qFormat/>
    <w:uiPriority w:val="0"/>
    <w:pPr>
      <w:spacing w:after="0" w:afterLines="0"/>
      <w:ind w:firstLine="420"/>
    </w:pPr>
    <w:rPr>
      <w:bCs/>
    </w:rPr>
  </w:style>
  <w:style w:type="paragraph" w:styleId="12">
    <w:name w:val="Body Text First Indent 2"/>
    <w:basedOn w:val="1"/>
    <w:next w:val="1"/>
    <w:qFormat/>
    <w:uiPriority w:val="0"/>
    <w:pPr>
      <w:ind w:firstLine="420" w:firstLineChars="200"/>
    </w:pPr>
    <w:rPr>
      <w:rFonts w:eastAsia="宋体"/>
      <w:kern w:val="0"/>
      <w:sz w:val="20"/>
      <w:szCs w:val="20"/>
    </w:rPr>
  </w:style>
  <w:style w:type="character" w:styleId="15">
    <w:name w:val="page number"/>
    <w:basedOn w:val="14"/>
    <w:unhideWhenUsed/>
    <w:qFormat/>
    <w:uiPriority w:val="99"/>
  </w:style>
  <w:style w:type="character" w:customStyle="1" w:styleId="16">
    <w:name w:val="font2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38390</Words>
  <Characters>38850</Characters>
  <Lines>0</Lines>
  <Paragraphs>0</Paragraphs>
  <TotalTime>35</TotalTime>
  <ScaleCrop>false</ScaleCrop>
  <LinksUpToDate>false</LinksUpToDate>
  <CharactersWithSpaces>39068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2021-03-17T07:48:00Z</dcterms:created>
  <dc:creator>lenovo</dc:creator>
  <cp:lastModifiedBy>王东娜</cp:lastModifiedBy>
  <dcterms:modified xsi:type="dcterms:W3CDTF">2023-07-06T07:41:13Z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D9A8474CAB584C9DA5B6D6B208BB0552_12</vt:lpwstr>
  </property>
</Properties>
</file>