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卫滨区农村公路政务服务事项一次性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告知清单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事项一：公路建设项目施工许可(三级、四级公路、独立中小桥施工许可审批流程)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一、审批流程：项目建设单位递交申请—&gt;县交通主管部门受理申请并审核申请材料，提出审核意见—&gt;由县交通主管部门组织审批，做出许可决定—&gt;由交通窗口准许许可发证。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二、需提供材料清单：1、施工许可申请表；2、施工图设计文件批复；3、工程预算评审报告；4、招标备案材料或三重一大有关文件；5、质量监督手续材料；6、工程质量承诺书和安全责任登记表。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三、承诺许可时间：承诺时限：10个工作日。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四、收费标准：不收费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事项二:公路、水运建设项目施工图设计文件审批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权限内公路建设项目施工图设计文件审批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1、流程：建设单位提出申请----交通主管部门受理-----对施工图设计进行审查----将审批文件送达建设单位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2、审批所需提供材料：公路工程施工图设计文件审批申请报告一份；专家或者委托的审查单位对施工图设计的审查（含核查）意见；施工图设计报批稿原件一份；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3、许可时限：15个工作日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权限内公路建设项目施工图设计变更文件审批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1、流程：建设单位提出变更申请----交通主管部门受理-----对施工图设计变更进行审查----将审批文件送达建设单位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2、审批所需提供材料：公路工程施工图设计文件审批申请报告一份；专家或者委托的审查单位对施工图设计的审查（含核查）意见；施工图设计报批稿原件一份；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事项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:涉路施工活动许可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因建设工程需要占用、挖掘公路、公路用地或者使公路改线的许可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在公路上增设或者改造平面交叉道路的许可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利用跨越公路的设施悬挂非公路标志的许可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，非公路标志牌的外廓尺寸、结构及安全性能的说明；③涉及公路施工方案及施工组织设计；④安全保障措施及应急预案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在公路用地范围内设置公路标志以外的其他标志的许可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，非公路标志牌的外廓尺寸、结构及安全性能的说明；③涉及公路施工方案及施工组织设计；④安全保障措施及应急预案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跨越、穿越公路修建桥梁、渡槽或者架设、埋设管道、电缆等设施的许可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，管道及电缆等设施不会影响公路营运的安全性能的说明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利用公路桥梁、公路隧道、涵洞铺设电缆等设施的许可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，管道及电缆等设施不会影响公路营运的安全性能的说明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在公路建筑控制区内埋设管道、电缆等设施的许可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，管道及电缆等设施不会影响公路营运的安全性能的说明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在公路用地范围内架设、埋设管道、电缆等设施的许可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建设工程批文（原件审查后退回，交复印件1份）；②建设项目的设计图纸及其评审资料；③涉及公路施工方案及施工组织设计；④安全保障措施及应急预案，管道及电缆等设施不会影响公路营运的安全性能的说明；⑤设计单位的资质证明材料；⑥申请人的情况证明（单位法人证书或营业执照、法人身份证明，原件审查后退回，交复印件1份）；⑦办理人的授权委托书和身份证明（原件审查后退回，交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3、许可时限：20个工作日。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事项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：更新采伐护路林审批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1、流程：建设单位(或自然人）提出使用申请----交通主管部门受理----对提供的材料进行审核----组织现场核查----许可。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审批所需提供的材料：⑴交通行政许可申请书；⑵附件材料（1式1份，要求有目录，按照顺序装订成册）如下：①取得林业部门许可的有关材料；②符合公路绿化工程技术标准的补种方案；③符合保证公路安全、畅通要求的砍伐作业方案；④不能及时补种的由公路管理机构代为补种的补偿方案；⑤申请人的情况证明（单位法人证书或营业执照、法人身份证明，原件审查后退回，交复印件1份）；⑥办理人的授权委托书和身份证明（原件审查后退回，交复印件1份）；⑦补种的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3、许可时限：15个工作日。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OGNmYTc1YjFlNDc5ODA2MTlkM2YwZjFjYTM2YTcifQ=="/>
  </w:docVars>
  <w:rsids>
    <w:rsidRoot w:val="365717B9"/>
    <w:rsid w:val="365717B9"/>
    <w:rsid w:val="7371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3467</Words>
  <Characters>3606</Characters>
  <Lines>0</Lines>
  <Paragraphs>0</Paragraphs>
  <TotalTime>12</TotalTime>
  <ScaleCrop>false</ScaleCrop>
  <LinksUpToDate>false</LinksUpToDate>
  <CharactersWithSpaces>3606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2023-12-12T08:36:00Z</dcterms:created>
  <dc:creator>Ryuk</dc:creator>
  <cp:lastModifiedBy>Ryuk</cp:lastModifiedBy>
  <dcterms:modified xsi:type="dcterms:W3CDTF">2024-08-28T00:46:14Z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C4560300C9DA4189A33A81869A882D19_11</vt:lpwstr>
  </property>
</Properties>
</file>