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11631">
      <w:pPr>
        <w:jc w:val="center"/>
        <w:rPr>
          <w:rFonts w:hint="eastAsia" w:ascii="宋体" w:hAnsi="宋体" w:eastAsia="宋体" w:cs="宋体"/>
          <w:b/>
          <w:bCs/>
          <w:sz w:val="44"/>
          <w:szCs w:val="52"/>
          <w:lang w:val="en-US" w:eastAsia="zh-CN"/>
        </w:rPr>
      </w:pPr>
      <w:r>
        <w:rPr>
          <w:rFonts w:hint="eastAsia" w:ascii="宋体" w:hAnsi="宋体" w:eastAsia="宋体" w:cs="宋体"/>
          <w:b/>
          <w:bCs/>
          <w:sz w:val="44"/>
          <w:szCs w:val="52"/>
          <w:lang w:val="en-US" w:eastAsia="zh-CN"/>
        </w:rPr>
        <w:t>卫滨区卫健委2026年9月份行政处罚公示名单</w:t>
      </w:r>
    </w:p>
    <w:tbl>
      <w:tblPr>
        <w:tblStyle w:val="3"/>
        <w:tblW w:w="144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893"/>
        <w:gridCol w:w="4097"/>
        <w:gridCol w:w="3575"/>
        <w:gridCol w:w="1621"/>
        <w:gridCol w:w="1476"/>
      </w:tblGrid>
      <w:tr w14:paraId="72385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9" w:type="dxa"/>
            <w:vAlign w:val="top"/>
          </w:tcPr>
          <w:p w14:paraId="66B8579F">
            <w:pPr>
              <w:jc w:val="center"/>
              <w:rPr>
                <w:rFonts w:hint="eastAsia" w:ascii="仿宋" w:hAnsi="仿宋" w:eastAsia="仿宋" w:cs="仿宋"/>
                <w:b w:val="0"/>
                <w:bCs w:val="0"/>
                <w:sz w:val="24"/>
                <w:szCs w:val="24"/>
                <w:vertAlign w:val="baseline"/>
                <w:lang w:val="en-US" w:eastAsia="zh-CN"/>
              </w:rPr>
            </w:pPr>
            <w:r>
              <w:rPr>
                <w:rFonts w:hint="eastAsia" w:ascii="宋体" w:hAnsi="宋体" w:eastAsia="宋体" w:cs="宋体"/>
                <w:b/>
                <w:bCs/>
                <w:sz w:val="28"/>
                <w:szCs w:val="36"/>
                <w:vertAlign w:val="baseline"/>
                <w:lang w:val="en-US" w:eastAsia="zh-CN"/>
              </w:rPr>
              <w:t>序号</w:t>
            </w:r>
          </w:p>
        </w:tc>
        <w:tc>
          <w:tcPr>
            <w:tcW w:w="2893" w:type="dxa"/>
            <w:vAlign w:val="top"/>
          </w:tcPr>
          <w:p w14:paraId="7A43DD2B">
            <w:pPr>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sz w:val="28"/>
                <w:szCs w:val="36"/>
                <w:vertAlign w:val="baseline"/>
                <w:lang w:val="en-US" w:eastAsia="zh-CN"/>
              </w:rPr>
              <w:t>行政处罚决定书文号</w:t>
            </w:r>
          </w:p>
        </w:tc>
        <w:tc>
          <w:tcPr>
            <w:tcW w:w="4097" w:type="dxa"/>
            <w:vAlign w:val="top"/>
          </w:tcPr>
          <w:p w14:paraId="33B7A79F">
            <w:pPr>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sz w:val="28"/>
                <w:szCs w:val="36"/>
                <w:vertAlign w:val="baseline"/>
                <w:lang w:val="en-US" w:eastAsia="zh-CN"/>
              </w:rPr>
              <w:t>案由</w:t>
            </w:r>
          </w:p>
        </w:tc>
        <w:tc>
          <w:tcPr>
            <w:tcW w:w="3575" w:type="dxa"/>
            <w:vAlign w:val="top"/>
          </w:tcPr>
          <w:p w14:paraId="127F8F8E">
            <w:pPr>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sz w:val="28"/>
                <w:szCs w:val="36"/>
                <w:vertAlign w:val="baseline"/>
                <w:lang w:val="en-US" w:eastAsia="zh-CN"/>
              </w:rPr>
              <w:t>处罚依据</w:t>
            </w:r>
          </w:p>
        </w:tc>
        <w:tc>
          <w:tcPr>
            <w:tcW w:w="1621" w:type="dxa"/>
            <w:vAlign w:val="top"/>
          </w:tcPr>
          <w:p w14:paraId="372F8BDF">
            <w:pPr>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b/>
                <w:bCs/>
                <w:sz w:val="28"/>
                <w:szCs w:val="36"/>
                <w:vertAlign w:val="baseline"/>
                <w:lang w:val="en-US" w:eastAsia="zh-CN"/>
              </w:rPr>
              <w:t>罚款金额</w:t>
            </w:r>
          </w:p>
        </w:tc>
        <w:tc>
          <w:tcPr>
            <w:tcW w:w="1476" w:type="dxa"/>
            <w:vAlign w:val="top"/>
          </w:tcPr>
          <w:p w14:paraId="6144185C">
            <w:pPr>
              <w:jc w:val="center"/>
              <w:rPr>
                <w:rFonts w:hint="eastAsia" w:ascii="仿宋" w:hAnsi="仿宋" w:eastAsia="仿宋" w:cs="仿宋"/>
                <w:b w:val="0"/>
                <w:bCs w:val="0"/>
                <w:kern w:val="2"/>
                <w:sz w:val="24"/>
                <w:szCs w:val="24"/>
                <w:vertAlign w:val="baseline"/>
                <w:lang w:val="en-US" w:eastAsia="zh-CN" w:bidi="ar-SA"/>
              </w:rPr>
            </w:pPr>
            <w:r>
              <w:rPr>
                <w:rFonts w:hint="eastAsia" w:ascii="宋体" w:hAnsi="宋体" w:eastAsia="宋体" w:cs="宋体"/>
                <w:b/>
                <w:bCs/>
                <w:sz w:val="28"/>
                <w:szCs w:val="36"/>
                <w:vertAlign w:val="baseline"/>
                <w:lang w:val="en-US" w:eastAsia="zh-CN"/>
              </w:rPr>
              <w:t>处罚日期</w:t>
            </w:r>
          </w:p>
        </w:tc>
      </w:tr>
      <w:tr w14:paraId="46EE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29" w:type="dxa"/>
            <w:vAlign w:val="center"/>
          </w:tcPr>
          <w:p w14:paraId="64CCA1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1</w:t>
            </w:r>
          </w:p>
        </w:tc>
        <w:tc>
          <w:tcPr>
            <w:tcW w:w="2893" w:type="dxa"/>
            <w:shd w:val="clear" w:color="auto" w:fill="auto"/>
            <w:vAlign w:val="center"/>
          </w:tcPr>
          <w:p w14:paraId="6B65F7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卫卫传罚﹝2026﹞2 号</w:t>
            </w:r>
          </w:p>
        </w:tc>
        <w:tc>
          <w:tcPr>
            <w:tcW w:w="4097" w:type="dxa"/>
            <w:shd w:val="clear" w:color="auto" w:fill="auto"/>
            <w:vAlign w:val="center"/>
          </w:tcPr>
          <w:p w14:paraId="7E4D2E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新乡市卫滨区佐今明诊所有限公司未按照规定对污水进行严格消毒排入污水处理系统案</w:t>
            </w:r>
          </w:p>
        </w:tc>
        <w:tc>
          <w:tcPr>
            <w:tcW w:w="3575" w:type="dxa"/>
            <w:shd w:val="clear" w:color="auto" w:fill="auto"/>
            <w:vAlign w:val="center"/>
          </w:tcPr>
          <w:p w14:paraId="1023B1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依据《医疗废物管理条例》第四十七条第五项</w:t>
            </w:r>
          </w:p>
        </w:tc>
        <w:tc>
          <w:tcPr>
            <w:tcW w:w="1621" w:type="dxa"/>
            <w:shd w:val="clear" w:color="auto" w:fill="auto"/>
            <w:vAlign w:val="center"/>
          </w:tcPr>
          <w:p w14:paraId="74ABC2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1.警告；2.罚款人民币 7500 元</w:t>
            </w:r>
          </w:p>
        </w:tc>
        <w:tc>
          <w:tcPr>
            <w:tcW w:w="1476" w:type="dxa"/>
            <w:shd w:val="clear" w:color="auto" w:fill="auto"/>
            <w:vAlign w:val="center"/>
          </w:tcPr>
          <w:p w14:paraId="02F379D3">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2026/09/09</w:t>
            </w:r>
          </w:p>
        </w:tc>
      </w:tr>
      <w:tr w14:paraId="05D6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29" w:type="dxa"/>
            <w:vAlign w:val="center"/>
          </w:tcPr>
          <w:p w14:paraId="45B684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2</w:t>
            </w:r>
          </w:p>
        </w:tc>
        <w:tc>
          <w:tcPr>
            <w:tcW w:w="2893" w:type="dxa"/>
            <w:shd w:val="clear" w:color="auto" w:fill="auto"/>
            <w:vAlign w:val="center"/>
          </w:tcPr>
          <w:p w14:paraId="2767C86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卫卫医罚﹝2026﹞8 号</w:t>
            </w:r>
          </w:p>
        </w:tc>
        <w:tc>
          <w:tcPr>
            <w:tcW w:w="4097" w:type="dxa"/>
            <w:shd w:val="clear" w:color="auto" w:fill="auto"/>
            <w:vAlign w:val="center"/>
          </w:tcPr>
          <w:p w14:paraId="293760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新乡市卫滨区佐今明诊所有限公司使用非卫生技术人员从事医疗卫生技术工作案</w:t>
            </w:r>
          </w:p>
        </w:tc>
        <w:tc>
          <w:tcPr>
            <w:tcW w:w="3575" w:type="dxa"/>
            <w:shd w:val="clear" w:color="auto" w:fill="auto"/>
            <w:vAlign w:val="center"/>
          </w:tcPr>
          <w:p w14:paraId="141A23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依据《医疗机构管理条例》第四十七条</w:t>
            </w:r>
          </w:p>
        </w:tc>
        <w:tc>
          <w:tcPr>
            <w:tcW w:w="1621" w:type="dxa"/>
            <w:shd w:val="clear" w:color="auto" w:fill="auto"/>
            <w:vAlign w:val="center"/>
          </w:tcPr>
          <w:p w14:paraId="2CC5F4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罚款人民币 11000</w:t>
            </w:r>
          </w:p>
        </w:tc>
        <w:tc>
          <w:tcPr>
            <w:tcW w:w="1476" w:type="dxa"/>
            <w:shd w:val="clear" w:color="auto" w:fill="auto"/>
            <w:vAlign w:val="center"/>
          </w:tcPr>
          <w:p w14:paraId="0C8A04DC">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2026/09/09</w:t>
            </w:r>
          </w:p>
        </w:tc>
      </w:tr>
      <w:tr w14:paraId="1066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29" w:type="dxa"/>
            <w:vAlign w:val="center"/>
          </w:tcPr>
          <w:p w14:paraId="496537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3</w:t>
            </w:r>
          </w:p>
        </w:tc>
        <w:tc>
          <w:tcPr>
            <w:tcW w:w="2893" w:type="dxa"/>
            <w:shd w:val="clear" w:color="auto" w:fill="auto"/>
            <w:vAlign w:val="center"/>
          </w:tcPr>
          <w:p w14:paraId="70A623B8">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卫卫医罚﹝2026﹞9 号</w:t>
            </w:r>
          </w:p>
        </w:tc>
        <w:tc>
          <w:tcPr>
            <w:tcW w:w="4097" w:type="dxa"/>
            <w:shd w:val="clear" w:color="auto" w:fill="auto"/>
            <w:vAlign w:val="center"/>
          </w:tcPr>
          <w:p w14:paraId="51C291E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宋璐琼非医师行医案</w:t>
            </w:r>
          </w:p>
        </w:tc>
        <w:tc>
          <w:tcPr>
            <w:tcW w:w="3575" w:type="dxa"/>
            <w:shd w:val="clear" w:color="auto" w:fill="auto"/>
            <w:vAlign w:val="center"/>
          </w:tcPr>
          <w:p w14:paraId="0607EB1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依据《中华人民共和国医师法》第五十九条</w:t>
            </w:r>
          </w:p>
        </w:tc>
        <w:tc>
          <w:tcPr>
            <w:tcW w:w="1621" w:type="dxa"/>
            <w:shd w:val="clear" w:color="auto" w:fill="auto"/>
            <w:vAlign w:val="center"/>
          </w:tcPr>
          <w:p w14:paraId="685BE73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没收违法所得人民币0元；罚款人民币 22000元整</w:t>
            </w:r>
          </w:p>
        </w:tc>
        <w:tc>
          <w:tcPr>
            <w:tcW w:w="1476" w:type="dxa"/>
            <w:shd w:val="clear" w:color="auto" w:fill="auto"/>
            <w:vAlign w:val="center"/>
          </w:tcPr>
          <w:p w14:paraId="1D6CEC23">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2026/09/28</w:t>
            </w:r>
          </w:p>
        </w:tc>
      </w:tr>
      <w:tr w14:paraId="1E6A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29" w:type="dxa"/>
            <w:vAlign w:val="center"/>
          </w:tcPr>
          <w:p w14:paraId="7F5C92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4</w:t>
            </w:r>
          </w:p>
        </w:tc>
        <w:tc>
          <w:tcPr>
            <w:tcW w:w="2893" w:type="dxa"/>
            <w:shd w:val="clear" w:color="auto" w:fill="auto"/>
            <w:vAlign w:val="center"/>
          </w:tcPr>
          <w:p w14:paraId="1CDC2070">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卫卫医罚﹝2026﹞10号</w:t>
            </w:r>
          </w:p>
        </w:tc>
        <w:tc>
          <w:tcPr>
            <w:tcW w:w="4097" w:type="dxa"/>
            <w:shd w:val="clear" w:color="auto" w:fill="auto"/>
            <w:vAlign w:val="center"/>
          </w:tcPr>
          <w:p w14:paraId="0BE5B5B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新乡宝视达眼视光诊所有限公司未经备案擅自开展角膜塑形镜验配活动案</w:t>
            </w:r>
          </w:p>
        </w:tc>
        <w:tc>
          <w:tcPr>
            <w:tcW w:w="3575" w:type="dxa"/>
            <w:shd w:val="clear" w:color="auto" w:fill="auto"/>
            <w:vAlign w:val="center"/>
          </w:tcPr>
          <w:p w14:paraId="1C9D073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依据《医疗机构管理条例》第四十三条</w:t>
            </w:r>
          </w:p>
        </w:tc>
        <w:tc>
          <w:tcPr>
            <w:tcW w:w="1621" w:type="dxa"/>
            <w:shd w:val="clear" w:color="auto" w:fill="auto"/>
            <w:vAlign w:val="center"/>
          </w:tcPr>
          <w:p w14:paraId="079C593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罚款人民币 16000 元</w:t>
            </w:r>
          </w:p>
        </w:tc>
        <w:tc>
          <w:tcPr>
            <w:tcW w:w="1476" w:type="dxa"/>
            <w:shd w:val="clear" w:color="auto" w:fill="auto"/>
            <w:vAlign w:val="center"/>
          </w:tcPr>
          <w:p w14:paraId="53FBE885">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2026/09/28</w:t>
            </w:r>
          </w:p>
        </w:tc>
      </w:tr>
    </w:tbl>
    <w:p w14:paraId="6DBA5232">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mOTQwNjEyMGI2NWI4MzQwMGI3YWIzMzRjM2E1M2EifQ=="/>
  </w:docVars>
  <w:rsids>
    <w:rsidRoot w:val="07042945"/>
    <w:rsid w:val="02614EA2"/>
    <w:rsid w:val="047663A1"/>
    <w:rsid w:val="069D2852"/>
    <w:rsid w:val="07042945"/>
    <w:rsid w:val="07B23B79"/>
    <w:rsid w:val="09DA385F"/>
    <w:rsid w:val="09F37CDD"/>
    <w:rsid w:val="0B3F351A"/>
    <w:rsid w:val="0BCD00FC"/>
    <w:rsid w:val="0BF66CB5"/>
    <w:rsid w:val="0C8C4794"/>
    <w:rsid w:val="0D646356"/>
    <w:rsid w:val="0E072C4A"/>
    <w:rsid w:val="0E2B1677"/>
    <w:rsid w:val="0F7A65DB"/>
    <w:rsid w:val="11D476B3"/>
    <w:rsid w:val="133856ED"/>
    <w:rsid w:val="13ED0CEA"/>
    <w:rsid w:val="15AA79AF"/>
    <w:rsid w:val="15D25187"/>
    <w:rsid w:val="15D375A7"/>
    <w:rsid w:val="16553832"/>
    <w:rsid w:val="19260705"/>
    <w:rsid w:val="1AD81EBF"/>
    <w:rsid w:val="1FF26BAE"/>
    <w:rsid w:val="23840879"/>
    <w:rsid w:val="29AD6B08"/>
    <w:rsid w:val="2BBD23FC"/>
    <w:rsid w:val="2C97623E"/>
    <w:rsid w:val="2CA376BD"/>
    <w:rsid w:val="2DCB7A62"/>
    <w:rsid w:val="2E4C0F1F"/>
    <w:rsid w:val="2ED34012"/>
    <w:rsid w:val="331F5868"/>
    <w:rsid w:val="332F0549"/>
    <w:rsid w:val="34605366"/>
    <w:rsid w:val="3F016FF9"/>
    <w:rsid w:val="42FC1207"/>
    <w:rsid w:val="43E23DC1"/>
    <w:rsid w:val="45682CB5"/>
    <w:rsid w:val="486114B9"/>
    <w:rsid w:val="4997282A"/>
    <w:rsid w:val="4ADC5EE3"/>
    <w:rsid w:val="4BF65EA3"/>
    <w:rsid w:val="4D084DDE"/>
    <w:rsid w:val="4DCE3A17"/>
    <w:rsid w:val="4E7116BE"/>
    <w:rsid w:val="4F8E4314"/>
    <w:rsid w:val="50F90EB6"/>
    <w:rsid w:val="514221EE"/>
    <w:rsid w:val="5302694A"/>
    <w:rsid w:val="534C0FF5"/>
    <w:rsid w:val="53B010BB"/>
    <w:rsid w:val="54037F4D"/>
    <w:rsid w:val="542D3617"/>
    <w:rsid w:val="5977265E"/>
    <w:rsid w:val="5BEF16A3"/>
    <w:rsid w:val="5C1F24A1"/>
    <w:rsid w:val="5C2A0F78"/>
    <w:rsid w:val="5DD67877"/>
    <w:rsid w:val="5E356E1A"/>
    <w:rsid w:val="607711BD"/>
    <w:rsid w:val="654B27B5"/>
    <w:rsid w:val="68000A7F"/>
    <w:rsid w:val="695F7D53"/>
    <w:rsid w:val="6DC147BA"/>
    <w:rsid w:val="704137D0"/>
    <w:rsid w:val="716D2EFA"/>
    <w:rsid w:val="723E7EF7"/>
    <w:rsid w:val="730B2689"/>
    <w:rsid w:val="73412554"/>
    <w:rsid w:val="75FA63BD"/>
    <w:rsid w:val="77C3377A"/>
    <w:rsid w:val="78747CF1"/>
    <w:rsid w:val="78A93B9F"/>
    <w:rsid w:val="7AED74A3"/>
    <w:rsid w:val="7B1F4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0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321</Words>
  <Characters>390</Characters>
  <Lines>0</Lines>
  <Paragraphs>0</Paragraphs>
  <TotalTime>2</TotalTime>
  <ScaleCrop>false</ScaleCrop>
  <LinksUpToDate>false</LinksUpToDate>
  <CharactersWithSpaces>399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2023-05-30T08:05:00Z</dcterms:created>
  <dc:creator> 彩色的梦</dc:creator>
  <cp:lastModifiedBy>西瓜泡咖啡</cp:lastModifiedBy>
  <dcterms:modified xsi:type="dcterms:W3CDTF">2026-09-29T02:08:38Z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489B261B1F00431DB9FF5ABEF766A9E6_13</vt:lpwstr>
  </property>
  <property fmtid="{D5CDD505-2E9C-101B-9397-08002B2CF9AE}" pid="4" name="KSOTemplateDocerSaveRecord">
    <vt:lpwstr>eyJoZGlkIjoiNDNmOTQwNjEyMGI2NWI4MzQwMGI3YWIzMzRjM2E1M2EiLCJ1c2VySWQiOiI3NjcxMDMyMTEifQ==</vt:lpwstr>
  </property>
</Properties>
</file>