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44"/>
          <w:szCs w:val="44"/>
        </w:rPr>
        <w:t>年重大政策和重点项目绩效执行结果</w:t>
      </w:r>
    </w:p>
    <w:p>
      <w:pPr>
        <w:spacing w:line="54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情   况</w:t>
      </w:r>
    </w:p>
    <w:p>
      <w:pPr>
        <w:spacing w:line="54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1.综合施策，着力培植稳固税源壮大财源。一是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狠抓组织收入工作。严格执行三项制度（周报告制度、半月例会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制度、月通报制度），及时更新两个台账（建筑项目台账、争取资金台账），聚焦目标强分析，紧盯任务不松懈，协同相关征缴部门，加大收入征管力度，多渠道全方位挖潜增收。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强化税费征缴监管。强化税源监管，抓好税收征缴，加大欠税清缴力度，严防跑冒滴漏，做到应收尽收。一般公共预算收入完成47394万元，增速5.5%，居全市第一位，税占比98.9%，居全省第一位。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持续夯实税源建设基础工作。通过抓优化营商环境稳固税源，抓项目建设培植税源，抓非税收入应收尽收，全区财税工作实现数量质量双提升。</w:t>
      </w:r>
      <w:r>
        <w:rPr>
          <w:rFonts w:hint="eastAsia" w:ascii="仿宋_GB2312" w:hAnsi="仿宋_GB2312" w:eastAsia="仿宋_GB2312" w:cs="仿宋_GB2312"/>
          <w:b/>
          <w:color w:val="000000"/>
          <w:spacing w:val="1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聚焦政策研究，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积极向上争取资金。坚持“守牢基数、争取增量”，下好“先手棋”、打好“主动仗”，吃透政策、摸准实情、做足准备、协同发力，盯紧盯牢上级政策、项目、资金、试点，做好沟通对接，力争分得“更大蛋糕”。争取上级财力性转移支付资金1.4亿元，进一步壮大我区财力，为全区支出需求提供有力保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强化担当，着力推动民生福祉持续增进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兜住兜准兜好基本民生保障底线，不断增加财政在教育、医疗、养老、住房和就业等领域支出，通过积极争取上级资金、统筹调度各类资金等一系列措施，多路并进增进民生福祉。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教育领域投入10152万元，扩大普惠性教育资源供给。全区一般公共预算教育支出实现“只增不减”，促进学前教育、义务教育发展取得新成效。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医疗领域投入7481万元，惠民生安民心。其中城乡居民基本医疗保险人均财政补助标准提高30元，达到每人每年670元，区级财政投入919万元；基本公共卫生服务经费财政补助标准提高5元，达到每人每年94元；用于计划生育支出2911万元、公立医院综合改革经费400万元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养老领域投入3300万元，持续做好社区养老服务中心建设等工作，推进多层次、多支柱养老保险体系建设；安排困难群众救助资金665万元，兜住困难群众基本生活底线。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城市更新领域投入10073万元。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环境保护、清扫保洁资金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1448万元、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棚户区改造资金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2140万元、支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付老旧小区改造资金6485万元，切实改善人民群众的居住环境。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zh-CN"/>
        </w:rPr>
        <w:t>五是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乡村振兴领域投入373万元，积极做好巩固拓展脱贫攻坚成果与乡村振兴有效衔接工作，提高衔接资金使用效益。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衔接资金102.1万元，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支付率达100%。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高频高效推进惠民惠农“一卡通”管理工作。通过“一卡通”系统发放补贴资金6740万元，发放项目59个，惠及群众44307人，发放成功率100%，社保卡占比100%，直接兑付到人到户，为群众提供优质、高效的服务，人民群众的获得感、幸福感和安全感不断提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突出重点，持续助力全区经济稳步提升。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color w:val="000000"/>
          <w:spacing w:val="10"/>
          <w:sz w:val="32"/>
          <w:szCs w:val="32"/>
        </w:rPr>
        <w:t>多策并用扩内需促消费提振信心。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依托“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龙腾新乡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”等促消费活动，投入区级财政资金66.4万元，释放政府补贴、企业优惠、打折减免等政策叠加效应，激发辖区汽车、家电、家具等商品的市场消费潜力，拉动消费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4.7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亿元，推动经济可持续发展。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多管齐下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全力助企惠企。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积极兑现惠企奖补资金473万元，推动各项助企政策从“纸上”落到“地上”，“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润企有声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，帮助企业纾困解难，助力营商环境持续提升。</w:t>
      </w:r>
      <w:r>
        <w:rPr>
          <w:rFonts w:hint="eastAsia" w:ascii="仿宋_GB2312" w:hAnsi="仿宋_GB2312" w:eastAsia="仿宋_GB2312" w:cs="仿宋_GB2312"/>
          <w:b/>
          <w:color w:val="000000"/>
          <w:spacing w:val="1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精准施策用足用好专项债券政策，充分调动和发挥“有效市场”和“有为政府”的互动作用，扩大有效投资，带动消费扩大内需，促进经济平稳增长。全年成功发行专项债券37600万元（其中，高端装备产业园项目19300万元），助推经济集势成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4.夯实基础，全面提升财政科学管理效能。一是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加强财政管理硬化预算约束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坚持“零基预算”与“滚动预算”相结合，构建“管理联合、工作联动”的双联机制，推行“旬监控”加强过程控制，有效发挥预算管控的作用。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系统施策提升资金绩效。坚持“小钱小气、大钱大方”，以零基预算、绩效预算为切入点，严格绩效目标可量化、可衡量刚性支出，加强绩效评价结果运用，推动财政资金用在紧要处、花出实效来。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zh-CN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习惯过紧日子。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树牢勤俭节约办一切事业，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进一步压缩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三公”经费、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培训费和会议费。全年“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三公”经费支出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99.7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万元，同比下降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%，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腾出更多财力用于亟需支出。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加强投资评审和政府采购管理。进一步简化政府采购程序，提高采购效率。全年共完成货物、工程、服务三大类审批采购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189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12910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万元，节约资金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968万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元，节约率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%；完善评审工作流程，节约使用财政资金，全年共评审政府投资项目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12500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万元，审减资金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万元，审减率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3.8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5.守住底线，着力有效防范化解各类风险。</w:t>
      </w:r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加强财政系统内部控制。依托政府债务、直达资金、“一卡通”等监控平台系统，实时监控债务规模、加强财政资金运行全过程监管，进一步发挥财政监督职能。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持续开展财政监督检查。重点开展预决算公开、会计信息质量检查等工作，维护财经秩序。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加强风险监测。依托预算管理一体化系统，健全“定期报告+线上监测”机制，动态关注财政收支形势和“三保”保障情况，避免出现“三保”违规拖欠、重点民生领域欠薪等风险。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强地方政府债务管理，有效防范财政风险。牢固树立风险意识和底线思维，严控债务规模，统筹好发展与安全，兼顾好当前与长远。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EE9"/>
    <w:rsid w:val="00032EE9"/>
    <w:rsid w:val="00150725"/>
    <w:rsid w:val="001E1DB2"/>
    <w:rsid w:val="006B1C7C"/>
    <w:rsid w:val="007202E1"/>
    <w:rsid w:val="00970635"/>
    <w:rsid w:val="00B809DB"/>
    <w:rsid w:val="00D76C38"/>
    <w:rsid w:val="00E837A2"/>
    <w:rsid w:val="00FE5F3C"/>
    <w:rsid w:val="18E87BF4"/>
    <w:rsid w:val="286A5A9E"/>
    <w:rsid w:val="3BE6030E"/>
    <w:rsid w:val="681A72C8"/>
    <w:rsid w:val="7A040954"/>
    <w:rsid w:val="7A63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252</Words>
  <Characters>1438</Characters>
  <Lines>11</Lines>
  <Paragraphs>3</Paragraphs>
  <ScaleCrop>false</ScaleCrop>
  <LinksUpToDate>false</LinksUpToDate>
  <CharactersWithSpaces>1687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2021-09-03T07:33:00Z</dcterms:created>
  <dc:creator>微软用户</dc:creator>
  <cp:lastModifiedBy>Administrator</cp:lastModifiedBy>
  <dcterms:modified xsi:type="dcterms:W3CDTF">2025-09-10T01:56:27Z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