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E5092">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关于新乡市卫滨区2024年财政决算和</w:t>
      </w:r>
    </w:p>
    <w:p w14:paraId="262C2201">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default" w:ascii="Times New Roman" w:hAnsi="Times New Roman" w:cs="Times New Roman"/>
        </w:rPr>
      </w:pPr>
      <w:r>
        <w:rPr>
          <w:rFonts w:hint="default" w:ascii="Times New Roman" w:hAnsi="Times New Roman" w:eastAsia="方正小标宋简体" w:cs="Times New Roman"/>
          <w:sz w:val="44"/>
          <w:szCs w:val="44"/>
        </w:rPr>
        <w:t>2025年上半年财政预算执行情况的报告</w:t>
      </w:r>
    </w:p>
    <w:p w14:paraId="4B301398">
      <w:pPr>
        <w:keepNext w:val="0"/>
        <w:keepLines w:val="0"/>
        <w:pageBreakBefore w:val="0"/>
        <w:widowControl w:val="0"/>
        <w:kinsoku/>
        <w:wordWrap/>
        <w:overflowPunct w:val="0"/>
        <w:topLinePunct w:val="0"/>
        <w:autoSpaceDE/>
        <w:autoSpaceDN/>
        <w:bidi w:val="0"/>
        <w:adjustRightInd w:val="0"/>
        <w:snapToGrid w:val="0"/>
        <w:spacing w:before="308" w:beforeLines="50" w:line="560" w:lineRule="exact"/>
        <w:jc w:val="center"/>
        <w:textAlignment w:val="auto"/>
        <w:rPr>
          <w:rFonts w:ascii="楷体_GB2312" w:hAnsi="楷体_GB2312" w:eastAsia="楷体_GB2312" w:cs="楷体_GB2312"/>
          <w:color w:val="000000" w:themeColor="text1"/>
          <w:kern w:val="10"/>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w:t>
      </w:r>
      <w:r>
        <w:rPr>
          <w:rFonts w:hint="eastAsia" w:eastAsia="仿宋_GB2312"/>
          <w:sz w:val="32"/>
          <w:szCs w:val="32"/>
          <w:lang w:val="en-US" w:eastAsia="zh-CN"/>
        </w:rPr>
        <w:t>2025</w:t>
      </w:r>
      <w:r>
        <w:rPr>
          <w:rFonts w:hint="eastAsia" w:ascii="楷体_GB2312" w:hAnsi="楷体_GB2312" w:eastAsia="楷体_GB2312" w:cs="楷体_GB2312"/>
          <w:sz w:val="32"/>
          <w:szCs w:val="32"/>
        </w:rPr>
        <w:t>年</w:t>
      </w:r>
      <w:r>
        <w:rPr>
          <w:rFonts w:hint="eastAsia" w:eastAsia="仿宋_GB2312"/>
          <w:sz w:val="32"/>
          <w:szCs w:val="32"/>
          <w:lang w:val="en-US" w:eastAsia="zh-CN"/>
        </w:rPr>
        <w:t>9</w:t>
      </w:r>
      <w:r>
        <w:rPr>
          <w:rFonts w:hint="eastAsia" w:ascii="楷体_GB2312" w:hAnsi="楷体_GB2312" w:eastAsia="楷体_GB2312" w:cs="楷体_GB2312"/>
          <w:sz w:val="32"/>
          <w:szCs w:val="32"/>
        </w:rPr>
        <w:t>月</w:t>
      </w:r>
      <w:r>
        <w:rPr>
          <w:rFonts w:hint="eastAsia" w:eastAsia="仿宋_GB2312"/>
          <w:sz w:val="32"/>
          <w:szCs w:val="32"/>
          <w:lang w:val="en-US" w:eastAsia="zh-CN"/>
        </w:rPr>
        <w:t>9</w:t>
      </w:r>
      <w:r>
        <w:rPr>
          <w:rFonts w:hint="eastAsia" w:ascii="楷体_GB2312" w:hAnsi="楷体_GB2312" w:eastAsia="楷体_GB2312" w:cs="楷体_GB2312"/>
          <w:sz w:val="32"/>
          <w:szCs w:val="32"/>
        </w:rPr>
        <w:t>日</w:t>
      </w:r>
      <w:r>
        <w:rPr>
          <w:rFonts w:hint="eastAsia" w:ascii="楷体_GB2312" w:hAnsi="楷体_GB2312" w:eastAsia="楷体_GB2312" w:cs="楷体_GB2312"/>
          <w:color w:val="000000" w:themeColor="text1"/>
          <w:sz w:val="32"/>
          <w:szCs w:val="32"/>
          <w14:textFill>
            <w14:solidFill>
              <w14:schemeClr w14:val="tx1"/>
            </w14:solidFill>
          </w14:textFill>
        </w:rPr>
        <w:t>在</w:t>
      </w:r>
      <w:r>
        <w:rPr>
          <w:rFonts w:hint="eastAsia" w:ascii="楷体_GB2312" w:hAnsi="楷体_GB2312" w:eastAsia="楷体_GB2312" w:cs="楷体_GB2312"/>
          <w:color w:val="000000" w:themeColor="text1"/>
          <w:kern w:val="10"/>
          <w:sz w:val="32"/>
          <w:szCs w:val="32"/>
          <w14:textFill>
            <w14:solidFill>
              <w14:schemeClr w14:val="tx1"/>
            </w14:solidFill>
          </w14:textFill>
        </w:rPr>
        <w:t>卫滨区第十五届人民代表大会</w:t>
      </w:r>
    </w:p>
    <w:p w14:paraId="43119164">
      <w:pPr>
        <w:keepNext w:val="0"/>
        <w:keepLines w:val="0"/>
        <w:pageBreakBefore w:val="0"/>
        <w:widowControl w:val="0"/>
        <w:kinsoku/>
        <w:wordWrap/>
        <w:overflowPunct w:val="0"/>
        <w:topLinePunct w:val="0"/>
        <w:autoSpaceDE/>
        <w:autoSpaceDN/>
        <w:bidi w:val="0"/>
        <w:adjustRightInd w:val="0"/>
        <w:snapToGrid w:val="0"/>
        <w:spacing w:line="560" w:lineRule="exact"/>
        <w:jc w:val="center"/>
        <w:textAlignment w:val="auto"/>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常务委员会第二十</w:t>
      </w:r>
      <w:r>
        <w:rPr>
          <w:rFonts w:hint="eastAsia" w:ascii="楷体_GB2312" w:hAnsi="楷体_GB2312" w:eastAsia="楷体_GB2312" w:cs="楷体_GB2312"/>
          <w:sz w:val="32"/>
          <w:szCs w:val="32"/>
          <w:lang w:val="en-US" w:eastAsia="zh-CN"/>
        </w:rPr>
        <w:t>九</w:t>
      </w:r>
      <w:r>
        <w:rPr>
          <w:rFonts w:hint="eastAsia" w:ascii="楷体_GB2312" w:hAnsi="楷体_GB2312" w:eastAsia="楷体_GB2312" w:cs="楷体_GB2312"/>
          <w:sz w:val="32"/>
          <w:szCs w:val="32"/>
        </w:rPr>
        <w:t>次会</w:t>
      </w:r>
      <w:r>
        <w:rPr>
          <w:rFonts w:hint="eastAsia" w:ascii="楷体_GB2312" w:hAnsi="楷体_GB2312" w:eastAsia="楷体_GB2312" w:cs="楷体_GB2312"/>
          <w:color w:val="000000" w:themeColor="text1"/>
          <w:sz w:val="32"/>
          <w:szCs w:val="32"/>
          <w14:textFill>
            <w14:solidFill>
              <w14:schemeClr w14:val="tx1"/>
            </w14:solidFill>
          </w14:textFill>
        </w:rPr>
        <w:t>议上</w:t>
      </w:r>
    </w:p>
    <w:p w14:paraId="472E350F">
      <w:pPr>
        <w:keepNext w:val="0"/>
        <w:keepLines w:val="0"/>
        <w:pageBreakBefore w:val="0"/>
        <w:widowControl w:val="0"/>
        <w:kinsoku/>
        <w:wordWrap/>
        <w:topLinePunct w:val="0"/>
        <w:autoSpaceDE/>
        <w:autoSpaceDN/>
        <w:bidi w:val="0"/>
        <w:adjustRightInd w:val="0"/>
        <w:snapToGrid w:val="0"/>
        <w:spacing w:line="560" w:lineRule="exact"/>
        <w:jc w:val="center"/>
        <w:textAlignment w:val="auto"/>
        <w:rPr>
          <w:rFonts w:hint="eastAsia" w:ascii="楷体_GB2312" w:hAnsi="楷体_GB2312" w:eastAsia="楷体_GB2312" w:cs="楷体_GB2312"/>
          <w:color w:val="000000" w:themeColor="text1"/>
          <w:kern w:val="10"/>
          <w:sz w:val="32"/>
          <w:szCs w:val="32"/>
          <w14:textFill>
            <w14:solidFill>
              <w14:schemeClr w14:val="tx1"/>
            </w14:solidFill>
          </w14:textFill>
        </w:rPr>
      </w:pPr>
      <w:r>
        <w:rPr>
          <w:rFonts w:hint="eastAsia" w:ascii="楷体_GB2312" w:hAnsi="楷体_GB2312" w:eastAsia="楷体_GB2312" w:cs="楷体_GB2312"/>
          <w:color w:val="000000" w:themeColor="text1"/>
          <w:kern w:val="10"/>
          <w:sz w:val="32"/>
          <w:szCs w:val="32"/>
          <w14:textFill>
            <w14:solidFill>
              <w14:schemeClr w14:val="tx1"/>
            </w14:solidFill>
          </w14:textFill>
        </w:rPr>
        <w:t>卫滨区政协副主席、财政局局长  向卫群</w:t>
      </w:r>
    </w:p>
    <w:p w14:paraId="0F3E6054">
      <w:pPr>
        <w:pStyle w:val="2"/>
      </w:pPr>
    </w:p>
    <w:p w14:paraId="71317A8C">
      <w:pPr>
        <w:keepNext w:val="0"/>
        <w:keepLines w:val="0"/>
        <w:pageBreakBefore w:val="0"/>
        <w:kinsoku/>
        <w:wordWrap/>
        <w:overflowPunct/>
        <w:bidi w:val="0"/>
        <w:adjustRightInd w:val="0"/>
        <w:snapToGrid w:val="0"/>
        <w:spacing w:line="570" w:lineRule="exact"/>
        <w:jc w:val="both"/>
        <w:textAlignment w:val="auto"/>
        <w:outlineLvl w:val="9"/>
        <w:rPr>
          <w:rFonts w:eastAsia="仿宋_GB2312"/>
          <w:sz w:val="32"/>
          <w:szCs w:val="32"/>
        </w:rPr>
      </w:pPr>
      <w:bookmarkStart w:id="0" w:name="_GoBack"/>
      <w:bookmarkEnd w:id="0"/>
      <w:r>
        <w:rPr>
          <w:rFonts w:eastAsia="仿宋_GB2312"/>
          <w:sz w:val="32"/>
          <w:szCs w:val="32"/>
        </w:rPr>
        <w:t>主任、各位副主任、各位委员：</w:t>
      </w:r>
    </w:p>
    <w:p w14:paraId="52612BF5">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我受区政府委托，现向区人大常委会报告卫滨区2024年财政决算和2025年上半年财政预算执行情况，请予审议。</w:t>
      </w:r>
    </w:p>
    <w:p w14:paraId="7FF3AAD0">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黑体"/>
          <w:sz w:val="32"/>
          <w:szCs w:val="32"/>
        </w:rPr>
      </w:pPr>
      <w:r>
        <w:rPr>
          <w:rFonts w:eastAsia="黑体"/>
          <w:sz w:val="32"/>
          <w:szCs w:val="32"/>
        </w:rPr>
        <w:t>一、2024年财政决算情况</w:t>
      </w:r>
    </w:p>
    <w:p w14:paraId="460B6153">
      <w:pPr>
        <w:keepNext w:val="0"/>
        <w:keepLines w:val="0"/>
        <w:pageBreakBefore w:val="0"/>
        <w:kinsoku/>
        <w:wordWrap/>
        <w:overflowPunct/>
        <w:bidi w:val="0"/>
        <w:spacing w:line="570" w:lineRule="exact"/>
        <w:ind w:left="0" w:firstLine="640" w:firstLineChars="200"/>
        <w:jc w:val="both"/>
        <w:textAlignment w:val="auto"/>
        <w:outlineLvl w:val="9"/>
        <w:rPr>
          <w:rFonts w:eastAsia="仿宋_GB2312"/>
          <w:kern w:val="0"/>
          <w:sz w:val="32"/>
          <w:szCs w:val="32"/>
        </w:rPr>
      </w:pPr>
      <w:r>
        <w:rPr>
          <w:rFonts w:eastAsia="仿宋_GB2312"/>
          <w:sz w:val="32"/>
          <w:szCs w:val="32"/>
        </w:rPr>
        <w:t>2024年，财政部门全面贯彻区委、区政府的决策部署，认真落实十五届人大五次会议有关决议，</w:t>
      </w:r>
      <w:r>
        <w:rPr>
          <w:rFonts w:eastAsia="仿宋_GB2312"/>
          <w:kern w:val="0"/>
          <w:sz w:val="32"/>
          <w:szCs w:val="32"/>
        </w:rPr>
        <w:t>坚定信心、真抓实干，</w:t>
      </w:r>
      <w:r>
        <w:rPr>
          <w:rFonts w:eastAsia="仿宋_GB2312"/>
          <w:sz w:val="32"/>
          <w:szCs w:val="32"/>
        </w:rPr>
        <w:t>实现财政改革和发展平稳推进，</w:t>
      </w:r>
      <w:r>
        <w:rPr>
          <w:rFonts w:eastAsia="仿宋_GB2312"/>
          <w:kern w:val="0"/>
          <w:sz w:val="32"/>
          <w:szCs w:val="32"/>
        </w:rPr>
        <w:t>切实保障和改善民生，</w:t>
      </w:r>
      <w:r>
        <w:rPr>
          <w:rFonts w:eastAsia="仿宋_GB2312"/>
          <w:sz w:val="32"/>
          <w:szCs w:val="32"/>
        </w:rPr>
        <w:t>支持产业发展，协同推进促发展和防风险，促进经济明显回升向好，</w:t>
      </w:r>
      <w:r>
        <w:rPr>
          <w:rFonts w:eastAsia="仿宋_GB2312"/>
          <w:kern w:val="0"/>
          <w:sz w:val="32"/>
          <w:szCs w:val="32"/>
        </w:rPr>
        <w:t>财政运行情况总体平稳。</w:t>
      </w:r>
    </w:p>
    <w:p w14:paraId="6F186707">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（一）全区决算情况</w:t>
      </w:r>
    </w:p>
    <w:p w14:paraId="6DA0D5D9">
      <w:pPr>
        <w:keepNext w:val="0"/>
        <w:keepLines w:val="0"/>
        <w:pageBreakBefore w:val="0"/>
        <w:kinsoku/>
        <w:wordWrap/>
        <w:overflowPunct/>
        <w:bidi w:val="0"/>
        <w:adjustRightInd w:val="0"/>
        <w:snapToGrid w:val="0"/>
        <w:spacing w:line="570" w:lineRule="exact"/>
        <w:ind w:left="0" w:firstLine="643" w:firstLineChars="200"/>
        <w:jc w:val="both"/>
        <w:textAlignment w:val="auto"/>
        <w:outlineLvl w:val="9"/>
        <w:rPr>
          <w:rFonts w:eastAsia="仿宋_GB2312"/>
          <w:sz w:val="32"/>
          <w:szCs w:val="32"/>
        </w:rPr>
      </w:pPr>
      <w:r>
        <w:rPr>
          <w:rFonts w:eastAsia="仿宋_GB2312"/>
          <w:b/>
          <w:bCs/>
          <w:sz w:val="32"/>
          <w:szCs w:val="32"/>
        </w:rPr>
        <w:t>1.一般公共预算收入完成情况</w:t>
      </w:r>
    </w:p>
    <w:p w14:paraId="7EE0862E">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2024年，全区一般公共预算收入预算为48073万元，调减收入1273万元，调整后一般公共收入预算为46800万元，实际完成47394万元（决算为46815万元），为调整预算的101.3%，同比增长5.5%，</w:t>
      </w:r>
      <w:r>
        <w:rPr>
          <w:rFonts w:eastAsia="仿宋_GB2312"/>
          <w:bCs/>
          <w:sz w:val="32"/>
          <w:szCs w:val="32"/>
        </w:rPr>
        <w:t>居全市第一位。</w:t>
      </w:r>
      <w:r>
        <w:rPr>
          <w:rFonts w:eastAsia="仿宋_GB2312"/>
          <w:sz w:val="32"/>
          <w:szCs w:val="32"/>
        </w:rPr>
        <w:t>其中：税收收入完成46869万元（决算为46290万元），同比增长9.5%，占一般公共预算收入比重为98.9%；非税收入完成525万元，同比下降75.2%，占一般公共预算收入比重为1.1%。</w:t>
      </w:r>
    </w:p>
    <w:p w14:paraId="37E5EA20">
      <w:pPr>
        <w:keepNext w:val="0"/>
        <w:keepLines w:val="0"/>
        <w:pageBreakBefore w:val="0"/>
        <w:kinsoku/>
        <w:wordWrap/>
        <w:overflowPunct/>
        <w:bidi w:val="0"/>
        <w:adjustRightInd w:val="0"/>
        <w:snapToGrid w:val="0"/>
        <w:spacing w:line="570" w:lineRule="exact"/>
        <w:ind w:left="0" w:firstLine="643" w:firstLineChars="200"/>
        <w:jc w:val="both"/>
        <w:textAlignment w:val="auto"/>
        <w:outlineLvl w:val="9"/>
        <w:rPr>
          <w:rFonts w:eastAsia="仿宋_GB2312"/>
          <w:b/>
          <w:bCs/>
          <w:sz w:val="32"/>
          <w:szCs w:val="32"/>
        </w:rPr>
      </w:pPr>
      <w:r>
        <w:rPr>
          <w:rFonts w:eastAsia="仿宋_GB2312"/>
          <w:b/>
          <w:bCs/>
          <w:sz w:val="32"/>
          <w:szCs w:val="32"/>
        </w:rPr>
        <w:t>2.一般公共预算支出完成情况</w:t>
      </w:r>
    </w:p>
    <w:p w14:paraId="468D05AA">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2024年，全区一般公共预算支出完成61304万元。年初各级人大会批准的支出预算合计67172万元，</w:t>
      </w:r>
      <w:r>
        <w:rPr>
          <w:rFonts w:eastAsia="仿宋_GB2312"/>
          <w:kern w:val="0"/>
          <w:sz w:val="32"/>
          <w:szCs w:val="32"/>
        </w:rPr>
        <w:t>执行中，新增上级补助</w:t>
      </w:r>
      <w:r>
        <w:rPr>
          <w:rFonts w:hint="eastAsia" w:eastAsia="仿宋_GB2312"/>
          <w:kern w:val="0"/>
          <w:sz w:val="32"/>
          <w:szCs w:val="32"/>
        </w:rPr>
        <w:t>3904</w:t>
      </w:r>
      <w:r>
        <w:rPr>
          <w:rFonts w:eastAsia="仿宋_GB2312"/>
          <w:kern w:val="0"/>
          <w:sz w:val="32"/>
          <w:szCs w:val="32"/>
        </w:rPr>
        <w:t>万元，一般公共预算支出预算调整后为</w:t>
      </w:r>
      <w:r>
        <w:rPr>
          <w:rFonts w:eastAsia="仿宋_GB2312"/>
          <w:spacing w:val="-10"/>
          <w:kern w:val="0"/>
          <w:sz w:val="32"/>
          <w:szCs w:val="32"/>
        </w:rPr>
        <w:t>71076</w:t>
      </w:r>
      <w:r>
        <w:rPr>
          <w:rFonts w:eastAsia="仿宋_GB2312"/>
          <w:kern w:val="0"/>
          <w:sz w:val="32"/>
          <w:szCs w:val="32"/>
        </w:rPr>
        <w:t>万元，全年实际支出为调整预算的</w:t>
      </w:r>
      <w:r>
        <w:rPr>
          <w:rFonts w:eastAsia="仿宋_GB2312"/>
          <w:spacing w:val="-10"/>
          <w:kern w:val="0"/>
          <w:sz w:val="32"/>
          <w:szCs w:val="32"/>
        </w:rPr>
        <w:t>86.3</w:t>
      </w:r>
      <w:r>
        <w:rPr>
          <w:rFonts w:eastAsia="仿宋_GB2312"/>
          <w:kern w:val="0"/>
          <w:sz w:val="32"/>
          <w:szCs w:val="32"/>
        </w:rPr>
        <w:t>%。</w:t>
      </w:r>
    </w:p>
    <w:p w14:paraId="07FBD022">
      <w:pPr>
        <w:keepNext w:val="0"/>
        <w:keepLines w:val="0"/>
        <w:pageBreakBefore w:val="0"/>
        <w:kinsoku/>
        <w:wordWrap/>
        <w:overflowPunct/>
        <w:bidi w:val="0"/>
        <w:adjustRightInd w:val="0"/>
        <w:snapToGrid w:val="0"/>
        <w:spacing w:line="570" w:lineRule="exact"/>
        <w:ind w:left="0" w:firstLine="643" w:firstLineChars="200"/>
        <w:jc w:val="both"/>
        <w:textAlignment w:val="auto"/>
        <w:outlineLvl w:val="9"/>
        <w:rPr>
          <w:rFonts w:eastAsia="仿宋_GB2312"/>
          <w:b/>
          <w:bCs/>
          <w:sz w:val="32"/>
          <w:szCs w:val="32"/>
        </w:rPr>
      </w:pPr>
      <w:r>
        <w:rPr>
          <w:rFonts w:eastAsia="仿宋_GB2312"/>
          <w:b/>
          <w:bCs/>
          <w:sz w:val="32"/>
          <w:szCs w:val="32"/>
        </w:rPr>
        <w:t>3.一般公共预算收支平衡情况</w:t>
      </w:r>
    </w:p>
    <w:p w14:paraId="6393AEA6">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全区一般公共预算收入47394万元（决算为46815万元），加上上级各项补助收入51716万元，债务转贷收入1400万元，动用预算稳定调节基金6503万元，上年结余19524万元，调入资金2988万元，收入总计128946万元。一般公共预算支出61304万元，上解上级支出32828万元，调出资金515万元，债务还本支出1584万元，安排预算稳定调节基金22943万元，支出总计119174万元，收支相抵，一般公共预算滚存结余9772万元，全部结转下年支出。</w:t>
      </w:r>
    </w:p>
    <w:p w14:paraId="7240168F">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（二）区本级决算情况</w:t>
      </w:r>
    </w:p>
    <w:p w14:paraId="74F60BDA">
      <w:pPr>
        <w:keepNext w:val="0"/>
        <w:keepLines w:val="0"/>
        <w:pageBreakBefore w:val="0"/>
        <w:kinsoku/>
        <w:wordWrap/>
        <w:overflowPunct/>
        <w:bidi w:val="0"/>
        <w:adjustRightInd w:val="0"/>
        <w:snapToGrid w:val="0"/>
        <w:spacing w:line="570" w:lineRule="exact"/>
        <w:ind w:left="0" w:firstLine="643" w:firstLineChars="200"/>
        <w:jc w:val="both"/>
        <w:textAlignment w:val="auto"/>
        <w:outlineLvl w:val="9"/>
        <w:rPr>
          <w:rFonts w:eastAsia="仿宋_GB2312"/>
          <w:b/>
          <w:bCs/>
          <w:sz w:val="32"/>
          <w:szCs w:val="32"/>
        </w:rPr>
      </w:pPr>
      <w:r>
        <w:rPr>
          <w:rFonts w:eastAsia="仿宋_GB2312"/>
          <w:b/>
          <w:bCs/>
          <w:sz w:val="32"/>
          <w:szCs w:val="32"/>
        </w:rPr>
        <w:t>1.一般公共预算收入完成情况</w:t>
      </w:r>
    </w:p>
    <w:p w14:paraId="71F6B8AA">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区本级一般公共预算收入预算为35839万元，调减收入1839万元，调整后一般公共收入预算为34000万元，实际完成34472万元（决算为33893万元），为调整预算的101.4%，增长2.9%。其中：税收收入完成33947万元（决算为33368万元），为调整预算的101.4%，增长8.2%;非税收入完成525万元，为调整预算的100.4%，下降75.2%。</w:t>
      </w:r>
    </w:p>
    <w:p w14:paraId="1A976210">
      <w:pPr>
        <w:keepNext w:val="0"/>
        <w:keepLines w:val="0"/>
        <w:pageBreakBefore w:val="0"/>
        <w:kinsoku/>
        <w:wordWrap/>
        <w:overflowPunct/>
        <w:bidi w:val="0"/>
        <w:adjustRightInd w:val="0"/>
        <w:snapToGrid w:val="0"/>
        <w:spacing w:line="570" w:lineRule="exact"/>
        <w:ind w:left="0" w:firstLine="643" w:firstLineChars="200"/>
        <w:jc w:val="both"/>
        <w:textAlignment w:val="auto"/>
        <w:outlineLvl w:val="9"/>
        <w:rPr>
          <w:rFonts w:eastAsia="仿宋_GB2312"/>
          <w:b/>
          <w:bCs/>
          <w:sz w:val="32"/>
          <w:szCs w:val="32"/>
        </w:rPr>
      </w:pPr>
      <w:r>
        <w:rPr>
          <w:rFonts w:eastAsia="仿宋_GB2312"/>
          <w:b/>
          <w:bCs/>
          <w:sz w:val="32"/>
          <w:szCs w:val="32"/>
        </w:rPr>
        <w:t>2.一般公共预算支出完成情况</w:t>
      </w:r>
    </w:p>
    <w:p w14:paraId="67774A51">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2024年，区本级一般公共预算支出预算为61876万元。年度预算执行中，由于新增上级补助</w:t>
      </w:r>
      <w:r>
        <w:rPr>
          <w:rFonts w:hint="eastAsia" w:eastAsia="仿宋_GB2312"/>
          <w:sz w:val="32"/>
          <w:szCs w:val="32"/>
        </w:rPr>
        <w:t>3406</w:t>
      </w:r>
      <w:r>
        <w:rPr>
          <w:rFonts w:eastAsia="仿宋_GB2312"/>
          <w:sz w:val="32"/>
          <w:szCs w:val="32"/>
        </w:rPr>
        <w:t>万元，一般公共预算支出预算调整后为65282万元，实际完成58641万元，为调整预算的89.8%。</w:t>
      </w:r>
    </w:p>
    <w:p w14:paraId="7329078C">
      <w:pPr>
        <w:keepNext w:val="0"/>
        <w:keepLines w:val="0"/>
        <w:pageBreakBefore w:val="0"/>
        <w:kinsoku/>
        <w:wordWrap/>
        <w:overflowPunct/>
        <w:bidi w:val="0"/>
        <w:adjustRightInd w:val="0"/>
        <w:snapToGrid w:val="0"/>
        <w:spacing w:line="570" w:lineRule="exact"/>
        <w:ind w:left="0" w:firstLine="643" w:firstLineChars="200"/>
        <w:jc w:val="both"/>
        <w:textAlignment w:val="auto"/>
        <w:outlineLvl w:val="9"/>
        <w:rPr>
          <w:rFonts w:eastAsia="仿宋_GB2312"/>
          <w:b/>
          <w:bCs/>
          <w:sz w:val="32"/>
          <w:szCs w:val="32"/>
        </w:rPr>
      </w:pPr>
      <w:r>
        <w:rPr>
          <w:rFonts w:eastAsia="仿宋_GB2312"/>
          <w:b/>
          <w:bCs/>
          <w:sz w:val="32"/>
          <w:szCs w:val="32"/>
        </w:rPr>
        <w:t>3.一般公共预算收支平衡情况</w:t>
      </w:r>
    </w:p>
    <w:p w14:paraId="4BC7C29B">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区本级一般公共预算收入34472万元（决算为33893万元），加上上级补助收入51716万元，债务转贷收入1400万元，动用预算稳定调节基金6503万元，上年结余17615万元，平原镇上解收入11782万元，调入资金2988万元，收入总计125897万元。一般公共预算支出58641万元，补助平原镇支出1773万元，上解上级支出32828万元，调出资金515万元，债务还本支出1584万元，安排预算稳定调节基金22923万元，支出总计118264万元，收支相抵，一般公共预算滚存结余7633万元，全部结转下年支出。</w:t>
      </w:r>
    </w:p>
    <w:p w14:paraId="393F8543">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（三）政府性基金预算收支平衡情况</w:t>
      </w:r>
    </w:p>
    <w:p w14:paraId="25FF581D">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2024年，全区无政府性基金预算收入，上级补助收入</w:t>
      </w:r>
      <w:r>
        <w:rPr>
          <w:rFonts w:eastAsia="仿宋_GB2312"/>
          <w:kern w:val="0"/>
          <w:sz w:val="32"/>
          <w:szCs w:val="32"/>
        </w:rPr>
        <w:t>12682</w:t>
      </w:r>
      <w:r>
        <w:rPr>
          <w:rFonts w:eastAsia="仿宋_GB2312"/>
          <w:sz w:val="32"/>
          <w:szCs w:val="32"/>
        </w:rPr>
        <w:t>万元，上年结余14910万元，调入资金515万元，债务转贷收入37600万元，收入总计65707万元。政府性基金预算支出</w:t>
      </w:r>
      <w:r>
        <w:rPr>
          <w:rFonts w:eastAsia="仿宋_GB2312"/>
          <w:kern w:val="0"/>
          <w:sz w:val="32"/>
          <w:szCs w:val="32"/>
        </w:rPr>
        <w:t>16862</w:t>
      </w:r>
      <w:r>
        <w:rPr>
          <w:rFonts w:eastAsia="仿宋_GB2312"/>
          <w:sz w:val="32"/>
          <w:szCs w:val="32"/>
        </w:rPr>
        <w:t>万元，调出资金2940万元，债务还本支出8000万元，支出总计27802万元，收支相抵，政府性基金预算滚存结余</w:t>
      </w:r>
      <w:r>
        <w:rPr>
          <w:rFonts w:eastAsia="仿宋_GB2312"/>
          <w:kern w:val="0"/>
          <w:sz w:val="32"/>
          <w:szCs w:val="32"/>
        </w:rPr>
        <w:t>37905</w:t>
      </w:r>
      <w:r>
        <w:rPr>
          <w:rFonts w:eastAsia="仿宋_GB2312"/>
          <w:sz w:val="32"/>
          <w:szCs w:val="32"/>
        </w:rPr>
        <w:t>万元，全部结转下年支出。</w:t>
      </w:r>
    </w:p>
    <w:p w14:paraId="11DB7244">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（四）国有资本经营预算收支平衡情况</w:t>
      </w:r>
    </w:p>
    <w:p w14:paraId="68B4F52A">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2024年，全区无国有资本经营预算收入，上级补助收入310万元，上年结余310万元，收入总计620万元。国有资本经营预算支出572万元，调出资金48万元，支出总计620万元，收支相抵，国有资本经营预算无结余。</w:t>
      </w:r>
    </w:p>
    <w:p w14:paraId="5F797104">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（五）社保基金预算收支平衡情况</w:t>
      </w:r>
    </w:p>
    <w:p w14:paraId="55F21D59">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2024年，全区社会保险基金预算收入3282万元，支出完成2067万元，当年收支结余1215万元，年末滚存结余6168万元。</w:t>
      </w:r>
    </w:p>
    <w:p w14:paraId="4812CF16">
      <w:pPr>
        <w:keepNext w:val="0"/>
        <w:keepLines w:val="0"/>
        <w:pageBreakBefore w:val="0"/>
        <w:tabs>
          <w:tab w:val="left" w:pos="0"/>
        </w:tabs>
        <w:kinsoku/>
        <w:wordWrap/>
        <w:overflowPunct/>
        <w:bidi w:val="0"/>
        <w:spacing w:line="570" w:lineRule="exact"/>
        <w:ind w:left="0" w:firstLine="640" w:firstLineChars="200"/>
        <w:jc w:val="both"/>
        <w:textAlignment w:val="auto"/>
        <w:outlineLvl w:val="9"/>
        <w:rPr>
          <w:rFonts w:eastAsia="楷体_GB2312"/>
          <w:sz w:val="32"/>
          <w:szCs w:val="32"/>
        </w:rPr>
      </w:pPr>
      <w:r>
        <w:rPr>
          <w:rFonts w:eastAsia="楷体_GB2312"/>
          <w:sz w:val="32"/>
          <w:szCs w:val="32"/>
        </w:rPr>
        <w:t>（六）上级转移支付和财力补助情况</w:t>
      </w:r>
    </w:p>
    <w:p w14:paraId="2EEADF1E">
      <w:pPr>
        <w:keepNext w:val="0"/>
        <w:keepLines w:val="0"/>
        <w:pageBreakBefore w:val="0"/>
        <w:kinsoku/>
        <w:wordWrap/>
        <w:overflowPunct/>
        <w:autoSpaceDN w:val="0"/>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2024年，上级对我区转移支付和财力补助51716万元，较上年减少10557万元，同比下降17%</w:t>
      </w:r>
      <w:r>
        <w:rPr>
          <w:rFonts w:hint="eastAsia" w:eastAsia="仿宋_GB2312"/>
          <w:sz w:val="32"/>
          <w:szCs w:val="32"/>
        </w:rPr>
        <w:t>(主要原因：老旧小区改造因需求变化较上年减少2904万元；上年存在防灾减灾、减税降费和疫情防控一次性补助资金7697万元，共计10601万元)</w:t>
      </w:r>
      <w:r>
        <w:rPr>
          <w:rFonts w:eastAsia="仿宋_GB2312"/>
          <w:sz w:val="32"/>
          <w:szCs w:val="32"/>
        </w:rPr>
        <w:t>。其中：均衡性转移支付和财力补助38352万元，巩固脱贫攻坚成果衔接乡村振兴转移支付55万元，文化旅游体育与传媒转移支付164万元，公共安全转移支付110万元，教育转移支付2146万元，社会保障和就业转移支付3063万元，医疗卫生转移支付4151万元，农林水转移支付356万元，交通运输转移支付360万元，住房保障转移支付64万元，节能环保转移支付225万元，专项转移支付2670万元。</w:t>
      </w:r>
    </w:p>
    <w:p w14:paraId="1E42B4DF">
      <w:pPr>
        <w:keepNext w:val="0"/>
        <w:keepLines w:val="0"/>
        <w:pageBreakBefore w:val="0"/>
        <w:kinsoku/>
        <w:wordWrap/>
        <w:overflowPunct/>
        <w:autoSpaceDN w:val="0"/>
        <w:bidi w:val="0"/>
        <w:spacing w:line="570" w:lineRule="exact"/>
        <w:ind w:left="0" w:firstLine="640" w:firstLineChars="200"/>
        <w:jc w:val="both"/>
        <w:textAlignment w:val="auto"/>
        <w:outlineLvl w:val="9"/>
        <w:rPr>
          <w:rFonts w:eastAsia="楷体_GB2312"/>
          <w:sz w:val="32"/>
          <w:szCs w:val="32"/>
        </w:rPr>
      </w:pPr>
      <w:r>
        <w:rPr>
          <w:rFonts w:eastAsia="楷体_GB2312"/>
          <w:sz w:val="32"/>
          <w:szCs w:val="32"/>
        </w:rPr>
        <w:t>（七）债券资金管理使用情况</w:t>
      </w:r>
    </w:p>
    <w:p w14:paraId="4CF09E68">
      <w:pPr>
        <w:keepNext w:val="0"/>
        <w:keepLines w:val="0"/>
        <w:pageBreakBefore w:val="0"/>
        <w:kinsoku/>
        <w:wordWrap/>
        <w:overflowPunct/>
        <w:bidi w:val="0"/>
        <w:spacing w:line="570" w:lineRule="exact"/>
        <w:ind w:left="0" w:firstLine="640" w:firstLineChars="200"/>
        <w:jc w:val="both"/>
        <w:textAlignment w:val="auto"/>
        <w:outlineLvl w:val="9"/>
        <w:rPr>
          <w:rFonts w:eastAsia="仿宋_GB2312"/>
          <w:bCs/>
          <w:sz w:val="32"/>
          <w:szCs w:val="32"/>
        </w:rPr>
      </w:pPr>
      <w:r>
        <w:rPr>
          <w:rFonts w:eastAsia="仿宋_GB2312"/>
          <w:sz w:val="32"/>
          <w:szCs w:val="32"/>
        </w:rPr>
        <w:t>2024年，经我区申报上级下达地方政府债券</w:t>
      </w:r>
      <w:r>
        <w:rPr>
          <w:rFonts w:hint="eastAsia" w:eastAsia="仿宋_GB2312"/>
          <w:sz w:val="32"/>
          <w:szCs w:val="32"/>
        </w:rPr>
        <w:t>39000</w:t>
      </w:r>
      <w:r>
        <w:rPr>
          <w:rFonts w:eastAsia="仿宋_GB2312"/>
          <w:sz w:val="32"/>
          <w:szCs w:val="32"/>
        </w:rPr>
        <w:t>万元。其中：再融资债券1400万元，新增债券</w:t>
      </w:r>
      <w:r>
        <w:rPr>
          <w:rFonts w:hint="eastAsia" w:eastAsia="仿宋_GB2312"/>
          <w:sz w:val="32"/>
          <w:szCs w:val="32"/>
        </w:rPr>
        <w:t>37600</w:t>
      </w:r>
      <w:r>
        <w:rPr>
          <w:rFonts w:eastAsia="仿宋_GB2312"/>
          <w:sz w:val="32"/>
          <w:szCs w:val="32"/>
        </w:rPr>
        <w:t>万元（置换债</w:t>
      </w:r>
      <w:r>
        <w:rPr>
          <w:rFonts w:hint="eastAsia" w:eastAsia="仿宋_GB2312"/>
          <w:sz w:val="32"/>
          <w:szCs w:val="32"/>
        </w:rPr>
        <w:t>券</w:t>
      </w:r>
      <w:r>
        <w:rPr>
          <w:rFonts w:eastAsia="仿宋_GB2312"/>
          <w:sz w:val="32"/>
          <w:szCs w:val="32"/>
        </w:rPr>
        <w:t>8000万元）。再融资债券按要求全部用于偿还到期债务，新增债券主要用于高端装备产业园、老旧小区、偿还拖欠企业账款等重点项目，极大缓解了区财政支出压力。</w:t>
      </w:r>
      <w:r>
        <w:rPr>
          <w:rFonts w:eastAsia="仿宋_GB2312"/>
          <w:bCs/>
          <w:sz w:val="32"/>
          <w:szCs w:val="32"/>
        </w:rPr>
        <w:t>截至年底，区政府债务余额97712万元。其中：一般债务余额25112万元，专项债务余额72600万元（劳动南路打通1200万元、机器人产业园项目16000万元、高端装备产业园项目35100万元、拖欠企业账款置换8569万元、2022年老旧小区项目4931万元、2023年老旧小区改造项目6800万元）</w:t>
      </w:r>
      <w:r>
        <w:rPr>
          <w:rFonts w:eastAsia="仿宋_GB2312"/>
          <w:sz w:val="32"/>
          <w:szCs w:val="32"/>
        </w:rPr>
        <w:t>。</w:t>
      </w:r>
    </w:p>
    <w:p w14:paraId="562D4651">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黑体"/>
          <w:sz w:val="32"/>
          <w:szCs w:val="32"/>
        </w:rPr>
      </w:pPr>
      <w:r>
        <w:rPr>
          <w:rFonts w:eastAsia="黑体"/>
          <w:sz w:val="32"/>
          <w:szCs w:val="32"/>
        </w:rPr>
        <w:t>二、2025年上半年财政预算执行情况</w:t>
      </w:r>
    </w:p>
    <w:p w14:paraId="2520911F">
      <w:pPr>
        <w:keepNext w:val="0"/>
        <w:keepLines w:val="0"/>
        <w:pageBreakBefore w:val="0"/>
        <w:widowControl/>
        <w:kinsoku/>
        <w:wordWrap/>
        <w:overflowPunct/>
        <w:bidi w:val="0"/>
        <w:adjustRightInd w:val="0"/>
        <w:snapToGrid w:val="0"/>
        <w:spacing w:line="570" w:lineRule="exact"/>
        <w:ind w:left="0" w:firstLine="640" w:firstLineChars="200"/>
        <w:jc w:val="both"/>
        <w:textAlignment w:val="auto"/>
        <w:outlineLvl w:val="9"/>
        <w:rPr>
          <w:rFonts w:eastAsia="楷体_GB2312"/>
          <w:bCs/>
          <w:kern w:val="0"/>
          <w:sz w:val="32"/>
          <w:szCs w:val="32"/>
        </w:rPr>
      </w:pPr>
      <w:r>
        <w:rPr>
          <w:rFonts w:eastAsia="楷体_GB2312"/>
          <w:bCs/>
          <w:kern w:val="0"/>
          <w:sz w:val="32"/>
          <w:szCs w:val="32"/>
        </w:rPr>
        <w:t>（一）全区一般公共预算收支情况</w:t>
      </w:r>
    </w:p>
    <w:p w14:paraId="01CC0C2A">
      <w:pPr>
        <w:keepNext w:val="0"/>
        <w:keepLines w:val="0"/>
        <w:pageBreakBefore w:val="0"/>
        <w:widowControl/>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kern w:val="0"/>
          <w:sz w:val="32"/>
          <w:szCs w:val="32"/>
        </w:rPr>
        <w:t>2025年，全区一般公共预算收入预算为49290万元，上半年完成27093万元，为年预算的55%，同比增长6.2%。其中：</w:t>
      </w:r>
      <w:r>
        <w:rPr>
          <w:rFonts w:eastAsia="仿宋_GB2312"/>
          <w:sz w:val="32"/>
          <w:szCs w:val="32"/>
        </w:rPr>
        <w:t>税收收入完成26608万元，为年预算的54.6%，同比增长5%，占一般公共预算收入比重为98.2%；非税收入完成485万元，为年预算的89%，同比增长170.9%，占一般公共预算收入比重为1.8%</w:t>
      </w:r>
      <w:r>
        <w:rPr>
          <w:rFonts w:eastAsia="仿宋_GB2312"/>
          <w:i/>
          <w:sz w:val="32"/>
          <w:szCs w:val="32"/>
        </w:rPr>
        <w:t>。</w:t>
      </w:r>
    </w:p>
    <w:p w14:paraId="1398B4EA">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kern w:val="0"/>
          <w:sz w:val="32"/>
          <w:szCs w:val="32"/>
        </w:rPr>
      </w:pPr>
      <w:r>
        <w:rPr>
          <w:rFonts w:eastAsia="仿宋_GB2312"/>
          <w:kern w:val="0"/>
          <w:sz w:val="32"/>
          <w:szCs w:val="32"/>
        </w:rPr>
        <w:t>2025年，全区一般公共预算支出预算为65498万元，预算执行中，加上提前告知转移支付和专项补助、上年结转以及新增转移支付和专项补助等，调整后支出预算为71674万元，实际支出31867万元，为调整预算的44.5%，同比增长21.5%。债务还本支出预算为501万元，预算执行中，加上再融资债券1400万元，调整后支出预算为1901万元，实际支出1400万元，为调整预算的73.6%。</w:t>
      </w:r>
    </w:p>
    <w:p w14:paraId="7C68FA81">
      <w:pPr>
        <w:keepNext w:val="0"/>
        <w:keepLines w:val="0"/>
        <w:pageBreakBefore w:val="0"/>
        <w:widowControl/>
        <w:kinsoku/>
        <w:wordWrap/>
        <w:overflowPunct/>
        <w:bidi w:val="0"/>
        <w:adjustRightInd w:val="0"/>
        <w:snapToGrid w:val="0"/>
        <w:spacing w:line="570" w:lineRule="exact"/>
        <w:ind w:left="0" w:firstLine="640" w:firstLineChars="200"/>
        <w:jc w:val="both"/>
        <w:textAlignment w:val="auto"/>
        <w:outlineLvl w:val="9"/>
        <w:rPr>
          <w:rFonts w:eastAsia="楷体_GB2312"/>
          <w:bCs/>
          <w:kern w:val="0"/>
          <w:sz w:val="32"/>
          <w:szCs w:val="32"/>
        </w:rPr>
      </w:pPr>
      <w:r>
        <w:rPr>
          <w:rFonts w:eastAsia="楷体_GB2312"/>
          <w:bCs/>
          <w:kern w:val="0"/>
          <w:sz w:val="32"/>
          <w:szCs w:val="32"/>
        </w:rPr>
        <w:t>（二）区本级一般公共预算收支情况</w:t>
      </w:r>
    </w:p>
    <w:p w14:paraId="3D3F13DF">
      <w:pPr>
        <w:keepNext w:val="0"/>
        <w:keepLines w:val="0"/>
        <w:pageBreakBefore w:val="0"/>
        <w:widowControl/>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kern w:val="0"/>
          <w:sz w:val="32"/>
          <w:szCs w:val="32"/>
        </w:rPr>
        <w:t>2025年，区本级一般公共预算收入预算</w:t>
      </w:r>
      <w:r>
        <w:rPr>
          <w:rFonts w:eastAsia="仿宋_GB2312"/>
          <w:sz w:val="32"/>
          <w:szCs w:val="32"/>
        </w:rPr>
        <w:t>为</w:t>
      </w:r>
      <w:r>
        <w:rPr>
          <w:rFonts w:eastAsia="仿宋_GB2312"/>
          <w:kern w:val="0"/>
          <w:sz w:val="32"/>
          <w:szCs w:val="32"/>
        </w:rPr>
        <w:t>35851万元，上半年完成18320万元，</w:t>
      </w:r>
      <w:r>
        <w:rPr>
          <w:rFonts w:eastAsia="仿宋_GB2312"/>
          <w:sz w:val="32"/>
          <w:szCs w:val="32"/>
        </w:rPr>
        <w:t>为年预算的</w:t>
      </w:r>
      <w:r>
        <w:rPr>
          <w:rFonts w:eastAsia="仿宋_GB2312"/>
          <w:kern w:val="0"/>
          <w:sz w:val="32"/>
          <w:szCs w:val="32"/>
        </w:rPr>
        <w:t>51.1%，同比增长3.1%。</w:t>
      </w:r>
      <w:r>
        <w:rPr>
          <w:rFonts w:eastAsia="仿宋_GB2312"/>
          <w:sz w:val="32"/>
          <w:szCs w:val="32"/>
        </w:rPr>
        <w:t>其中：税收收入完成17835万元，为年预算的50.5%，同比</w:t>
      </w:r>
      <w:r>
        <w:rPr>
          <w:rFonts w:eastAsia="仿宋_GB2312"/>
          <w:kern w:val="0"/>
          <w:sz w:val="32"/>
          <w:szCs w:val="32"/>
        </w:rPr>
        <w:t>增长1.4%，</w:t>
      </w:r>
      <w:r>
        <w:rPr>
          <w:rFonts w:eastAsia="仿宋_GB2312"/>
          <w:sz w:val="32"/>
          <w:szCs w:val="32"/>
        </w:rPr>
        <w:t>占一般公共预算收入比重为97.4%；非税收入完成485万元，为年预算的89%，同比</w:t>
      </w:r>
      <w:r>
        <w:rPr>
          <w:rFonts w:eastAsia="仿宋_GB2312"/>
          <w:kern w:val="0"/>
          <w:sz w:val="32"/>
          <w:szCs w:val="32"/>
        </w:rPr>
        <w:t>增长</w:t>
      </w:r>
      <w:r>
        <w:rPr>
          <w:rFonts w:eastAsia="仿宋_GB2312"/>
          <w:sz w:val="32"/>
          <w:szCs w:val="32"/>
        </w:rPr>
        <w:t>170.9%，占一般公共预算收入比重为2.6%。</w:t>
      </w:r>
    </w:p>
    <w:p w14:paraId="02C25B2A">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kern w:val="0"/>
          <w:sz w:val="32"/>
          <w:szCs w:val="32"/>
        </w:rPr>
      </w:pPr>
      <w:r>
        <w:rPr>
          <w:rFonts w:eastAsia="仿宋_GB2312"/>
          <w:sz w:val="32"/>
          <w:szCs w:val="32"/>
        </w:rPr>
        <w:t>2025年，区本级一般公共预算支出预算为59847万元，上半年预算执行中，加上提前告知转移支付和专项补助、上年结转以及新增转移支付和专项补助等，调整后支出预算为66015万元，实际支出29927万元，为调整预算的45.3%，同比增长20%。</w:t>
      </w:r>
      <w:r>
        <w:rPr>
          <w:rFonts w:eastAsia="仿宋_GB2312"/>
          <w:kern w:val="0"/>
          <w:sz w:val="32"/>
          <w:szCs w:val="32"/>
        </w:rPr>
        <w:t>债务还本支出预算为501万元，预算执行中，加上再融资债券1400万元，调整后支出预算为1901万元，实际支出1400万元，为调整预算的73.6%。</w:t>
      </w:r>
    </w:p>
    <w:p w14:paraId="558B1DE8">
      <w:pPr>
        <w:keepNext w:val="0"/>
        <w:keepLines w:val="0"/>
        <w:pageBreakBefore w:val="0"/>
        <w:kinsoku/>
        <w:wordWrap/>
        <w:overflowPunct/>
        <w:bidi w:val="0"/>
        <w:adjustRightInd w:val="0"/>
        <w:snapToGrid w:val="0"/>
        <w:spacing w:line="570" w:lineRule="exact"/>
        <w:ind w:left="0" w:firstLine="643" w:firstLineChars="200"/>
        <w:jc w:val="both"/>
        <w:textAlignment w:val="auto"/>
        <w:outlineLvl w:val="9"/>
        <w:rPr>
          <w:rFonts w:eastAsia="仿宋_GB2312"/>
          <w:b/>
          <w:bCs/>
          <w:sz w:val="32"/>
          <w:szCs w:val="32"/>
        </w:rPr>
      </w:pPr>
      <w:r>
        <w:rPr>
          <w:rFonts w:eastAsia="仿宋_GB2312"/>
          <w:b/>
          <w:bCs/>
          <w:sz w:val="32"/>
          <w:szCs w:val="32"/>
        </w:rPr>
        <w:t>主要支出项目完成情况：</w:t>
      </w:r>
    </w:p>
    <w:p w14:paraId="4CE1BC85">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一般公共服务支出年初预算安排15156万元，预算执行中，加上新增转移支付、上级专项补助等，调整后支出预算为15187万元，实际支出6724万元，为调整预算的44.3%，同比增长26.6%。</w:t>
      </w:r>
    </w:p>
    <w:p w14:paraId="7551972E">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公共安全支出年初预算安排593万元，预算执行中，加上新增转移支付、上级专项补助等，调整后支出预算为607万元，实际支出393万元，为调整预算的64.7%，同比增长11.3%。</w:t>
      </w:r>
    </w:p>
    <w:p w14:paraId="60297719">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教育支出年初预算安排10838万元，实际支出5310万元，为预算的49%，同比增长13.2%。</w:t>
      </w:r>
    </w:p>
    <w:p w14:paraId="20D3B3FC">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科学技术支出年初预算安排288万元，实际支出112万元，为预算的38.9%，同比下降60.1%（本年规上工业企业满负荷生产奖励金107万元在产业发展科目反映，上年该科目一次性补助103万元）。</w:t>
      </w:r>
    </w:p>
    <w:p w14:paraId="68C0B02A">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社会保障和就业支出年初预算安排12229万元，预算执行中，加上新增转移支付、上级专项补助等，调整后支出预算为12745万元，实际支出6616万元，为调整预算的51.9%，同比增长9.8%。</w:t>
      </w:r>
    </w:p>
    <w:p w14:paraId="78F4FA62">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卫生健康支出年初预算安排9161万元，预算执行中，加上新增转移支付、上级专项补助等，调整后支出预算为12484万元，实际支出6187万元，为调整预算的49.6%，同比增长24.7%。</w:t>
      </w:r>
    </w:p>
    <w:p w14:paraId="663DFA2C">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节能环保支出年初预算安排49万元，预算执行中，加上新增转移支付、上级专项补助等，调整后支出预算为239万元，实际支出104万元，为调整预算的43.5%，同比增长477.8%</w:t>
      </w:r>
      <w:r>
        <w:rPr>
          <w:rFonts w:hint="eastAsia" w:eastAsia="仿宋_GB2312"/>
          <w:sz w:val="32"/>
          <w:szCs w:val="32"/>
        </w:rPr>
        <w:t>（新增新能源汽车充电基础设施建设补助资金94万元）</w:t>
      </w:r>
      <w:r>
        <w:rPr>
          <w:rFonts w:eastAsia="仿宋_GB2312"/>
          <w:sz w:val="32"/>
          <w:szCs w:val="32"/>
        </w:rPr>
        <w:t>。</w:t>
      </w:r>
    </w:p>
    <w:p w14:paraId="3A8347EE">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农林水支出年初预算安排2065万元，预算执行中，加上新增转移支付、上级专项补助等，调整后支出预算为2346万元，实际支出764万元，为调整预算的32.6%，同比增长112.2%</w:t>
      </w:r>
      <w:r>
        <w:rPr>
          <w:rFonts w:hint="eastAsia" w:eastAsia="仿宋_GB2312"/>
          <w:sz w:val="32"/>
          <w:szCs w:val="32"/>
        </w:rPr>
        <w:t>（新增耕地地力保护补贴253万元）</w:t>
      </w:r>
      <w:r>
        <w:rPr>
          <w:rFonts w:eastAsia="仿宋_GB2312"/>
          <w:sz w:val="32"/>
          <w:szCs w:val="32"/>
        </w:rPr>
        <w:t>。</w:t>
      </w:r>
    </w:p>
    <w:p w14:paraId="2DCE8ED9">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（三）政府性基金预算收支情况</w:t>
      </w:r>
    </w:p>
    <w:p w14:paraId="59E58A8A">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2025年，全区无政府性基金预算收入，政府性基金支出预算为41057万元（全部为上级补助），预算执行中，加上新增上级补助等，调整后支出预算为49231万元，实际支出12917万元，为调整预算的26.2%，同比增长19.9%。</w:t>
      </w:r>
    </w:p>
    <w:p w14:paraId="57EA3D20">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（四）国有资本经营预算收支情况</w:t>
      </w:r>
    </w:p>
    <w:p w14:paraId="5781B829">
      <w:pPr>
        <w:keepNext w:val="0"/>
        <w:keepLines w:val="0"/>
        <w:pageBreakBefore w:val="0"/>
        <w:kinsoku/>
        <w:wordWrap/>
        <w:overflowPunct/>
        <w:bidi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2025年，全区无国有资本经营预算收入，国有资本经营支出预算为310万元（全部为上级补助），实际支出97万元。</w:t>
      </w:r>
    </w:p>
    <w:p w14:paraId="77CD2BA9">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（五）社保基金预算收支情况</w:t>
      </w:r>
    </w:p>
    <w:p w14:paraId="35246029">
      <w:pPr>
        <w:keepNext w:val="0"/>
        <w:keepLines w:val="0"/>
        <w:pageBreakBefore w:val="0"/>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2025年，全区社会保险基金预算收入1720万元，支出完成1164万元。</w:t>
      </w:r>
    </w:p>
    <w:p w14:paraId="41C22B13">
      <w:pPr>
        <w:keepNext w:val="0"/>
        <w:keepLines w:val="0"/>
        <w:pageBreakBefore w:val="0"/>
        <w:widowControl/>
        <w:kinsoku/>
        <w:wordWrap/>
        <w:overflowPunct/>
        <w:bidi w:val="0"/>
        <w:adjustRightInd w:val="0"/>
        <w:snapToGrid w:val="0"/>
        <w:spacing w:line="570" w:lineRule="exact"/>
        <w:ind w:left="0" w:firstLine="640" w:firstLineChars="200"/>
        <w:jc w:val="both"/>
        <w:textAlignment w:val="auto"/>
        <w:outlineLvl w:val="9"/>
        <w:rPr>
          <w:rFonts w:eastAsia="黑体"/>
          <w:kern w:val="0"/>
          <w:sz w:val="32"/>
          <w:szCs w:val="32"/>
        </w:rPr>
      </w:pPr>
      <w:r>
        <w:rPr>
          <w:rFonts w:eastAsia="黑体"/>
          <w:kern w:val="0"/>
          <w:sz w:val="32"/>
          <w:szCs w:val="32"/>
        </w:rPr>
        <w:t>三、2025年上半年财政预算执行中采取的主要措施</w:t>
      </w:r>
    </w:p>
    <w:p w14:paraId="13168818">
      <w:pPr>
        <w:pStyle w:val="10"/>
        <w:keepNext w:val="0"/>
        <w:keepLines w:val="0"/>
        <w:pageBreakBefore w:val="0"/>
        <w:kinsoku/>
        <w:wordWrap/>
        <w:overflowPunct/>
        <w:bidi w:val="0"/>
        <w:adjustRightInd w:val="0"/>
        <w:snapToGrid w:val="0"/>
        <w:spacing w:beforeAutospacing="0" w:afterAutospacing="0" w:line="570" w:lineRule="exact"/>
        <w:ind w:left="0" w:firstLine="640" w:firstLineChars="200"/>
        <w:jc w:val="both"/>
        <w:textAlignment w:val="auto"/>
        <w:outlineLvl w:val="9"/>
        <w:rPr>
          <w:rFonts w:ascii="Times New Roman" w:hAnsi="Times New Roman" w:eastAsia="仿宋_GB2312" w:cs="Times New Roman"/>
          <w:sz w:val="32"/>
          <w:szCs w:val="32"/>
        </w:rPr>
      </w:pPr>
      <w:r>
        <w:rPr>
          <w:rFonts w:ascii="Times New Roman" w:hAnsi="Times New Roman" w:eastAsia="仿宋_GB2312" w:cs="Times New Roman"/>
          <w:sz w:val="32"/>
          <w:szCs w:val="32"/>
        </w:rPr>
        <w:t>上半年，区财政局认真贯彻落实区委全会、区委经济工作会议精神及区人大决议要求，严格执行批复的预算，牢固树立“项目为王”理念，紧紧围绕</w:t>
      </w:r>
      <w:r>
        <w:rPr>
          <w:rFonts w:ascii="Times New Roman" w:hAnsi="Times New Roman" w:eastAsia="仿宋_GB2312" w:cs="Times New Roman"/>
          <w:bCs/>
          <w:sz w:val="32"/>
          <w:szCs w:val="32"/>
        </w:rPr>
        <w:t>“十大行动”，坚持守正创新，靠前发力，全力以赴稳经济、增动能、惠民生、防风险、保稳定，</w:t>
      </w:r>
      <w:r>
        <w:rPr>
          <w:rFonts w:ascii="Times New Roman" w:hAnsi="Times New Roman" w:eastAsia="仿宋_GB2312" w:cs="Times New Roman"/>
          <w:sz w:val="32"/>
          <w:szCs w:val="32"/>
        </w:rPr>
        <w:t>助力卫滨区经济高质发展，</w:t>
      </w:r>
      <w:r>
        <w:rPr>
          <w:rFonts w:ascii="Times New Roman" w:hAnsi="Times New Roman" w:eastAsia="仿宋_GB2312" w:cs="Times New Roman"/>
          <w:bCs/>
          <w:sz w:val="32"/>
          <w:szCs w:val="32"/>
        </w:rPr>
        <w:t>全区经济运行稳中有进、稳中向好</w:t>
      </w:r>
      <w:r>
        <w:rPr>
          <w:rFonts w:ascii="Times New Roman" w:hAnsi="Times New Roman" w:eastAsia="仿宋_GB2312" w:cs="Times New Roman"/>
          <w:sz w:val="32"/>
          <w:szCs w:val="32"/>
        </w:rPr>
        <w:t>。在此基础上，全区预算执行总体平稳。</w:t>
      </w:r>
    </w:p>
    <w:p w14:paraId="681957DC">
      <w:pPr>
        <w:pStyle w:val="10"/>
        <w:keepNext w:val="0"/>
        <w:keepLines w:val="0"/>
        <w:pageBreakBefore w:val="0"/>
        <w:numPr>
          <w:ilvl w:val="0"/>
          <w:numId w:val="1"/>
        </w:numPr>
        <w:kinsoku/>
        <w:wordWrap/>
        <w:overflowPunct/>
        <w:bidi w:val="0"/>
        <w:adjustRightInd w:val="0"/>
        <w:snapToGrid w:val="0"/>
        <w:spacing w:beforeAutospacing="0" w:afterAutospacing="0" w:line="570" w:lineRule="exact"/>
        <w:ind w:left="0" w:firstLine="640" w:firstLineChars="200"/>
        <w:jc w:val="both"/>
        <w:textAlignment w:val="auto"/>
        <w:outlineLvl w:val="9"/>
        <w:rPr>
          <w:rFonts w:ascii="Times New Roman" w:hAnsi="Times New Roman" w:eastAsia="仿宋_GB2312" w:cs="Times New Roman"/>
          <w:sz w:val="32"/>
          <w:szCs w:val="32"/>
          <w:lang w:val="zh-CN"/>
        </w:rPr>
      </w:pPr>
      <w:r>
        <w:rPr>
          <w:rFonts w:ascii="Times New Roman" w:hAnsi="Times New Roman" w:eastAsia="楷体_GB2312" w:cs="Times New Roman"/>
          <w:sz w:val="32"/>
          <w:szCs w:val="32"/>
        </w:rPr>
        <w:t>锤炼硬本领，抓实队伍建设聚合力。</w:t>
      </w:r>
      <w:r>
        <w:rPr>
          <w:rFonts w:ascii="Times New Roman" w:hAnsi="Times New Roman" w:eastAsia="仿宋_GB2312" w:cs="Times New Roman"/>
          <w:b/>
          <w:bCs/>
          <w:sz w:val="32"/>
          <w:szCs w:val="32"/>
        </w:rPr>
        <w:t>一是</w:t>
      </w:r>
      <w:r>
        <w:rPr>
          <w:rFonts w:ascii="Times New Roman" w:hAnsi="Times New Roman" w:eastAsia="仿宋_GB2312" w:cs="Times New Roman"/>
          <w:bCs/>
          <w:sz w:val="32"/>
          <w:szCs w:val="32"/>
        </w:rPr>
        <w:t>抓制度提质效。认真执行“13710”工作制度，坚持“马路办公”“马上办理”一线工作法，高质高效完成各项工作任务，以钉钉子精神狠抓落实，确保区委区政府决策部署落到实处。</w:t>
      </w:r>
      <w:r>
        <w:rPr>
          <w:rFonts w:ascii="Times New Roman" w:hAnsi="Times New Roman" w:eastAsia="仿宋_GB2312" w:cs="Times New Roman"/>
          <w:b/>
          <w:bCs/>
          <w:sz w:val="32"/>
          <w:szCs w:val="32"/>
        </w:rPr>
        <w:t>二是</w:t>
      </w:r>
      <w:r>
        <w:rPr>
          <w:rFonts w:ascii="Times New Roman" w:hAnsi="Times New Roman" w:eastAsia="仿宋_GB2312" w:cs="Times New Roman"/>
          <w:bCs/>
          <w:sz w:val="32"/>
          <w:szCs w:val="32"/>
        </w:rPr>
        <w:t>抓业务强保障。紧盯核心职责，持续保持“能力危机”心态。加强财政自身建设，组织开展业务培训，提升自主能动性，提高财政干部和财会从业人员综合素质。</w:t>
      </w:r>
      <w:r>
        <w:rPr>
          <w:rFonts w:ascii="Times New Roman" w:hAnsi="Times New Roman" w:eastAsia="仿宋_GB2312" w:cs="Times New Roman"/>
          <w:b/>
          <w:bCs/>
          <w:sz w:val="32"/>
          <w:szCs w:val="32"/>
        </w:rPr>
        <w:t>三是</w:t>
      </w:r>
      <w:r>
        <w:rPr>
          <w:rFonts w:ascii="Times New Roman" w:hAnsi="Times New Roman" w:eastAsia="仿宋_GB2312" w:cs="Times New Roman"/>
          <w:bCs/>
          <w:sz w:val="32"/>
          <w:szCs w:val="32"/>
        </w:rPr>
        <w:t>抓作风强纪律。深入贯彻学习习近平总书记关于党的作风建设重要论述和中央八项规定精神。通过讲专题党课深化以案说德、以案说纪、以案说责，深化警示教育成果。通过开展调研走访活动，切实为群众办实事、解难题。同时，要求财政干部结合实际对照剖析、反躬自省，在自警自律中锤炼扎实作风。</w:t>
      </w:r>
      <w:r>
        <w:rPr>
          <w:rFonts w:ascii="Times New Roman" w:hAnsi="Times New Roman" w:eastAsia="仿宋_GB2312" w:cs="Times New Roman"/>
          <w:b/>
          <w:bCs/>
          <w:sz w:val="32"/>
          <w:szCs w:val="32"/>
        </w:rPr>
        <w:t>四是</w:t>
      </w:r>
      <w:r>
        <w:rPr>
          <w:rFonts w:ascii="Times New Roman" w:hAnsi="Times New Roman" w:eastAsia="仿宋_GB2312" w:cs="Times New Roman"/>
          <w:bCs/>
          <w:sz w:val="32"/>
          <w:szCs w:val="32"/>
        </w:rPr>
        <w:t>抓服务强治理。加强集中支付、政府采购和投资评审等工作管理，适当简化工作流程，提高工作效率，缩短预算单位业务办理时间。</w:t>
      </w:r>
    </w:p>
    <w:p w14:paraId="3F953BDD">
      <w:pPr>
        <w:pStyle w:val="10"/>
        <w:keepNext w:val="0"/>
        <w:keepLines w:val="0"/>
        <w:pageBreakBefore w:val="0"/>
        <w:widowControl w:val="0"/>
        <w:numPr>
          <w:ilvl w:val="0"/>
          <w:numId w:val="1"/>
        </w:numPr>
        <w:kinsoku/>
        <w:wordWrap/>
        <w:overflowPunct/>
        <w:topLinePunct w:val="0"/>
        <w:autoSpaceDE/>
        <w:autoSpaceDN/>
        <w:bidi w:val="0"/>
        <w:adjustRightInd w:val="0"/>
        <w:snapToGrid w:val="0"/>
        <w:spacing w:beforeAutospacing="0" w:afterAutospacing="0" w:line="570" w:lineRule="exact"/>
        <w:ind w:left="0" w:firstLine="640" w:firstLineChars="200"/>
        <w:jc w:val="both"/>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奋力保重点，稳固财源税基强保障。</w:t>
      </w:r>
      <w:r>
        <w:rPr>
          <w:rFonts w:ascii="Times New Roman" w:hAnsi="Times New Roman" w:eastAsia="仿宋_GB2312" w:cs="Times New Roman"/>
          <w:b/>
          <w:sz w:val="32"/>
          <w:szCs w:val="32"/>
        </w:rPr>
        <w:t>一是</w:t>
      </w:r>
      <w:r>
        <w:rPr>
          <w:rFonts w:ascii="Times New Roman" w:hAnsi="Times New Roman" w:eastAsia="仿宋_GB2312" w:cs="Times New Roman"/>
          <w:sz w:val="32"/>
          <w:szCs w:val="32"/>
        </w:rPr>
        <w:t>按照“以日保月，以月保季，以季保年”的工作思路，在严格落实上级各项支持政策的前提下，坚持稳中提质，凝聚拼经济、抓项目的鲜明共识，严格执行三项制度、两个台账，会同相关部门抓实税源建设，坚持以综合治税保税源，以企业发展养税源，以项目建设增税源，努力挖潜增收。</w:t>
      </w: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严格收入征管，规范税收秩序，做到应收尽收、应收足收、保质保量，为我区企业发展创造环境、留足后劲（中科化工欠税征缴969万元）。</w:t>
      </w: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强化非税收入征管，协同非税收入征管职能部门加强非税收入征缴力度。上半年提前完成了收入目标，税占比98.2%，居全省主城区第2位，收入质量进一步提高。</w:t>
      </w:r>
    </w:p>
    <w:p w14:paraId="615C7996">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firstLine="640" w:firstLineChars="200"/>
        <w:jc w:val="both"/>
        <w:textAlignment w:val="auto"/>
        <w:outlineLvl w:val="9"/>
        <w:rPr>
          <w:rFonts w:ascii="Times New Roman" w:hAnsi="Times New Roman" w:eastAsia="楷体_GB2312" w:cs="Times New Roman"/>
          <w:sz w:val="32"/>
          <w:szCs w:val="32"/>
        </w:rPr>
      </w:pPr>
      <w:r>
        <w:rPr>
          <w:rFonts w:ascii="Times New Roman" w:hAnsi="Times New Roman" w:eastAsia="楷体_GB2312" w:cs="Times New Roman"/>
          <w:sz w:val="32"/>
          <w:szCs w:val="32"/>
        </w:rPr>
        <w:t>（三）勇于扛重责，切实兜牢“三保”守底线。</w:t>
      </w:r>
      <w:r>
        <w:rPr>
          <w:rFonts w:ascii="Times New Roman" w:hAnsi="仿宋_GB2312" w:eastAsia="仿宋_GB2312" w:cs="Times New Roman"/>
          <w:b/>
          <w:sz w:val="32"/>
          <w:szCs w:val="32"/>
        </w:rPr>
        <w:t>一是</w:t>
      </w:r>
      <w:r>
        <w:rPr>
          <w:rFonts w:ascii="Times New Roman" w:hAnsi="仿宋_GB2312" w:eastAsia="仿宋_GB2312" w:cs="Times New Roman"/>
          <w:sz w:val="32"/>
          <w:szCs w:val="32"/>
        </w:rPr>
        <w:t>预算优先安排，用好</w:t>
      </w:r>
      <w:r>
        <w:rPr>
          <w:rFonts w:ascii="Times New Roman" w:hAnsi="Times New Roman" w:eastAsia="仿宋_GB2312" w:cs="Times New Roman"/>
          <w:sz w:val="32"/>
          <w:szCs w:val="32"/>
        </w:rPr>
        <w:t>“</w:t>
      </w:r>
      <w:r>
        <w:rPr>
          <w:rFonts w:ascii="Times New Roman" w:hAnsi="仿宋_GB2312" w:eastAsia="仿宋_GB2312" w:cs="Times New Roman"/>
          <w:sz w:val="32"/>
          <w:szCs w:val="32"/>
        </w:rPr>
        <w:t>铁算盘</w:t>
      </w:r>
      <w:r>
        <w:rPr>
          <w:rFonts w:ascii="Times New Roman" w:hAnsi="Times New Roman" w:eastAsia="仿宋_GB2312" w:cs="Times New Roman"/>
          <w:sz w:val="32"/>
          <w:szCs w:val="32"/>
        </w:rPr>
        <w:t>”</w:t>
      </w:r>
      <w:r>
        <w:rPr>
          <w:rFonts w:ascii="Times New Roman" w:hAnsi="仿宋_GB2312" w:eastAsia="仿宋_GB2312" w:cs="Times New Roman"/>
          <w:sz w:val="32"/>
          <w:szCs w:val="32"/>
        </w:rPr>
        <w:t>。</w:t>
      </w:r>
      <w:r>
        <w:rPr>
          <w:rFonts w:ascii="Times New Roman" w:hAnsi="Times New Roman" w:eastAsia="仿宋_GB2312" w:cs="Times New Roman"/>
          <w:sz w:val="32"/>
          <w:szCs w:val="32"/>
        </w:rPr>
        <w:t>坚持“有保有压”原则，将“三保”作为预算安排的首要任务，基本民生继续加强保障，用政府的“紧日子”换人民的“好日子”。坚持“三保”支出在财政支出中的优先顺序，确保基本民生保障有力、人员工资按时发放、机构正常运转。</w:t>
      </w:r>
      <w:r>
        <w:rPr>
          <w:rFonts w:ascii="Times New Roman" w:hAnsi="Times New Roman" w:eastAsia="仿宋_GB2312" w:cs="Times New Roman"/>
          <w:b/>
          <w:sz w:val="32"/>
          <w:szCs w:val="32"/>
        </w:rPr>
        <w:t>二是</w:t>
      </w:r>
      <w:r>
        <w:rPr>
          <w:rFonts w:ascii="Times New Roman" w:hAnsi="Times New Roman" w:eastAsia="仿宋_GB2312" w:cs="Times New Roman"/>
          <w:sz w:val="32"/>
          <w:szCs w:val="32"/>
        </w:rPr>
        <w:t>资金优先拨付，念好“紧箍咒”。集中财力针对群众最关切的就业、教育、医疗、住房、养老等民生方面投入2.3亿元，占全区一般公共预算支出比重为73%。其中投入衔接资金58.5万元，做到过渡期内保持财政支持政策总体稳定；</w:t>
      </w:r>
      <w:r>
        <w:rPr>
          <w:rFonts w:ascii="Times New Roman" w:hAnsi="Times New Roman" w:eastAsia="仿宋_GB2312" w:cs="Times New Roman"/>
          <w:bCs/>
          <w:sz w:val="32"/>
          <w:szCs w:val="32"/>
          <w:lang w:val="zh-CN"/>
        </w:rPr>
        <w:t>投入保障性住房资金</w:t>
      </w:r>
      <w:r>
        <w:rPr>
          <w:rFonts w:ascii="Times New Roman" w:hAnsi="Times New Roman" w:eastAsia="仿宋_GB2312" w:cs="Times New Roman"/>
          <w:bCs/>
          <w:sz w:val="32"/>
          <w:szCs w:val="32"/>
        </w:rPr>
        <w:t>11708</w:t>
      </w:r>
      <w:r>
        <w:rPr>
          <w:rFonts w:ascii="Times New Roman" w:hAnsi="Times New Roman" w:eastAsia="仿宋_GB2312" w:cs="Times New Roman"/>
          <w:bCs/>
          <w:sz w:val="32"/>
          <w:szCs w:val="32"/>
          <w:lang w:val="zh-CN"/>
        </w:rPr>
        <w:t>万元，确保重点民生政策落到实处；投入城市管理资金</w:t>
      </w:r>
      <w:r>
        <w:rPr>
          <w:rFonts w:ascii="Times New Roman" w:hAnsi="Times New Roman" w:eastAsia="仿宋_GB2312" w:cs="Times New Roman"/>
          <w:bCs/>
          <w:sz w:val="32"/>
          <w:szCs w:val="32"/>
        </w:rPr>
        <w:t>786.8</w:t>
      </w:r>
      <w:r>
        <w:rPr>
          <w:rFonts w:ascii="Times New Roman" w:hAnsi="Times New Roman" w:eastAsia="仿宋_GB2312" w:cs="Times New Roman"/>
          <w:bCs/>
          <w:sz w:val="32"/>
          <w:szCs w:val="32"/>
          <w:lang w:val="zh-CN"/>
        </w:rPr>
        <w:t>万元，为提升城市形象和生活环境起到了积极作用；</w:t>
      </w:r>
      <w:r>
        <w:rPr>
          <w:rFonts w:ascii="Times New Roman" w:hAnsi="Times New Roman" w:eastAsia="仿宋_GB2312" w:cs="Times New Roman"/>
          <w:bCs/>
          <w:sz w:val="32"/>
          <w:szCs w:val="32"/>
        </w:rPr>
        <w:t>筹措资金兑现惠企奖补</w:t>
      </w:r>
      <w:r>
        <w:rPr>
          <w:rFonts w:ascii="Times New Roman" w:hAnsi="Times New Roman" w:eastAsia="仿宋_GB2312" w:cs="Times New Roman"/>
          <w:sz w:val="32"/>
          <w:szCs w:val="32"/>
        </w:rPr>
        <w:t>305.1万元，最大程度帮助企业纾困解难，激发市场经济活力；切实将财政资金配置使用向民生领域倾斜，努力让人民群众的获得感更足、幸福感更可持续、安全感更有保障。</w:t>
      </w:r>
      <w:r>
        <w:rPr>
          <w:rFonts w:ascii="Times New Roman" w:hAnsi="Times New Roman" w:eastAsia="仿宋_GB2312" w:cs="Times New Roman"/>
          <w:b/>
          <w:bCs/>
          <w:sz w:val="32"/>
          <w:szCs w:val="32"/>
        </w:rPr>
        <w:t>三是</w:t>
      </w:r>
      <w:r>
        <w:rPr>
          <w:rFonts w:ascii="Times New Roman" w:hAnsi="Times New Roman" w:eastAsia="仿宋_GB2312" w:cs="Times New Roman"/>
          <w:bCs/>
          <w:sz w:val="32"/>
          <w:szCs w:val="32"/>
        </w:rPr>
        <w:t>风险优先化解，打好“预防针”。通过预算管理一体化系统实时监控“三保”支出，按月分析评估教师工资、家庭经济困难补助等资金保障情况，提前补足预算缺口。</w:t>
      </w:r>
    </w:p>
    <w:p w14:paraId="691E9CE4">
      <w:pPr>
        <w:keepNext w:val="0"/>
        <w:keepLines w:val="0"/>
        <w:pageBreakBefore w:val="0"/>
        <w:kinsoku/>
        <w:wordWrap/>
        <w:overflowPunct/>
        <w:autoSpaceDE w:val="0"/>
        <w:autoSpaceDN w:val="0"/>
        <w:bidi w:val="0"/>
        <w:adjustRightInd w:val="0"/>
        <w:snapToGrid w:val="0"/>
        <w:spacing w:line="570" w:lineRule="exact"/>
        <w:ind w:left="0" w:firstLine="640" w:firstLineChars="200"/>
        <w:jc w:val="both"/>
        <w:textAlignment w:val="auto"/>
        <w:outlineLvl w:val="9"/>
        <w:rPr>
          <w:rFonts w:eastAsia="楷体_GB2312"/>
          <w:bCs/>
          <w:sz w:val="32"/>
          <w:szCs w:val="32"/>
        </w:rPr>
      </w:pPr>
      <w:r>
        <w:rPr>
          <w:rFonts w:eastAsia="楷体_GB2312"/>
          <w:bCs/>
          <w:sz w:val="32"/>
          <w:szCs w:val="32"/>
        </w:rPr>
        <w:t>（四）</w:t>
      </w:r>
      <w:r>
        <w:rPr>
          <w:rFonts w:eastAsia="楷体_GB2312"/>
          <w:sz w:val="32"/>
          <w:szCs w:val="32"/>
        </w:rPr>
        <w:t>加力抓改革，强化财政管理提效能。</w:t>
      </w:r>
      <w:r>
        <w:rPr>
          <w:rFonts w:eastAsia="仿宋_GB2312"/>
          <w:b/>
          <w:bCs/>
          <w:sz w:val="32"/>
          <w:szCs w:val="32"/>
        </w:rPr>
        <w:t>一是</w:t>
      </w:r>
      <w:r>
        <w:rPr>
          <w:rFonts w:eastAsia="仿宋_GB2312"/>
          <w:sz w:val="32"/>
          <w:szCs w:val="32"/>
        </w:rPr>
        <w:t>加强预算管理取得实效。大力优化支出结构，真正做到有保有压。</w:t>
      </w:r>
      <w:r>
        <w:rPr>
          <w:rFonts w:eastAsia="仿宋_GB2312"/>
          <w:bCs/>
          <w:sz w:val="32"/>
          <w:szCs w:val="32"/>
        </w:rPr>
        <w:t>通过加强投</w:t>
      </w:r>
      <w:r>
        <w:rPr>
          <w:rFonts w:eastAsia="仿宋_GB2312"/>
          <w:sz w:val="32"/>
          <w:szCs w:val="32"/>
        </w:rPr>
        <w:t>资评审和政府采购审核力度，把惠民惠农财政补贴资金“一卡通”打造成为群众的“连心卡”等方式，切实将财政资金用在刀刃上，提高资金效益和政策效果。</w:t>
      </w:r>
      <w:r>
        <w:rPr>
          <w:rFonts w:eastAsia="仿宋_GB2312"/>
          <w:b/>
          <w:sz w:val="32"/>
          <w:szCs w:val="32"/>
          <w:lang w:val="zh-CN"/>
        </w:rPr>
        <w:t>二是</w:t>
      </w:r>
      <w:r>
        <w:rPr>
          <w:rFonts w:eastAsia="仿宋_GB2312"/>
          <w:sz w:val="32"/>
          <w:szCs w:val="32"/>
          <w:lang w:val="zh-CN"/>
        </w:rPr>
        <w:t>过紧日子落实有效。把严把紧预算安排和支出关口，</w:t>
      </w:r>
      <w:r>
        <w:rPr>
          <w:rFonts w:eastAsia="仿宋_GB2312"/>
          <w:sz w:val="32"/>
          <w:szCs w:val="32"/>
        </w:rPr>
        <w:t>勤俭节约</w:t>
      </w:r>
      <w:r>
        <w:rPr>
          <w:rFonts w:eastAsia="仿宋_GB2312"/>
          <w:sz w:val="32"/>
          <w:szCs w:val="32"/>
          <w:lang w:val="zh-CN"/>
        </w:rPr>
        <w:t>办一切事业。从硬化预算刚性约束，严控低效无效支出；资源集约利用，“公务仓”优先调剂资产等方面加强管控，</w:t>
      </w:r>
      <w:r>
        <w:rPr>
          <w:rFonts w:eastAsia="仿宋_GB2312"/>
          <w:sz w:val="32"/>
          <w:szCs w:val="32"/>
        </w:rPr>
        <w:t>把紧日子过出大智慧，为助力财政治理现代化筑牢基础支撑。上半年，三公经费支出42.5万元，同比下降14.9%。</w:t>
      </w:r>
      <w:r>
        <w:rPr>
          <w:rFonts w:eastAsia="仿宋_GB2312"/>
          <w:b/>
          <w:sz w:val="32"/>
          <w:szCs w:val="32"/>
        </w:rPr>
        <w:t>三是</w:t>
      </w:r>
      <w:r>
        <w:rPr>
          <w:rFonts w:eastAsia="仿宋_GB2312"/>
          <w:sz w:val="32"/>
          <w:szCs w:val="32"/>
        </w:rPr>
        <w:t>预决算公开全面提效。进一步完善预决算公开的范围和明细程度，提高财政资金分配和使用透明度，主动接受社会监督，逆向促使财政资金用在关键处、紧要处，提高资金使用效益。</w:t>
      </w:r>
      <w:r>
        <w:rPr>
          <w:rFonts w:eastAsia="仿宋_GB2312"/>
          <w:b/>
          <w:sz w:val="32"/>
          <w:szCs w:val="32"/>
        </w:rPr>
        <w:t>四是</w:t>
      </w:r>
      <w:r>
        <w:rPr>
          <w:rFonts w:eastAsia="仿宋_GB2312"/>
          <w:sz w:val="32"/>
          <w:szCs w:val="32"/>
        </w:rPr>
        <w:t xml:space="preserve">绩效管理深化增效。坚持绩效导向，建立全方位、全过程、全覆盖的预算绩效管理体系，精细化成本控制，强化预算执行动态监控，加强绩效考核，压实部门主体责任，提高财政资金配置效率和支出使用效果。2025年4月，全市对2024年度县区绩效管理考核中我区获得优秀等次。                                                                                                                 </w:t>
      </w:r>
    </w:p>
    <w:p w14:paraId="4638607A">
      <w:pPr>
        <w:pStyle w:val="10"/>
        <w:keepNext w:val="0"/>
        <w:keepLines w:val="0"/>
        <w:pageBreakBefore w:val="0"/>
        <w:kinsoku/>
        <w:wordWrap/>
        <w:overflowPunct/>
        <w:bidi w:val="0"/>
        <w:adjustRightInd w:val="0"/>
        <w:snapToGrid w:val="0"/>
        <w:spacing w:beforeAutospacing="0" w:afterAutospacing="0" w:line="570" w:lineRule="exact"/>
        <w:ind w:left="0" w:firstLine="640" w:firstLineChars="200"/>
        <w:jc w:val="both"/>
        <w:textAlignment w:val="auto"/>
        <w:outlineLvl w:val="9"/>
        <w:rPr>
          <w:rFonts w:ascii="Times New Roman" w:hAnsi="Times New Roman" w:eastAsia="楷体_GB2312" w:cs="Times New Roman"/>
          <w:bCs/>
          <w:sz w:val="32"/>
          <w:szCs w:val="32"/>
        </w:rPr>
      </w:pPr>
      <w:r>
        <w:rPr>
          <w:rFonts w:ascii="Times New Roman" w:hAnsi="Times New Roman" w:eastAsia="楷体_GB2312" w:cs="Times New Roman"/>
          <w:bCs/>
          <w:sz w:val="32"/>
          <w:szCs w:val="32"/>
        </w:rPr>
        <w:t>（五）加压强监管，维护财经秩序防风险。</w:t>
      </w:r>
      <w:r>
        <w:rPr>
          <w:rFonts w:ascii="Times New Roman" w:hAnsi="Times New Roman" w:eastAsia="仿宋_GB2312" w:cs="Times New Roman"/>
          <w:b/>
          <w:bCs/>
          <w:kern w:val="2"/>
          <w:sz w:val="32"/>
          <w:szCs w:val="32"/>
          <w:lang w:val="zh-CN"/>
        </w:rPr>
        <w:t>一是</w:t>
      </w:r>
      <w:r>
        <w:rPr>
          <w:rFonts w:ascii="Times New Roman" w:hAnsi="Times New Roman" w:eastAsia="仿宋_GB2312" w:cs="Times New Roman"/>
          <w:sz w:val="32"/>
          <w:szCs w:val="32"/>
        </w:rPr>
        <w:t>加强财政系统提升效能。推进预算一体化、政府债务、衔接资金、直达资金、“一卡通”等监控平台系统平稳运行，通过预算执行监控、大数据分析等手段提升监督效能，确保资金使用合规有效。</w:t>
      </w:r>
      <w:r>
        <w:rPr>
          <w:rFonts w:ascii="Times New Roman" w:hAnsi="Times New Roman" w:eastAsia="仿宋_GB2312" w:cs="Times New Roman"/>
          <w:b/>
          <w:sz w:val="32"/>
          <w:szCs w:val="32"/>
        </w:rPr>
        <w:t>二</w:t>
      </w:r>
      <w:r>
        <w:rPr>
          <w:rFonts w:ascii="Times New Roman" w:hAnsi="Times New Roman" w:eastAsia="仿宋_GB2312" w:cs="Times New Roman"/>
          <w:b/>
          <w:bCs/>
          <w:sz w:val="32"/>
          <w:szCs w:val="32"/>
        </w:rPr>
        <w:t>是</w:t>
      </w:r>
      <w:r>
        <w:rPr>
          <w:rFonts w:ascii="Times New Roman" w:hAnsi="Times New Roman" w:eastAsia="仿宋_GB2312" w:cs="Times New Roman"/>
          <w:bCs/>
          <w:sz w:val="32"/>
          <w:szCs w:val="32"/>
        </w:rPr>
        <w:t>开展集中整治监督下沉。</w:t>
      </w:r>
      <w:r>
        <w:rPr>
          <w:rFonts w:ascii="Times New Roman" w:hAnsi="Times New Roman" w:eastAsia="仿宋_GB2312" w:cs="Times New Roman"/>
          <w:sz w:val="32"/>
          <w:szCs w:val="32"/>
        </w:rPr>
        <w:t>纵深推进群众身边不正之风和腐败问题集中整治，坚持唯事务实，以问题、措施、成效“三个清单”推动重点项目整治，不断提升群众的幸福感、获得感、安全感。</w:t>
      </w:r>
      <w:r>
        <w:rPr>
          <w:rFonts w:ascii="Times New Roman" w:hAnsi="Times New Roman" w:eastAsia="仿宋_GB2312" w:cs="Times New Roman"/>
          <w:b/>
          <w:sz w:val="32"/>
          <w:szCs w:val="32"/>
        </w:rPr>
        <w:t>三是</w:t>
      </w:r>
      <w:r>
        <w:rPr>
          <w:rFonts w:ascii="Times New Roman" w:hAnsi="Times New Roman" w:eastAsia="仿宋_GB2312" w:cs="Times New Roman"/>
          <w:sz w:val="32"/>
          <w:szCs w:val="32"/>
        </w:rPr>
        <w:t>防范债务风险筑牢底线。建立债务风险预警以及风险应急处置机制，将债务分门别类纳入全口径预算管理，加强管控，</w:t>
      </w:r>
      <w:r>
        <w:rPr>
          <w:rFonts w:ascii="Times New Roman" w:hAnsi="Times New Roman" w:eastAsia="仿宋_GB2312" w:cs="Times New Roman"/>
          <w:bCs/>
          <w:sz w:val="32"/>
          <w:szCs w:val="32"/>
        </w:rPr>
        <w:t>严禁违法违规举债担保。截至上半年，我区债务率114.4%，整体处于绿区。</w:t>
      </w:r>
      <w:r>
        <w:rPr>
          <w:rFonts w:ascii="Times New Roman" w:hAnsi="Times New Roman" w:eastAsia="仿宋_GB2312" w:cs="Times New Roman"/>
          <w:b/>
          <w:sz w:val="32"/>
          <w:szCs w:val="32"/>
        </w:rPr>
        <w:t>四是</w:t>
      </w:r>
      <w:r>
        <w:rPr>
          <w:rFonts w:ascii="Times New Roman" w:hAnsi="Times New Roman" w:eastAsia="仿宋_GB2312" w:cs="Times New Roman"/>
          <w:sz w:val="32"/>
          <w:szCs w:val="32"/>
        </w:rPr>
        <w:t>加强财会监督整饬秩序。建立“纪财联动”“财审联动”等贯通协调工作机制，增强监督工作合力，真正让财会监督“长牙带电”。重点围绕财经领域重大案件查处、严肃财经纪律专项整治等6个领域继续开展财会监督专项行动。</w:t>
      </w:r>
    </w:p>
    <w:p w14:paraId="1AA733B6">
      <w:pPr>
        <w:keepNext w:val="0"/>
        <w:keepLines w:val="0"/>
        <w:pageBreakBefore w:val="0"/>
        <w:widowControl/>
        <w:kinsoku/>
        <w:wordWrap/>
        <w:overflowPunct/>
        <w:bidi w:val="0"/>
        <w:snapToGrid w:val="0"/>
        <w:spacing w:line="570" w:lineRule="exact"/>
        <w:ind w:left="0" w:firstLine="640" w:firstLineChars="200"/>
        <w:jc w:val="both"/>
        <w:textAlignment w:val="auto"/>
        <w:outlineLvl w:val="9"/>
        <w:rPr>
          <w:rFonts w:eastAsia="黑体"/>
          <w:sz w:val="32"/>
          <w:szCs w:val="32"/>
        </w:rPr>
      </w:pPr>
      <w:r>
        <w:rPr>
          <w:rFonts w:eastAsia="黑体"/>
          <w:sz w:val="32"/>
          <w:szCs w:val="32"/>
        </w:rPr>
        <w:t>四、当前财政运行面临的主要问题</w:t>
      </w:r>
    </w:p>
    <w:p w14:paraId="1F60928A">
      <w:pPr>
        <w:keepNext w:val="0"/>
        <w:keepLines w:val="0"/>
        <w:pageBreakBefore w:val="0"/>
        <w:widowControl/>
        <w:kinsoku/>
        <w:wordWrap/>
        <w:overflowPunct/>
        <w:bidi w:val="0"/>
        <w:adjustRightInd w:val="0"/>
        <w:snapToGrid w:val="0"/>
        <w:spacing w:line="570" w:lineRule="exact"/>
        <w:ind w:left="0" w:firstLine="640" w:firstLineChars="200"/>
        <w:jc w:val="both"/>
        <w:textAlignment w:val="auto"/>
        <w:outlineLvl w:val="9"/>
        <w:rPr>
          <w:rFonts w:eastAsia="仿宋_GB2312"/>
          <w:kern w:val="0"/>
          <w:sz w:val="32"/>
          <w:szCs w:val="32"/>
        </w:rPr>
      </w:pPr>
      <w:r>
        <w:rPr>
          <w:rFonts w:eastAsia="楷体_GB2312"/>
          <w:kern w:val="0"/>
          <w:sz w:val="32"/>
          <w:szCs w:val="32"/>
        </w:rPr>
        <w:t>（一）财政增收基础尚不牢固。</w:t>
      </w:r>
      <w:r>
        <w:rPr>
          <w:rFonts w:eastAsia="仿宋_GB2312"/>
          <w:kern w:val="0"/>
          <w:sz w:val="32"/>
          <w:szCs w:val="32"/>
        </w:rPr>
        <w:t>上半年，我区财政实现了同比6.2%的较高增长，圆满完成了上半年收入目标。但是，下半年全区财政收入形势不容乐观。</w:t>
      </w:r>
      <w:r>
        <w:rPr>
          <w:rFonts w:eastAsia="仿宋_GB2312"/>
          <w:b/>
          <w:bCs/>
          <w:kern w:val="0"/>
          <w:sz w:val="32"/>
          <w:szCs w:val="32"/>
        </w:rPr>
        <w:t>一是</w:t>
      </w:r>
      <w:r>
        <w:rPr>
          <w:rFonts w:eastAsia="仿宋_GB2312"/>
          <w:kern w:val="0"/>
          <w:sz w:val="32"/>
          <w:szCs w:val="32"/>
        </w:rPr>
        <w:t>缺乏支柱性税源支撑。上半年纳税千万元以上的企业有5家，仅占税收收入的34.6%。</w:t>
      </w:r>
      <w:r>
        <w:rPr>
          <w:rFonts w:eastAsia="仿宋_GB2312"/>
          <w:b/>
          <w:kern w:val="0"/>
          <w:sz w:val="32"/>
          <w:szCs w:val="32"/>
        </w:rPr>
        <w:t>二是</w:t>
      </w:r>
      <w:r>
        <w:rPr>
          <w:rFonts w:eastAsia="仿宋_GB2312"/>
          <w:kern w:val="0"/>
          <w:sz w:val="32"/>
          <w:szCs w:val="32"/>
        </w:rPr>
        <w:t>新税源增长缓慢。引进高精尖企业少、落地项目建设进度慢，导致财政收入增长乏力。</w:t>
      </w:r>
      <w:r>
        <w:rPr>
          <w:rFonts w:eastAsia="仿宋_GB2312"/>
          <w:b/>
          <w:kern w:val="0"/>
          <w:sz w:val="32"/>
          <w:szCs w:val="32"/>
        </w:rPr>
        <w:t>三是</w:t>
      </w:r>
      <w:r>
        <w:rPr>
          <w:rFonts w:eastAsia="仿宋_GB2312"/>
          <w:kern w:val="0"/>
          <w:sz w:val="32"/>
          <w:szCs w:val="32"/>
        </w:rPr>
        <w:t>财税清欠挖潜增收速度放缓。上半年我区财税收入增收因素中企业清欠占比较大，后期欠税企业存在各种主、客观困难，加之部分单位清欠工作方法单一，缺乏针对性，导致整体清欠工作推进困难。</w:t>
      </w:r>
      <w:r>
        <w:rPr>
          <w:rFonts w:eastAsia="仿宋_GB2312"/>
          <w:b/>
          <w:kern w:val="0"/>
          <w:sz w:val="32"/>
          <w:szCs w:val="32"/>
        </w:rPr>
        <w:t>四是</w:t>
      </w:r>
      <w:r>
        <w:rPr>
          <w:rFonts w:eastAsia="仿宋_GB2312"/>
          <w:kern w:val="0"/>
          <w:sz w:val="32"/>
          <w:szCs w:val="32"/>
        </w:rPr>
        <w:t>政策性减收影响。车船税调整为省级收入，调库滞后，造成政策性减收。</w:t>
      </w:r>
      <w:r>
        <w:rPr>
          <w:rFonts w:eastAsia="仿宋_GB2312"/>
          <w:b/>
          <w:kern w:val="0"/>
          <w:sz w:val="32"/>
          <w:szCs w:val="32"/>
        </w:rPr>
        <w:t>五是</w:t>
      </w:r>
      <w:r>
        <w:rPr>
          <w:rFonts w:eastAsia="仿宋_GB2312"/>
          <w:kern w:val="0"/>
          <w:sz w:val="32"/>
          <w:szCs w:val="32"/>
        </w:rPr>
        <w:t>产业集群效应有待提升。先进制造业开发区企业在全区前百名纳税企业名单中较少，税收贡献度较低。</w:t>
      </w:r>
    </w:p>
    <w:p w14:paraId="4814F73F">
      <w:pPr>
        <w:keepNext w:val="0"/>
        <w:keepLines w:val="0"/>
        <w:pageBreakBefore w:val="0"/>
        <w:widowControl w:val="0"/>
        <w:kinsoku/>
        <w:wordWrap/>
        <w:overflowPunct/>
        <w:topLinePunct w:val="0"/>
        <w:autoSpaceDE/>
        <w:autoSpaceDN/>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楷体_GB2312"/>
          <w:sz w:val="32"/>
          <w:szCs w:val="32"/>
        </w:rPr>
        <w:t>（二）财政收支矛盾越发突出。</w:t>
      </w:r>
      <w:r>
        <w:rPr>
          <w:rFonts w:eastAsia="仿宋_GB2312"/>
          <w:b/>
          <w:bCs/>
          <w:sz w:val="32"/>
          <w:szCs w:val="32"/>
        </w:rPr>
        <w:t>一是</w:t>
      </w:r>
      <w:r>
        <w:rPr>
          <w:rFonts w:eastAsia="仿宋_GB2312"/>
          <w:sz w:val="32"/>
          <w:szCs w:val="32"/>
        </w:rPr>
        <w:t>兜牢“三保”底线压力巨大。虽然财政收支矛盾越发突出，但不会在民生支出上退步，现行的财政事权和支出责任划分中社保、医疗、教育等民生支出区级负担提标，财政收支存在总量上的“绝对”缺口，“保基本民生、保工资、保运转”任务艰巨。</w:t>
      </w:r>
      <w:r>
        <w:rPr>
          <w:rFonts w:eastAsia="仿宋_GB2312"/>
          <w:b/>
          <w:bCs/>
          <w:sz w:val="32"/>
          <w:szCs w:val="32"/>
        </w:rPr>
        <w:t>二是</w:t>
      </w:r>
      <w:r>
        <w:rPr>
          <w:rFonts w:eastAsia="仿宋_GB2312"/>
          <w:sz w:val="32"/>
          <w:szCs w:val="32"/>
        </w:rPr>
        <w:t>重点领域刚性支出保障压力巨大，债务还本付息、园区和项目建设、城市更新等重大刚性支出都需要大量财力予以保障。</w:t>
      </w:r>
      <w:r>
        <w:rPr>
          <w:rFonts w:eastAsia="仿宋_GB2312"/>
          <w:b/>
          <w:bCs/>
          <w:sz w:val="32"/>
          <w:szCs w:val="32"/>
        </w:rPr>
        <w:t>三是</w:t>
      </w:r>
      <w:r>
        <w:rPr>
          <w:rFonts w:eastAsia="仿宋_GB2312"/>
          <w:sz w:val="32"/>
          <w:szCs w:val="32"/>
        </w:rPr>
        <w:t>国库现金处于较低保障水平，预算正常执行缺乏“现金流”支撑。</w:t>
      </w:r>
    </w:p>
    <w:p w14:paraId="0A88B8ED">
      <w:pPr>
        <w:keepNext w:val="0"/>
        <w:keepLines w:val="0"/>
        <w:pageBreakBefore w:val="0"/>
        <w:widowControl/>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楷体_GB2312"/>
          <w:sz w:val="32"/>
          <w:szCs w:val="32"/>
        </w:rPr>
        <w:t>（三）财政科学管理尚需深化。</w:t>
      </w:r>
      <w:r>
        <w:rPr>
          <w:rFonts w:eastAsia="仿宋_GB2312"/>
          <w:sz w:val="32"/>
          <w:szCs w:val="32"/>
        </w:rPr>
        <w:t>深化财政科学管理任务艰巨，财政职能作用尚未充分发挥，支出结构不尽合理，产业政策精准性不够、部分资产资源未能有效盘活统筹。政府投资项目资金需求较多，财政和金融缺乏有效融合，亟需拓展多元化融资渠道。资金使用绩效不高等问题依然存在，财政体制机制改革还需进一步深化。对于这些问题，我们将积极应对，继续坚持改革创新，主动顺应经济发展新常态，不断提高财政管理能力和服务水平。</w:t>
      </w:r>
    </w:p>
    <w:p w14:paraId="64C2B9DB">
      <w:pPr>
        <w:keepNext w:val="0"/>
        <w:keepLines w:val="0"/>
        <w:pageBreakBefore w:val="0"/>
        <w:tabs>
          <w:tab w:val="left" w:pos="1080"/>
        </w:tabs>
        <w:kinsoku/>
        <w:wordWrap/>
        <w:overflowPunct/>
        <w:topLinePunct/>
        <w:autoSpaceDE w:val="0"/>
        <w:bidi w:val="0"/>
        <w:spacing w:line="570" w:lineRule="exact"/>
        <w:ind w:left="0" w:firstLine="640" w:firstLineChars="200"/>
        <w:jc w:val="both"/>
        <w:textAlignment w:val="auto"/>
        <w:outlineLvl w:val="9"/>
        <w:rPr>
          <w:rFonts w:eastAsia="黑体"/>
          <w:spacing w:val="10"/>
          <w:sz w:val="32"/>
          <w:szCs w:val="32"/>
        </w:rPr>
      </w:pPr>
      <w:r>
        <w:rPr>
          <w:rFonts w:eastAsia="黑体"/>
          <w:sz w:val="32"/>
          <w:szCs w:val="32"/>
        </w:rPr>
        <w:t>五、下半年</w:t>
      </w:r>
      <w:r>
        <w:rPr>
          <w:rFonts w:eastAsia="黑体"/>
          <w:spacing w:val="10"/>
          <w:sz w:val="32"/>
          <w:szCs w:val="32"/>
        </w:rPr>
        <w:t xml:space="preserve">财政工作的主要措施 </w:t>
      </w:r>
    </w:p>
    <w:p w14:paraId="61BC7965">
      <w:pPr>
        <w:keepNext w:val="0"/>
        <w:keepLines w:val="0"/>
        <w:pageBreakBefore w:val="0"/>
        <w:tabs>
          <w:tab w:val="left" w:pos="1080"/>
        </w:tabs>
        <w:kinsoku/>
        <w:wordWrap/>
        <w:overflowPunct/>
        <w:topLinePunct/>
        <w:autoSpaceDE w:val="0"/>
        <w:bidi w:val="0"/>
        <w:spacing w:line="570" w:lineRule="exact"/>
        <w:ind w:left="0" w:firstLine="680" w:firstLineChars="200"/>
        <w:jc w:val="both"/>
        <w:textAlignment w:val="auto"/>
        <w:outlineLvl w:val="9"/>
        <w:rPr>
          <w:rFonts w:eastAsia="黑体"/>
          <w:spacing w:val="10"/>
          <w:sz w:val="32"/>
          <w:szCs w:val="32"/>
        </w:rPr>
      </w:pPr>
      <w:r>
        <w:rPr>
          <w:rFonts w:eastAsia="楷体_GB2312"/>
          <w:spacing w:val="10"/>
          <w:sz w:val="32"/>
          <w:szCs w:val="32"/>
        </w:rPr>
        <w:t>（一）在开源节流上加力提效，稳住财政运行。</w:t>
      </w:r>
      <w:r>
        <w:rPr>
          <w:rFonts w:eastAsia="仿宋_GB2312"/>
          <w:b/>
          <w:bCs/>
          <w:sz w:val="32"/>
          <w:szCs w:val="32"/>
        </w:rPr>
        <w:t>一是</w:t>
      </w:r>
      <w:r>
        <w:rPr>
          <w:rFonts w:eastAsia="仿宋_GB2312"/>
          <w:bCs/>
          <w:sz w:val="32"/>
          <w:szCs w:val="32"/>
        </w:rPr>
        <w:t>全力以赴狠抓收入。</w:t>
      </w:r>
      <w:r>
        <w:rPr>
          <w:rFonts w:eastAsia="仿宋_GB2312"/>
          <w:spacing w:val="10"/>
          <w:sz w:val="32"/>
          <w:szCs w:val="32"/>
        </w:rPr>
        <w:t>密切关注全区重点行业、重要企业、重大项目生产建设情况，做好增减收原因动态分析，以更加精准措施做深做细纳税服务工作，稳固现有税源，</w:t>
      </w:r>
      <w:r>
        <w:rPr>
          <w:rFonts w:eastAsia="仿宋_GB2312"/>
          <w:sz w:val="32"/>
          <w:szCs w:val="32"/>
        </w:rPr>
        <w:t>挖掘潜在税源</w:t>
      </w:r>
      <w:r>
        <w:rPr>
          <w:rFonts w:eastAsia="仿宋_GB2312"/>
          <w:spacing w:val="10"/>
          <w:sz w:val="32"/>
          <w:szCs w:val="32"/>
        </w:rPr>
        <w:t>。以开展税费“一规范两服务”专项工作为抓手，着力构建便捷高效的税费服务治理体系，助力营造良好营商环境，提升招商引资质量，引进优质</w:t>
      </w:r>
      <w:r>
        <w:rPr>
          <w:rFonts w:eastAsia="仿宋_GB2312"/>
          <w:sz w:val="32"/>
          <w:szCs w:val="32"/>
        </w:rPr>
        <w:t>项目，开发增量税源</w:t>
      </w:r>
      <w:r>
        <w:rPr>
          <w:rFonts w:eastAsia="仿宋_GB2312"/>
          <w:spacing w:val="10"/>
          <w:sz w:val="32"/>
          <w:szCs w:val="32"/>
        </w:rPr>
        <w:t>。</w:t>
      </w:r>
      <w:r>
        <w:rPr>
          <w:rFonts w:eastAsia="仿宋_GB2312"/>
          <w:b/>
          <w:sz w:val="32"/>
          <w:szCs w:val="32"/>
          <w:lang w:val="zh-CN"/>
        </w:rPr>
        <w:t>二是</w:t>
      </w:r>
      <w:r>
        <w:rPr>
          <w:rFonts w:eastAsia="仿宋_GB2312"/>
          <w:sz w:val="32"/>
          <w:szCs w:val="32"/>
          <w:lang w:val="zh-CN"/>
        </w:rPr>
        <w:t>凝心聚力抢抓机遇。</w:t>
      </w:r>
      <w:r>
        <w:rPr>
          <w:rFonts w:eastAsia="仿宋_GB2312"/>
          <w:spacing w:val="10"/>
          <w:sz w:val="32"/>
          <w:szCs w:val="32"/>
        </w:rPr>
        <w:t>盯紧盯牢上级政策，抢抓机遇、用好政策，积极向上争取资金。</w:t>
      </w:r>
      <w:r>
        <w:rPr>
          <w:rFonts w:eastAsia="仿宋_GB2312"/>
          <w:sz w:val="32"/>
          <w:szCs w:val="32"/>
        </w:rPr>
        <w:t>聚焦政策研究，</w:t>
      </w:r>
      <w:r>
        <w:rPr>
          <w:rFonts w:eastAsia="仿宋_GB2312"/>
          <w:spacing w:val="10"/>
          <w:sz w:val="32"/>
          <w:szCs w:val="32"/>
        </w:rPr>
        <w:t>吃透</w:t>
      </w:r>
      <w:r>
        <w:rPr>
          <w:rFonts w:eastAsia="仿宋_GB2312"/>
          <w:sz w:val="32"/>
          <w:szCs w:val="32"/>
        </w:rPr>
        <w:t>超长期特别国债、专项债券、“两重”“两新”等相关政策，</w:t>
      </w:r>
      <w:r>
        <w:rPr>
          <w:rFonts w:eastAsia="仿宋_GB2312"/>
          <w:spacing w:val="10"/>
          <w:sz w:val="32"/>
          <w:szCs w:val="32"/>
        </w:rPr>
        <w:t>摸准实情、做足准备、协同发力、精准承接，确保相关政策早见效、多见效，发挥财政资金引导和带动效应，</w:t>
      </w:r>
      <w:r>
        <w:rPr>
          <w:rFonts w:eastAsia="仿宋_GB2312"/>
          <w:bCs/>
          <w:sz w:val="32"/>
          <w:szCs w:val="32"/>
        </w:rPr>
        <w:t>巩固财源税基。</w:t>
      </w:r>
      <w:r>
        <w:rPr>
          <w:rFonts w:eastAsia="仿宋_GB2312"/>
          <w:b/>
          <w:bCs/>
          <w:sz w:val="32"/>
          <w:szCs w:val="32"/>
        </w:rPr>
        <w:t>三是</w:t>
      </w:r>
      <w:r>
        <w:rPr>
          <w:rFonts w:eastAsia="仿宋_GB2312"/>
          <w:bCs/>
          <w:sz w:val="32"/>
          <w:szCs w:val="32"/>
        </w:rPr>
        <w:t>坚持不懈过紧日子。强化源头管控，压减一般性支出，提高预算编制细化程度。强化监督制约，发挥投资评审的“强标准、控前端”作用，推动降本增效。强化结果运用，定期开展专项行动，将监督成果与部门预算安排及执行相挂钩。</w:t>
      </w:r>
    </w:p>
    <w:p w14:paraId="5BDB5A52">
      <w:pPr>
        <w:keepNext w:val="0"/>
        <w:keepLines w:val="0"/>
        <w:pageBreakBefore w:val="0"/>
        <w:pBdr>
          <w:bottom w:val="none" w:color="auto" w:sz="0" w:space="23"/>
          <w:right w:val="none" w:color="auto" w:sz="0" w:space="6"/>
        </w:pBdr>
        <w:kinsoku/>
        <w:wordWrap/>
        <w:overflowPunct/>
        <w:bidi w:val="0"/>
        <w:adjustRightInd w:val="0"/>
        <w:snapToGrid w:val="0"/>
        <w:spacing w:line="570" w:lineRule="exact"/>
        <w:ind w:left="0" w:firstLine="640" w:firstLineChars="200"/>
        <w:jc w:val="both"/>
        <w:textAlignment w:val="auto"/>
        <w:outlineLvl w:val="9"/>
        <w:rPr>
          <w:rFonts w:eastAsia="仿宋_GB2312"/>
          <w:bCs/>
          <w:sz w:val="32"/>
          <w:szCs w:val="32"/>
        </w:rPr>
      </w:pPr>
      <w:r>
        <w:rPr>
          <w:rFonts w:eastAsia="楷体_GB2312"/>
          <w:kern w:val="0"/>
          <w:sz w:val="32"/>
          <w:szCs w:val="32"/>
        </w:rPr>
        <w:t>（二）在苦练内功上加力提效，增强财政韧性。</w:t>
      </w:r>
      <w:r>
        <w:rPr>
          <w:rFonts w:eastAsia="仿宋_GB2312"/>
          <w:b/>
          <w:kern w:val="0"/>
          <w:sz w:val="32"/>
          <w:szCs w:val="32"/>
        </w:rPr>
        <w:t>一是</w:t>
      </w:r>
      <w:r>
        <w:rPr>
          <w:rFonts w:eastAsia="仿宋_GB2312"/>
          <w:kern w:val="0"/>
          <w:sz w:val="32"/>
          <w:szCs w:val="32"/>
        </w:rPr>
        <w:t>预算管理提效能。树立现有预算项目，评估现行政策执行效果，常态化盘活存量、用好增量。逐步化解暂付款存量、严控增量。</w:t>
      </w:r>
      <w:r>
        <w:rPr>
          <w:rFonts w:eastAsia="仿宋_GB2312"/>
          <w:b/>
          <w:kern w:val="0"/>
          <w:sz w:val="32"/>
          <w:szCs w:val="32"/>
        </w:rPr>
        <w:t>二是</w:t>
      </w:r>
      <w:r>
        <w:rPr>
          <w:rFonts w:eastAsia="仿宋_GB2312"/>
          <w:kern w:val="0"/>
          <w:sz w:val="32"/>
          <w:szCs w:val="32"/>
        </w:rPr>
        <w:t>绩效管理增实效。坚持成本与效益并重，推进成本绩效管理，加强重大项目评估评价，增强项目可行性和财政可持续性。建立绩效评价结果、财会监督成果与预算编制及执行的强挂钩机制，完善“预算编制有目标、预算执行有监控、预算完成有评价、评价结果有反馈、反馈结果有应用”闭环。</w:t>
      </w:r>
      <w:r>
        <w:rPr>
          <w:rFonts w:eastAsia="仿宋_GB2312"/>
          <w:b/>
          <w:kern w:val="0"/>
          <w:sz w:val="32"/>
          <w:szCs w:val="32"/>
        </w:rPr>
        <w:t>三是</w:t>
      </w:r>
      <w:r>
        <w:rPr>
          <w:rFonts w:eastAsia="仿宋_GB2312"/>
          <w:kern w:val="0"/>
          <w:sz w:val="32"/>
          <w:szCs w:val="32"/>
        </w:rPr>
        <w:t>资产盘活挖潜力。</w:t>
      </w:r>
      <w:r>
        <w:rPr>
          <w:rFonts w:eastAsia="仿宋_GB2312"/>
          <w:bCs/>
          <w:sz w:val="32"/>
          <w:szCs w:val="32"/>
        </w:rPr>
        <w:t>加快清理盘活资产低效或无效的资产，通过规范出租、处置、集中运营管理的方式，实现资源最大化利用，唤醒“沉睡资产”，变“资产”为“现金”形成财力。</w:t>
      </w:r>
    </w:p>
    <w:p w14:paraId="5F53A15D">
      <w:pPr>
        <w:keepNext w:val="0"/>
        <w:keepLines w:val="0"/>
        <w:pageBreakBefore w:val="0"/>
        <w:widowControl w:val="0"/>
        <w:pBdr>
          <w:bottom w:val="none" w:color="auto" w:sz="0" w:space="23"/>
          <w:right w:val="none" w:color="auto" w:sz="0" w:space="6"/>
        </w:pBdr>
        <w:kinsoku/>
        <w:wordWrap/>
        <w:overflowPunct/>
        <w:topLinePunct w:val="0"/>
        <w:autoSpaceDE/>
        <w:autoSpaceDN/>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楷体_GB2312"/>
          <w:bCs/>
          <w:sz w:val="32"/>
          <w:szCs w:val="32"/>
        </w:rPr>
        <w:t>（三）在防范风险上加力提效，守牢安全底线。</w:t>
      </w:r>
      <w:r>
        <w:rPr>
          <w:rFonts w:eastAsia="仿宋_GB2312"/>
          <w:b/>
          <w:bCs/>
          <w:sz w:val="32"/>
          <w:szCs w:val="32"/>
        </w:rPr>
        <w:t>一是</w:t>
      </w:r>
      <w:r>
        <w:rPr>
          <w:rFonts w:eastAsia="仿宋_GB2312"/>
          <w:bCs/>
          <w:sz w:val="32"/>
          <w:szCs w:val="32"/>
        </w:rPr>
        <w:t>兜牢基层“三保”底线。强化执行监控，发挥预算管理一体化系统作用，对基层“三保”运行实行全过程动态监控和问题预警，发现风险苗头及时处理。加强应急处置，重点关注教育、医疗、环卫、交通等重点民生领域，主动研判、精准调度、强化引导，以“时时放心不下”的责任感消除隐患、防范风险。</w:t>
      </w:r>
      <w:r>
        <w:rPr>
          <w:rFonts w:eastAsia="仿宋_GB2312"/>
          <w:b/>
          <w:bCs/>
          <w:sz w:val="32"/>
          <w:szCs w:val="32"/>
        </w:rPr>
        <w:t>二是</w:t>
      </w:r>
      <w:r>
        <w:rPr>
          <w:rFonts w:eastAsia="仿宋_GB2312"/>
          <w:bCs/>
          <w:sz w:val="32"/>
          <w:szCs w:val="32"/>
        </w:rPr>
        <w:t>筑牢债务风险防线。坚持在化债中发展，发展中化债。以落实“1+6”化债方案为主抓手，紧抓国家10万亿化债政策等相关政策机遇，争取更多额度分配，统筹推动政府化债和平台化险、债券发行与债务置换，分类化解存量隐债和政府拖欠企业账款。</w:t>
      </w:r>
      <w:r>
        <w:rPr>
          <w:rFonts w:eastAsia="仿宋_GB2312"/>
          <w:sz w:val="32"/>
          <w:szCs w:val="32"/>
        </w:rPr>
        <w:t>把防风险摆在更加突出位置，统筹发展和安全、当前和长远，杜绝脱离实际的承诺，形成稳定合理的社会预期。提高财政可持续能力，加强政府债务和中长期支出事项管理，牢牢守住不发生系统性风险的底线。</w:t>
      </w:r>
      <w:r>
        <w:rPr>
          <w:rFonts w:eastAsia="仿宋_GB2312"/>
          <w:b/>
          <w:bCs/>
          <w:sz w:val="32"/>
          <w:szCs w:val="32"/>
        </w:rPr>
        <w:t>三是</w:t>
      </w:r>
      <w:r>
        <w:rPr>
          <w:rFonts w:eastAsia="仿宋_GB2312"/>
          <w:bCs/>
          <w:sz w:val="32"/>
          <w:szCs w:val="32"/>
        </w:rPr>
        <w:t>守牢舆情管控阵地。建立健全网络舆情实施监测及应急处置机制，重点加大对“三保”运行、债务化解、资产盘活等工作的监测力度，及时掌握舆情热点和敏感信息，确保将矛盾解决在基层、问题化解在萌芽。</w:t>
      </w:r>
    </w:p>
    <w:p w14:paraId="28768D74">
      <w:pPr>
        <w:keepNext w:val="0"/>
        <w:keepLines w:val="0"/>
        <w:pageBreakBefore w:val="0"/>
        <w:widowControl w:val="0"/>
        <w:pBdr>
          <w:bottom w:val="none" w:color="auto" w:sz="0" w:space="23"/>
          <w:right w:val="none" w:color="auto" w:sz="0" w:space="6"/>
        </w:pBdr>
        <w:kinsoku/>
        <w:wordWrap/>
        <w:overflowPunct/>
        <w:topLinePunct w:val="0"/>
        <w:autoSpaceDE/>
        <w:autoSpaceDN/>
        <w:bidi w:val="0"/>
        <w:adjustRightInd w:val="0"/>
        <w:snapToGrid w:val="0"/>
        <w:spacing w:line="570" w:lineRule="exact"/>
        <w:ind w:left="0" w:firstLine="640" w:firstLineChars="200"/>
        <w:jc w:val="both"/>
        <w:textAlignment w:val="auto"/>
        <w:outlineLvl w:val="9"/>
        <w:rPr>
          <w:rFonts w:eastAsia="仿宋_GB2312"/>
          <w:sz w:val="32"/>
          <w:szCs w:val="32"/>
        </w:rPr>
      </w:pPr>
      <w:r>
        <w:rPr>
          <w:rFonts w:eastAsia="仿宋_GB2312"/>
          <w:sz w:val="32"/>
          <w:szCs w:val="32"/>
        </w:rPr>
        <w:t>主任、各位副主任、各位委员，2025年财政工作任务艰巨，责任重大，我们将全面贯彻习近平新时代中国特色社会主义思想及党的二十届二中、三中全会精神，深入学习贯彻习近平总书记在河南考察时重要讲话精神和关于河南工作的重要论述，在区委的正确领导下，在区人大、区政协和社会各界的监督、支持下，积极发挥财政职能作用，迎难而上、主动作为，努力完成全年财政收支预算和各项财政工作任务，为奋力谱写中国式现代化建设卫滨实践新篇章贡献更大力量！</w:t>
      </w:r>
    </w:p>
    <w:p w14:paraId="76C88087">
      <w:pPr>
        <w:keepNext w:val="0"/>
        <w:keepLines w:val="0"/>
        <w:pageBreakBefore w:val="0"/>
        <w:pBdr>
          <w:bottom w:val="none" w:color="auto" w:sz="0" w:space="23"/>
          <w:right w:val="none" w:color="auto" w:sz="0" w:space="6"/>
        </w:pBdr>
        <w:kinsoku/>
        <w:wordWrap/>
        <w:overflowPunct/>
        <w:bidi w:val="0"/>
        <w:adjustRightInd w:val="0"/>
        <w:snapToGrid w:val="0"/>
        <w:spacing w:line="570" w:lineRule="exact"/>
        <w:ind w:left="0" w:firstLine="640" w:firstLineChars="200"/>
        <w:jc w:val="both"/>
        <w:textAlignment w:val="auto"/>
        <w:outlineLvl w:val="9"/>
        <w:rPr>
          <w:rFonts w:eastAsia="仿宋_GB2312"/>
          <w:sz w:val="32"/>
          <w:szCs w:val="32"/>
        </w:rPr>
      </w:pPr>
    </w:p>
    <w:sectPr>
      <w:headerReference r:id="rId3" w:type="default"/>
      <w:footerReference r:id="rId4" w:type="default"/>
      <w:footerReference r:id="rId5" w:type="even"/>
      <w:pgSz w:w="11906" w:h="16838"/>
      <w:pgMar w:top="2098" w:right="1474" w:bottom="1984" w:left="1587" w:header="851" w:footer="1417" w:gutter="0"/>
      <w:cols w:space="720" w:num="1"/>
      <w:docGrid w:type="lines" w:linePitch="61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DBF16">
    <w:pPr>
      <w:pStyle w:val="8"/>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BBED9A4">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14:paraId="0BBED9A4">
                    <w:pPr>
                      <w:pStyle w:val="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asciiTheme="minorEastAsia" w:hAnsiTheme="minorEastAsia" w:eastAsiaTheme="minorEastAsia" w:cstheme="minorEastAsia"/>
                        <w:sz w:val="28"/>
                        <w:szCs w:val="28"/>
                      </w:rPr>
                      <w:t>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506EF7E8">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61DC9">
    <w:pPr>
      <w:pStyle w:val="8"/>
      <w:framePr w:wrap="around" w:vAnchor="text" w:hAnchor="margin" w:xAlign="outside" w:y="1"/>
      <w:rPr>
        <w:rStyle w:val="15"/>
      </w:rPr>
    </w:pPr>
    <w:r>
      <w:fldChar w:fldCharType="begin"/>
    </w:r>
    <w:r>
      <w:rPr>
        <w:rStyle w:val="15"/>
      </w:rPr>
      <w:instrText xml:space="preserve">PAGE  </w:instrText>
    </w:r>
    <w:r>
      <w:fldChar w:fldCharType="separate"/>
    </w:r>
    <w:r>
      <w:rPr>
        <w:rStyle w:val="15"/>
      </w:rPr>
      <w:t>- 1 -</w:t>
    </w:r>
    <w:r>
      <w:fldChar w:fldCharType="end"/>
    </w:r>
  </w:p>
  <w:p w14:paraId="488E834F">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44DF3">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12D7A"/>
    <w:multiLevelType w:val="singleLevel"/>
    <w:tmpl w:val="05512D7A"/>
    <w:lvl w:ilvl="0" w:tentative="0">
      <w:start w:val="1"/>
      <w:numFmt w:val="chineseCounting"/>
      <w:suff w:val="nothing"/>
      <w:lvlText w:val="（%1）"/>
      <w:lvlJc w:val="left"/>
      <w:rPr>
        <w:rFonts w:hint="eastAsia" w:ascii="楷体_GB2312" w:eastAsia="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305"/>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AAD"/>
    <w:rsid w:val="00001112"/>
    <w:rsid w:val="00001C11"/>
    <w:rsid w:val="00006068"/>
    <w:rsid w:val="00007563"/>
    <w:rsid w:val="00013269"/>
    <w:rsid w:val="00014AE8"/>
    <w:rsid w:val="00020533"/>
    <w:rsid w:val="00037D68"/>
    <w:rsid w:val="000516B2"/>
    <w:rsid w:val="00054E6F"/>
    <w:rsid w:val="000613BB"/>
    <w:rsid w:val="00061C19"/>
    <w:rsid w:val="00070FC1"/>
    <w:rsid w:val="00092BE3"/>
    <w:rsid w:val="000A4C18"/>
    <w:rsid w:val="000B27CA"/>
    <w:rsid w:val="000B2D9F"/>
    <w:rsid w:val="000B672F"/>
    <w:rsid w:val="000C758A"/>
    <w:rsid w:val="001042E1"/>
    <w:rsid w:val="00127417"/>
    <w:rsid w:val="00131420"/>
    <w:rsid w:val="001501AB"/>
    <w:rsid w:val="00157E3E"/>
    <w:rsid w:val="00171841"/>
    <w:rsid w:val="0017613C"/>
    <w:rsid w:val="00193986"/>
    <w:rsid w:val="001B6F5D"/>
    <w:rsid w:val="001C55E3"/>
    <w:rsid w:val="001D3286"/>
    <w:rsid w:val="001F04DE"/>
    <w:rsid w:val="001F4809"/>
    <w:rsid w:val="001F7467"/>
    <w:rsid w:val="00200E71"/>
    <w:rsid w:val="00202135"/>
    <w:rsid w:val="002068ED"/>
    <w:rsid w:val="00206E4A"/>
    <w:rsid w:val="00213789"/>
    <w:rsid w:val="00224D32"/>
    <w:rsid w:val="00237E7D"/>
    <w:rsid w:val="00240624"/>
    <w:rsid w:val="00274907"/>
    <w:rsid w:val="002800B7"/>
    <w:rsid w:val="00287C16"/>
    <w:rsid w:val="002A27B5"/>
    <w:rsid w:val="002A7142"/>
    <w:rsid w:val="002B7329"/>
    <w:rsid w:val="002D2017"/>
    <w:rsid w:val="002E5F80"/>
    <w:rsid w:val="002E61D1"/>
    <w:rsid w:val="00300DBF"/>
    <w:rsid w:val="00320E8E"/>
    <w:rsid w:val="00320EA5"/>
    <w:rsid w:val="00332E7B"/>
    <w:rsid w:val="003372B5"/>
    <w:rsid w:val="00341DF0"/>
    <w:rsid w:val="00342AD1"/>
    <w:rsid w:val="003515C8"/>
    <w:rsid w:val="003534E2"/>
    <w:rsid w:val="0038635A"/>
    <w:rsid w:val="003927FA"/>
    <w:rsid w:val="003C0BD3"/>
    <w:rsid w:val="003C5CBE"/>
    <w:rsid w:val="003C75AA"/>
    <w:rsid w:val="003C7960"/>
    <w:rsid w:val="003F7B06"/>
    <w:rsid w:val="003F7F34"/>
    <w:rsid w:val="004046BF"/>
    <w:rsid w:val="00407E68"/>
    <w:rsid w:val="00414300"/>
    <w:rsid w:val="004231D1"/>
    <w:rsid w:val="004251EF"/>
    <w:rsid w:val="00430F96"/>
    <w:rsid w:val="0043345A"/>
    <w:rsid w:val="0044190E"/>
    <w:rsid w:val="00442705"/>
    <w:rsid w:val="004431B5"/>
    <w:rsid w:val="00455276"/>
    <w:rsid w:val="004623B7"/>
    <w:rsid w:val="00465E71"/>
    <w:rsid w:val="0046767B"/>
    <w:rsid w:val="00476C0A"/>
    <w:rsid w:val="0048139F"/>
    <w:rsid w:val="00483BBD"/>
    <w:rsid w:val="0048579E"/>
    <w:rsid w:val="004A70F0"/>
    <w:rsid w:val="004A7A83"/>
    <w:rsid w:val="004B023E"/>
    <w:rsid w:val="004B705B"/>
    <w:rsid w:val="004C5CC2"/>
    <w:rsid w:val="004D5664"/>
    <w:rsid w:val="004F30B7"/>
    <w:rsid w:val="004F4CB2"/>
    <w:rsid w:val="004F7E83"/>
    <w:rsid w:val="0050612E"/>
    <w:rsid w:val="00512CA3"/>
    <w:rsid w:val="00515559"/>
    <w:rsid w:val="00532F89"/>
    <w:rsid w:val="005357FA"/>
    <w:rsid w:val="00545345"/>
    <w:rsid w:val="005546E1"/>
    <w:rsid w:val="00556B18"/>
    <w:rsid w:val="0056472B"/>
    <w:rsid w:val="0058486C"/>
    <w:rsid w:val="00593A98"/>
    <w:rsid w:val="00594082"/>
    <w:rsid w:val="005B004A"/>
    <w:rsid w:val="005B2DA3"/>
    <w:rsid w:val="005B7969"/>
    <w:rsid w:val="005C0B3D"/>
    <w:rsid w:val="005C7ACC"/>
    <w:rsid w:val="005F7EFB"/>
    <w:rsid w:val="0060691C"/>
    <w:rsid w:val="00607865"/>
    <w:rsid w:val="006125C1"/>
    <w:rsid w:val="00617043"/>
    <w:rsid w:val="00617C47"/>
    <w:rsid w:val="00620792"/>
    <w:rsid w:val="0062319C"/>
    <w:rsid w:val="0063296E"/>
    <w:rsid w:val="00633116"/>
    <w:rsid w:val="00634C94"/>
    <w:rsid w:val="006419E7"/>
    <w:rsid w:val="006425BD"/>
    <w:rsid w:val="00645830"/>
    <w:rsid w:val="00651AC0"/>
    <w:rsid w:val="00663EB7"/>
    <w:rsid w:val="0066481E"/>
    <w:rsid w:val="006702C9"/>
    <w:rsid w:val="00673409"/>
    <w:rsid w:val="00674257"/>
    <w:rsid w:val="00675B18"/>
    <w:rsid w:val="00692D8F"/>
    <w:rsid w:val="00693185"/>
    <w:rsid w:val="0069714F"/>
    <w:rsid w:val="006A2973"/>
    <w:rsid w:val="006B12A8"/>
    <w:rsid w:val="006B471E"/>
    <w:rsid w:val="006D7A26"/>
    <w:rsid w:val="007017F4"/>
    <w:rsid w:val="0070271B"/>
    <w:rsid w:val="00702877"/>
    <w:rsid w:val="00717944"/>
    <w:rsid w:val="007301B5"/>
    <w:rsid w:val="007302CA"/>
    <w:rsid w:val="00741C4C"/>
    <w:rsid w:val="00751814"/>
    <w:rsid w:val="00755933"/>
    <w:rsid w:val="00760549"/>
    <w:rsid w:val="00764CF9"/>
    <w:rsid w:val="007653B0"/>
    <w:rsid w:val="007A2D07"/>
    <w:rsid w:val="007D2332"/>
    <w:rsid w:val="007E1740"/>
    <w:rsid w:val="008015B9"/>
    <w:rsid w:val="00803557"/>
    <w:rsid w:val="00810BFE"/>
    <w:rsid w:val="00836E81"/>
    <w:rsid w:val="008471D4"/>
    <w:rsid w:val="00853178"/>
    <w:rsid w:val="0086495F"/>
    <w:rsid w:val="008823D2"/>
    <w:rsid w:val="00893547"/>
    <w:rsid w:val="00894414"/>
    <w:rsid w:val="00897331"/>
    <w:rsid w:val="008C2BFB"/>
    <w:rsid w:val="008C553F"/>
    <w:rsid w:val="008D40DC"/>
    <w:rsid w:val="008E061A"/>
    <w:rsid w:val="008F0141"/>
    <w:rsid w:val="008F3C59"/>
    <w:rsid w:val="00901486"/>
    <w:rsid w:val="009151FB"/>
    <w:rsid w:val="00947AAD"/>
    <w:rsid w:val="00952ACD"/>
    <w:rsid w:val="00956A84"/>
    <w:rsid w:val="00966770"/>
    <w:rsid w:val="0097658B"/>
    <w:rsid w:val="0099677D"/>
    <w:rsid w:val="009A0180"/>
    <w:rsid w:val="009D5751"/>
    <w:rsid w:val="009E1474"/>
    <w:rsid w:val="009F1856"/>
    <w:rsid w:val="009F33F8"/>
    <w:rsid w:val="009F40F7"/>
    <w:rsid w:val="00A0011B"/>
    <w:rsid w:val="00A07618"/>
    <w:rsid w:val="00A103B0"/>
    <w:rsid w:val="00A108FD"/>
    <w:rsid w:val="00A123FE"/>
    <w:rsid w:val="00A14069"/>
    <w:rsid w:val="00A33458"/>
    <w:rsid w:val="00A45580"/>
    <w:rsid w:val="00A51F82"/>
    <w:rsid w:val="00A55B0A"/>
    <w:rsid w:val="00A62FFC"/>
    <w:rsid w:val="00A64E83"/>
    <w:rsid w:val="00A65C8C"/>
    <w:rsid w:val="00A663DF"/>
    <w:rsid w:val="00A70472"/>
    <w:rsid w:val="00A75645"/>
    <w:rsid w:val="00A926F1"/>
    <w:rsid w:val="00AA41D0"/>
    <w:rsid w:val="00AB404E"/>
    <w:rsid w:val="00AC4164"/>
    <w:rsid w:val="00B0394E"/>
    <w:rsid w:val="00B068E3"/>
    <w:rsid w:val="00B1292A"/>
    <w:rsid w:val="00B13838"/>
    <w:rsid w:val="00B17214"/>
    <w:rsid w:val="00B236D0"/>
    <w:rsid w:val="00B30765"/>
    <w:rsid w:val="00B34654"/>
    <w:rsid w:val="00B35E7D"/>
    <w:rsid w:val="00B36F7C"/>
    <w:rsid w:val="00B41901"/>
    <w:rsid w:val="00B465B6"/>
    <w:rsid w:val="00B46946"/>
    <w:rsid w:val="00B53B37"/>
    <w:rsid w:val="00B636B7"/>
    <w:rsid w:val="00B63916"/>
    <w:rsid w:val="00B71CBA"/>
    <w:rsid w:val="00B771CD"/>
    <w:rsid w:val="00B813B4"/>
    <w:rsid w:val="00B94C8B"/>
    <w:rsid w:val="00BC1C35"/>
    <w:rsid w:val="00BC38BC"/>
    <w:rsid w:val="00BC72D7"/>
    <w:rsid w:val="00BD476A"/>
    <w:rsid w:val="00C03416"/>
    <w:rsid w:val="00C04B8B"/>
    <w:rsid w:val="00C76D22"/>
    <w:rsid w:val="00C7792A"/>
    <w:rsid w:val="00C81CC9"/>
    <w:rsid w:val="00C86CA6"/>
    <w:rsid w:val="00C95229"/>
    <w:rsid w:val="00CD7345"/>
    <w:rsid w:val="00CD7F9C"/>
    <w:rsid w:val="00CE0A89"/>
    <w:rsid w:val="00CE3D90"/>
    <w:rsid w:val="00CE6CF7"/>
    <w:rsid w:val="00D22C04"/>
    <w:rsid w:val="00D334E4"/>
    <w:rsid w:val="00D35907"/>
    <w:rsid w:val="00D41462"/>
    <w:rsid w:val="00D52612"/>
    <w:rsid w:val="00D62EC9"/>
    <w:rsid w:val="00D877B1"/>
    <w:rsid w:val="00DB0C9F"/>
    <w:rsid w:val="00DB5D5B"/>
    <w:rsid w:val="00DC42C2"/>
    <w:rsid w:val="00DE23C8"/>
    <w:rsid w:val="00DE50FF"/>
    <w:rsid w:val="00E12CFE"/>
    <w:rsid w:val="00E1316D"/>
    <w:rsid w:val="00E14F1A"/>
    <w:rsid w:val="00E16DD8"/>
    <w:rsid w:val="00E2571C"/>
    <w:rsid w:val="00E30986"/>
    <w:rsid w:val="00E435F3"/>
    <w:rsid w:val="00E669C0"/>
    <w:rsid w:val="00E678F2"/>
    <w:rsid w:val="00E818BA"/>
    <w:rsid w:val="00E827AF"/>
    <w:rsid w:val="00E9612A"/>
    <w:rsid w:val="00E97C7C"/>
    <w:rsid w:val="00EA0BE1"/>
    <w:rsid w:val="00EA28F9"/>
    <w:rsid w:val="00EB66C9"/>
    <w:rsid w:val="00EC0206"/>
    <w:rsid w:val="00EC0494"/>
    <w:rsid w:val="00EC28BC"/>
    <w:rsid w:val="00EC40A4"/>
    <w:rsid w:val="00EF3B8A"/>
    <w:rsid w:val="00F154A3"/>
    <w:rsid w:val="00F40635"/>
    <w:rsid w:val="00F52183"/>
    <w:rsid w:val="00F611B1"/>
    <w:rsid w:val="00F63672"/>
    <w:rsid w:val="00F64DA2"/>
    <w:rsid w:val="00F73B73"/>
    <w:rsid w:val="00F748FD"/>
    <w:rsid w:val="00F77795"/>
    <w:rsid w:val="00F84507"/>
    <w:rsid w:val="00F84880"/>
    <w:rsid w:val="00F858C7"/>
    <w:rsid w:val="00F9662B"/>
    <w:rsid w:val="00FA46D9"/>
    <w:rsid w:val="00FA602D"/>
    <w:rsid w:val="00FA6B63"/>
    <w:rsid w:val="00FB187B"/>
    <w:rsid w:val="00FC22B5"/>
    <w:rsid w:val="00FC5F45"/>
    <w:rsid w:val="00FF658C"/>
    <w:rsid w:val="040602BA"/>
    <w:rsid w:val="07694652"/>
    <w:rsid w:val="0A03584B"/>
    <w:rsid w:val="0E000503"/>
    <w:rsid w:val="0E06273C"/>
    <w:rsid w:val="0EF915C8"/>
    <w:rsid w:val="145168E5"/>
    <w:rsid w:val="150A7B26"/>
    <w:rsid w:val="1653364D"/>
    <w:rsid w:val="171B01BE"/>
    <w:rsid w:val="18ED50D7"/>
    <w:rsid w:val="1C744D1F"/>
    <w:rsid w:val="1C7B55A9"/>
    <w:rsid w:val="1E876B98"/>
    <w:rsid w:val="1F8A0EAF"/>
    <w:rsid w:val="201461BA"/>
    <w:rsid w:val="249A5C8B"/>
    <w:rsid w:val="264E52DF"/>
    <w:rsid w:val="276C1B3A"/>
    <w:rsid w:val="284324B3"/>
    <w:rsid w:val="2F970577"/>
    <w:rsid w:val="2FD4093E"/>
    <w:rsid w:val="31433F95"/>
    <w:rsid w:val="315F2882"/>
    <w:rsid w:val="32824943"/>
    <w:rsid w:val="33C841EE"/>
    <w:rsid w:val="34677CBC"/>
    <w:rsid w:val="36C25AEF"/>
    <w:rsid w:val="38F22675"/>
    <w:rsid w:val="399F1E7A"/>
    <w:rsid w:val="3AD463DB"/>
    <w:rsid w:val="3C9837E4"/>
    <w:rsid w:val="3F65073F"/>
    <w:rsid w:val="4196643B"/>
    <w:rsid w:val="42451C7E"/>
    <w:rsid w:val="48841343"/>
    <w:rsid w:val="4A6216A2"/>
    <w:rsid w:val="4AA758DF"/>
    <w:rsid w:val="4C85545F"/>
    <w:rsid w:val="50051DD7"/>
    <w:rsid w:val="50F04ED6"/>
    <w:rsid w:val="51C21DE9"/>
    <w:rsid w:val="53285977"/>
    <w:rsid w:val="54837F07"/>
    <w:rsid w:val="558E5639"/>
    <w:rsid w:val="598D2095"/>
    <w:rsid w:val="59C30721"/>
    <w:rsid w:val="5B2B11BB"/>
    <w:rsid w:val="5D24400C"/>
    <w:rsid w:val="5D792BCF"/>
    <w:rsid w:val="5FFFE512"/>
    <w:rsid w:val="64761266"/>
    <w:rsid w:val="65ED5B41"/>
    <w:rsid w:val="65F2473F"/>
    <w:rsid w:val="65FC3995"/>
    <w:rsid w:val="68B22911"/>
    <w:rsid w:val="6D082B04"/>
    <w:rsid w:val="6DE933EC"/>
    <w:rsid w:val="6E315866"/>
    <w:rsid w:val="70427B93"/>
    <w:rsid w:val="70795DB0"/>
    <w:rsid w:val="77820771"/>
    <w:rsid w:val="7A597F23"/>
    <w:rsid w:val="7C9C34E0"/>
    <w:rsid w:val="F32FE271"/>
    <w:rsid w:val="FEF5A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39"/>
    <w:pPr>
      <w:ind w:left="420"/>
    </w:pPr>
    <w:rPr>
      <w:rFonts w:ascii="等线" w:hAnsi="等线" w:eastAsia="等线"/>
      <w:b/>
      <w:sz w:val="30"/>
      <w:szCs w:val="30"/>
    </w:rPr>
  </w:style>
  <w:style w:type="paragraph" w:styleId="4">
    <w:name w:val="Body Text"/>
    <w:basedOn w:val="1"/>
    <w:link w:val="26"/>
    <w:qFormat/>
    <w:uiPriority w:val="0"/>
    <w:pPr>
      <w:spacing w:after="120"/>
    </w:pPr>
  </w:style>
  <w:style w:type="paragraph" w:styleId="5">
    <w:name w:val="Body Text Indent"/>
    <w:basedOn w:val="1"/>
    <w:qFormat/>
    <w:uiPriority w:val="0"/>
    <w:pPr>
      <w:ind w:firstLine="630" w:firstLineChars="200"/>
    </w:pPr>
    <w:rPr>
      <w:rFonts w:ascii="宋体"/>
      <w:b/>
      <w:bCs/>
      <w:sz w:val="32"/>
      <w:szCs w:val="32"/>
    </w:rPr>
  </w:style>
  <w:style w:type="paragraph" w:styleId="6">
    <w:name w:val="Plain Text"/>
    <w:basedOn w:val="1"/>
    <w:qFormat/>
    <w:uiPriority w:val="99"/>
    <w:rPr>
      <w:rFonts w:ascii="宋体" w:hAnsi="宋体" w:cs="宋体"/>
      <w:szCs w:val="21"/>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Autospacing="1" w:afterAutospacing="1"/>
      <w:jc w:val="left"/>
    </w:pPr>
    <w:rPr>
      <w:rFonts w:ascii="宋体" w:hAnsi="宋体" w:cs="宋体"/>
      <w:kern w:val="0"/>
      <w:sz w:val="24"/>
    </w:rPr>
  </w:style>
  <w:style w:type="paragraph" w:styleId="11">
    <w:name w:val="Body Text First Indent"/>
    <w:basedOn w:val="4"/>
    <w:link w:val="27"/>
    <w:qFormat/>
    <w:uiPriority w:val="0"/>
    <w:pPr>
      <w:ind w:firstLine="420" w:firstLineChars="100"/>
    </w:pPr>
  </w:style>
  <w:style w:type="character" w:styleId="14">
    <w:name w:val="Strong"/>
    <w:qFormat/>
    <w:uiPriority w:val="0"/>
    <w:rPr>
      <w:b/>
      <w:bCs/>
    </w:rPr>
  </w:style>
  <w:style w:type="character" w:styleId="15">
    <w:name w:val="page number"/>
    <w:basedOn w:val="13"/>
    <w:qFormat/>
    <w:uiPriority w:val="0"/>
  </w:style>
  <w:style w:type="character" w:styleId="16">
    <w:name w:val="Emphasis"/>
    <w:basedOn w:val="13"/>
    <w:qFormat/>
    <w:uiPriority w:val="0"/>
    <w:rPr>
      <w:i/>
    </w:rPr>
  </w:style>
  <w:style w:type="paragraph" w:customStyle="1" w:styleId="17">
    <w:name w:val="Char Char Char Char Char Char Char Char Char Char"/>
    <w:basedOn w:val="1"/>
    <w:qFormat/>
    <w:uiPriority w:val="0"/>
    <w:rPr>
      <w:szCs w:val="21"/>
    </w:rPr>
  </w:style>
  <w:style w:type="paragraph" w:customStyle="1" w:styleId="18">
    <w:name w:val="Char Char Char Char"/>
    <w:basedOn w:val="1"/>
    <w:qFormat/>
    <w:uiPriority w:val="0"/>
    <w:pPr>
      <w:widowControl/>
      <w:spacing w:line="240" w:lineRule="exact"/>
      <w:jc w:val="left"/>
    </w:pPr>
    <w:rPr>
      <w:rFonts w:ascii="Verdana" w:hAnsi="Verdana" w:eastAsia="仿宋_GB2312"/>
      <w:kern w:val="0"/>
      <w:sz w:val="24"/>
      <w:szCs w:val="20"/>
      <w:lang w:eastAsia="en-US"/>
    </w:rPr>
  </w:style>
  <w:style w:type="paragraph" w:customStyle="1" w:styleId="19">
    <w:name w:val="列出段落1"/>
    <w:basedOn w:val="1"/>
    <w:qFormat/>
    <w:uiPriority w:val="0"/>
    <w:pPr>
      <w:ind w:firstLine="420" w:firstLineChars="200"/>
    </w:pPr>
  </w:style>
  <w:style w:type="paragraph" w:customStyle="1" w:styleId="20">
    <w:name w:val="Char1"/>
    <w:basedOn w:val="1"/>
    <w:qFormat/>
    <w:uiPriority w:val="0"/>
    <w:rPr>
      <w:szCs w:val="21"/>
    </w:rPr>
  </w:style>
  <w:style w:type="paragraph" w:customStyle="1" w:styleId="21">
    <w:name w:val="Char Char Char"/>
    <w:basedOn w:val="1"/>
    <w:qFormat/>
    <w:uiPriority w:val="0"/>
    <w:pPr>
      <w:spacing w:line="436" w:lineRule="exact"/>
      <w:ind w:left="357"/>
      <w:jc w:val="left"/>
      <w:outlineLvl w:val="3"/>
    </w:pPr>
    <w:rPr>
      <w:rFonts w:hint="eastAsia"/>
    </w:rPr>
  </w:style>
  <w:style w:type="paragraph" w:customStyle="1" w:styleId="22">
    <w:name w:val="p16"/>
    <w:basedOn w:val="1"/>
    <w:qFormat/>
    <w:uiPriority w:val="0"/>
    <w:pPr>
      <w:widowControl/>
      <w:jc w:val="left"/>
    </w:pPr>
    <w:rPr>
      <w:rFonts w:hint="eastAsia" w:ascii="宋体" w:hAnsi="宋体"/>
      <w:sz w:val="24"/>
    </w:rPr>
  </w:style>
  <w:style w:type="paragraph" w:customStyle="1" w:styleId="23">
    <w:name w:val="_Style 1"/>
    <w:basedOn w:val="1"/>
    <w:qFormat/>
    <w:uiPriority w:val="0"/>
    <w:rPr>
      <w:szCs w:val="20"/>
    </w:rPr>
  </w:style>
  <w:style w:type="paragraph" w:customStyle="1" w:styleId="24">
    <w:name w:val="Char11"/>
    <w:basedOn w:val="1"/>
    <w:qFormat/>
    <w:uiPriority w:val="0"/>
    <w:rPr>
      <w:szCs w:val="21"/>
    </w:rPr>
  </w:style>
  <w:style w:type="paragraph" w:customStyle="1" w:styleId="25">
    <w:name w:val="p0"/>
    <w:basedOn w:val="1"/>
    <w:qFormat/>
    <w:uiPriority w:val="0"/>
    <w:pPr>
      <w:widowControl/>
    </w:pPr>
    <w:rPr>
      <w:kern w:val="0"/>
      <w:szCs w:val="21"/>
    </w:rPr>
  </w:style>
  <w:style w:type="character" w:customStyle="1" w:styleId="26">
    <w:name w:val="正文文本 Char"/>
    <w:basedOn w:val="13"/>
    <w:link w:val="4"/>
    <w:qFormat/>
    <w:uiPriority w:val="0"/>
    <w:rPr>
      <w:kern w:val="2"/>
      <w:sz w:val="21"/>
      <w:szCs w:val="24"/>
    </w:rPr>
  </w:style>
  <w:style w:type="character" w:customStyle="1" w:styleId="27">
    <w:name w:val="正文首行缩进 Char"/>
    <w:basedOn w:val="26"/>
    <w:link w:val="11"/>
    <w:qFormat/>
    <w:uiPriority w:val="0"/>
  </w:style>
  <w:style w:type="character" w:customStyle="1" w:styleId="28">
    <w:name w:val="标题 1 Char"/>
    <w:basedOn w:val="13"/>
    <w:link w:val="3"/>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www.ftpdown.com</Company>
  <Pages>15</Pages>
  <Words>7648</Words>
  <Characters>8532</Characters>
  <Lines>61</Lines>
  <Paragraphs>17</Paragraphs>
  <TotalTime>10</TotalTime>
  <ScaleCrop>false</ScaleCrop>
  <LinksUpToDate>false</LinksUpToDate>
  <CharactersWithSpaces>8648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2018-07-31T15:31:00Z</dcterms:created>
  <dc:creator>FtpDown</dc:creator>
  <cp:lastModifiedBy>CHANYEOL J</cp:lastModifiedBy>
  <cp:lastPrinted>2025-09-02T01:08:00Z</cp:lastPrinted>
  <dcterms:modified xsi:type="dcterms:W3CDTF">2025-09-08T01:18:09Z</dcterms:modified>
  <dc:title>卫滨区2006年上半年财政工作情况汇报</dc:title>
  <cp:revision>708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8FB83207AA4A487AA5A65E69325DFAA8_13</vt:lpwstr>
  </property>
  <property fmtid="{D5CDD505-2E9C-101B-9397-08002B2CF9AE}" pid="4" name="KSOTemplateDocerSaveRecord">
    <vt:lpwstr>eyJoZGlkIjoiZjQxZjYzNzAxNjRhYmU1YjcyMjg0MDY2NGFjMTM3YzIiLCJ1c2VySWQiOiIyMTI1NTc0ODQifQ==</vt:lpwstr>
  </property>
</Properties>
</file>