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C38" w:rsidRPr="00150725" w:rsidRDefault="00D76C38" w:rsidP="00D76C3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15072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2020年重大政策和重点项目绩效执行结果</w:t>
      </w:r>
    </w:p>
    <w:p w:rsidR="00D76C38" w:rsidRPr="00150725" w:rsidRDefault="00D76C38" w:rsidP="00D76C38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 w:rsidRPr="0015072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情   </w:t>
      </w:r>
      <w:proofErr w:type="gramStart"/>
      <w:r w:rsidRPr="00150725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况</w:t>
      </w:r>
      <w:proofErr w:type="gramEnd"/>
    </w:p>
    <w:p w:rsidR="00D76C38" w:rsidRPr="00150725" w:rsidRDefault="00D76C38" w:rsidP="00D76C38">
      <w:pPr>
        <w:spacing w:line="540" w:lineRule="exact"/>
        <w:rPr>
          <w:rFonts w:eastAsia="仿宋_GB2312"/>
          <w:bCs/>
          <w:color w:val="000000"/>
          <w:sz w:val="32"/>
          <w:szCs w:val="32"/>
        </w:rPr>
      </w:pPr>
    </w:p>
    <w:p w:rsidR="00D76C38" w:rsidRPr="00895D28" w:rsidRDefault="00150725" w:rsidP="00D76C38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一、</w:t>
      </w:r>
      <w:r w:rsidR="00D76C38" w:rsidRPr="00895D28">
        <w:rPr>
          <w:rFonts w:ascii="仿宋_GB2312" w:eastAsia="仿宋_GB2312" w:hint="eastAsia"/>
          <w:b/>
          <w:bCs/>
          <w:color w:val="000000"/>
          <w:sz w:val="32"/>
          <w:szCs w:val="32"/>
        </w:rPr>
        <w:t>强化收入征管，增强税收保障能力。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按照“以月保季，以季保年”的工作思路，积极应对减税降费及新冠肺炎疫情减收影响。在严格落实减税降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费政策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基础上，通过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抓支持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企业复工复产、稳固税源，抓项目建设培植税源，抓非税收入应收尽收等措施，努力挖潜增收。</w:t>
      </w:r>
    </w:p>
    <w:p w:rsidR="00D76C38" w:rsidRPr="00895D28" w:rsidRDefault="00150725" w:rsidP="00D76C38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二、</w:t>
      </w:r>
      <w:r w:rsidR="00D76C38" w:rsidRPr="00895D28">
        <w:rPr>
          <w:rFonts w:ascii="仿宋_GB2312" w:eastAsia="仿宋_GB2312" w:hint="eastAsia"/>
          <w:b/>
          <w:bCs/>
          <w:color w:val="000000"/>
          <w:sz w:val="32"/>
          <w:szCs w:val="32"/>
        </w:rPr>
        <w:t>优化支出结构，保障各项支出需求。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加大上级资金争取力度，综合运用好特殊转移支付、抗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疫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特别国债等资金，调整支出结构，全力保障全区各项支出。一是在财力异常紧张的情况下，筹措资金兑现教师三项补贴和干部职工正常工资按时发放，保障了全区干部职工的切身利益。二是全力做好抗击新冠疫情资金保障。采取预算安排、社会捐助等形式筹措资金，全年投入抗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疫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资金446万元，为我区抗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疫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工作提供了坚强的财力保障。同时积极帮助企业复工复产，为康大消毒剂有限公司争取低息贷款200万元，投入应急物资保障体系建设303万元，投入华电、中粮集团等疫情防控重点保障企业贷款贴息资金112.6万元，投入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凯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美龙、中铁、金龙铜管、豫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北靖道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等补助资金397万元，投入恒大、大地、中影、好莱坞等电影院电影专项补贴资金28万元。三是集中财力保障各项民生投入。全区教育、科技、医疗卫生、社会保障、住房保障等民生资金投入4.9亿元，占全区一般公共预算支出总额的63.2%。四是全力支持脱贫攻坚，充分利用扶贫资金信息监测系统，动态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监控扶贫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项目实施和资金支付。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全年投入财政专项扶贫资金48万元，为实现2020年底脱贫目标打下坚实基础。五是全力支持扫黑除恶专项斗争工作。全区扫黑除恶专项工作经费足额落实和及时拨付，积极配合区法院、检察院做好涉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黑涉恶资金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资产接收处置工作。六是统筹资金保障重点项目投入。投入“既有建筑”节能改造资金6661万元、投入老旧小区改造资金9849万元、棚改资金2581万元，确保重点民生政策落到实处；投入环境保护、环卫、小街巷整治2077万元，为打好污染防治攻坚战起到了积极作用；支援新疆建设76万元，足额完成上级下达的目标任务。</w:t>
      </w:r>
    </w:p>
    <w:p w:rsidR="00D76C38" w:rsidRPr="00895D28" w:rsidRDefault="00150725" w:rsidP="00D76C38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三、</w:t>
      </w:r>
      <w:r w:rsidR="00D76C38" w:rsidRPr="00895D28">
        <w:rPr>
          <w:rFonts w:ascii="仿宋_GB2312" w:eastAsia="仿宋_GB2312" w:hint="eastAsia"/>
          <w:b/>
          <w:bCs/>
          <w:color w:val="000000"/>
          <w:sz w:val="32"/>
          <w:szCs w:val="32"/>
        </w:rPr>
        <w:t>深化财政体制改革，提高财政运行效能。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一是强化部门预算管理。认真落实支出经济分类改革，使预算编制和预算执行更加细化，积极配合和支持人大预算联网监督，不断提升财政管理水平。二是全面推进预决算公开。进一步细化预决算公开的内容，提高财政资金分配和使用透明度，除涉密部门外全区各预算单位全部实现预决算信息公开。三是深化国库集中支付改革。积极开展预算执行动态监控，控制大额现金支付，提高公务卡使用效率，规范公务支出行为。全年动态监控资金24228笔17183万元，拒付资金51笔345万元。公务卡累计开卡1482张，刷卡结算14298笔2636万元。四是落实好中央直达资金政策，建立工作机制，成立工作专班，确保上级直达资金直达基层直接惠企利民。全年共收到中央直达资金13347万元，支付9259万元，支出进度69.4%。五是推进财政电子票据和电子化支付改革，节省预算单位和办事群众支款缴费时间，切实将“放管服”改革落到实处。六是加强政府采购和投资评审管理。进一步简化政府采购程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序，提高采购效率。全年共审批采购559项11873万元，节约资金1559万元，节约率13.1%；完善评审工作流程，节约使用财政资金，全年共评审政府投资项目49个24006万元，审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减资金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786万元，审减率3.3%。七是严格厉行节约，认真落实中央八项规定精神和李克强总理讲话要求，大力压减非急需非刚性支出，进一步压缩“三公”经费、培训费和会议费。全年共压缩非急需非刚性支出240万元，“三公”经费支出127.4万元，同比下降36.8%。</w:t>
      </w:r>
    </w:p>
    <w:p w:rsidR="00D76C38" w:rsidRPr="00895D28" w:rsidRDefault="00150725" w:rsidP="00D76C38">
      <w:pPr>
        <w:autoSpaceDE w:val="0"/>
        <w:autoSpaceDN w:val="0"/>
        <w:adjustRightInd w:val="0"/>
        <w:spacing w:line="540" w:lineRule="exact"/>
        <w:ind w:firstLineChars="200" w:firstLine="643"/>
        <w:rPr>
          <w:rFonts w:ascii="仿宋_GB2312" w:eastAsia="仿宋_GB2312" w:hint="eastAsia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四、</w:t>
      </w:r>
      <w:r w:rsidR="00D76C38" w:rsidRPr="00895D28">
        <w:rPr>
          <w:rFonts w:ascii="仿宋_GB2312" w:eastAsia="仿宋_GB2312" w:hint="eastAsia"/>
          <w:b/>
          <w:bCs/>
          <w:color w:val="000000"/>
          <w:sz w:val="32"/>
          <w:szCs w:val="32"/>
        </w:rPr>
        <w:t>加强财政监管，防范资金安全风险。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一是加强财政系统内部控制建设。重点维护好债务监测平台、扶贫资金动态监控平台、直达资金信息监控平台等监控系统运行，进一步发挥财政监督职能。二是认真开展会计信息质量检查。全年对2家区属国有企业、2家代理记账机构和2个国计民生重点行业共计6家单位进行了会计信息质量检查，共查处问题资金5.8万元，对发现的原始凭证不合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规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、财务管理不规范、会计科目不规范等问题督促认真整改提高，有效规范了财经秩序。三是联合开展全区各类存量资金专项清理整治工作。组织全区127家预算单位自查整改，实地抽查18家一级预算单位和13家二级预算单位，收缴各类存量资金60.4万元，通过专项整治活动，提高了预算单位遵规守纪意识和财务管理水平。四是开展通讯费超标清理工作。按照新的通讯</w:t>
      </w:r>
      <w:proofErr w:type="gramStart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费执行</w:t>
      </w:r>
      <w:proofErr w:type="gramEnd"/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t>标准，在全区预算单位开展专项清理，共清理超标准报销通讯费17.6万元，全部退回财政。五是用好地方政府债券及规范举债融资行为，防范政府债务风险。严控违法违规举债担保，完善政府性债务动态监控机制和违法违规融资举债联合</w:t>
      </w:r>
      <w:r w:rsidR="00D76C38" w:rsidRPr="00895D28">
        <w:rPr>
          <w:rFonts w:ascii="仿宋_GB2312" w:eastAsia="仿宋_GB2312" w:hint="eastAsia"/>
          <w:bCs/>
          <w:color w:val="000000"/>
          <w:sz w:val="32"/>
          <w:szCs w:val="32"/>
        </w:rPr>
        <w:lastRenderedPageBreak/>
        <w:t>防控机制；清理政府隐性债务，细化偿债计划，落实偿债资金。全年争取上级一般债券2200万元、专项债券8100万元，全部安排到具体项目，极大地缓解了区级财政支出压力。</w:t>
      </w:r>
    </w:p>
    <w:p w:rsidR="00D76C38" w:rsidRPr="00895D28" w:rsidRDefault="00D76C38" w:rsidP="00D76C38">
      <w:pPr>
        <w:autoSpaceDE w:val="0"/>
        <w:autoSpaceDN w:val="0"/>
        <w:adjustRightInd w:val="0"/>
        <w:spacing w:line="540" w:lineRule="exact"/>
        <w:ind w:firstLineChars="200" w:firstLine="640"/>
        <w:rPr>
          <w:rFonts w:ascii="仿宋_GB2312" w:eastAsia="仿宋_GB2312" w:hAnsi="文星仿宋" w:hint="eastAsia"/>
          <w:sz w:val="32"/>
          <w:szCs w:val="30"/>
        </w:rPr>
      </w:pPr>
    </w:p>
    <w:p w:rsidR="007202E1" w:rsidRPr="00D76C38" w:rsidRDefault="007202E1" w:rsidP="00D76C38"/>
    <w:sectPr w:rsidR="007202E1" w:rsidRPr="00D76C38" w:rsidSect="0072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DB2" w:rsidRDefault="001E1DB2" w:rsidP="00D76C38">
      <w:r>
        <w:separator/>
      </w:r>
    </w:p>
  </w:endnote>
  <w:endnote w:type="continuationSeparator" w:id="0">
    <w:p w:rsidR="001E1DB2" w:rsidRDefault="001E1DB2" w:rsidP="00D76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文星仿宋">
    <w:altName w:val="宋体"/>
    <w:charset w:val="86"/>
    <w:family w:val="auto"/>
    <w:pitch w:val="default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DB2" w:rsidRDefault="001E1DB2" w:rsidP="00D76C38">
      <w:r>
        <w:separator/>
      </w:r>
    </w:p>
  </w:footnote>
  <w:footnote w:type="continuationSeparator" w:id="0">
    <w:p w:rsidR="001E1DB2" w:rsidRDefault="001E1DB2" w:rsidP="00D76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EE9"/>
    <w:rsid w:val="00032EE9"/>
    <w:rsid w:val="00150725"/>
    <w:rsid w:val="001E1DB2"/>
    <w:rsid w:val="007202E1"/>
    <w:rsid w:val="00970635"/>
    <w:rsid w:val="00D7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6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6C3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6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6C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303</Words>
  <Characters>1728</Characters>
  <Application>Microsoft Office Word</Application>
  <DocSecurity>0</DocSecurity>
  <Lines>14</Lines>
  <Paragraphs>4</Paragraphs>
  <ScaleCrop>false</ScaleCrop>
  <Company>微软中国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2021-09-03T07:33:00Z</dcterms:created>
  <dcterms:modified xsi:type="dcterms:W3CDTF">2021-09-03T07:38:00Z</dcterms:modified>
</cp:coreProperties>
</file>