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90" w:rsidRDefault="00341FE7">
      <w:pPr>
        <w:jc w:val="center"/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2020</w:t>
      </w:r>
      <w:r w:rsidR="004E4447"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年度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卫滨</w:t>
      </w:r>
      <w:r w:rsidR="00E00DBE"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区</w:t>
      </w:r>
      <w:proofErr w:type="gramEnd"/>
      <w:r w:rsidR="004E4447"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转移支付预算情况说明</w:t>
      </w:r>
    </w:p>
    <w:p w:rsidR="00E00DBE" w:rsidRDefault="00E00DBE">
      <w:pPr>
        <w:jc w:val="center"/>
        <w:rPr>
          <w:rFonts w:ascii="黑体" w:eastAsia="黑体" w:hAnsi="黑体" w:cs="黑体"/>
          <w:color w:val="333333"/>
          <w:sz w:val="36"/>
          <w:szCs w:val="36"/>
        </w:rPr>
      </w:pPr>
    </w:p>
    <w:p w:rsidR="00E64D9B" w:rsidRDefault="004E4447" w:rsidP="00E64D9B">
      <w:pPr>
        <w:adjustRightInd w:val="0"/>
        <w:snapToGrid w:val="0"/>
        <w:spacing w:line="540" w:lineRule="exact"/>
        <w:ind w:firstLineChars="200" w:firstLine="560"/>
        <w:rPr>
          <w:rFonts w:ascii="仿宋_GB2312" w:eastAsia="仿宋_GB2312" w:hint="eastAsia"/>
          <w:sz w:val="32"/>
          <w:szCs w:val="32"/>
        </w:rPr>
      </w:pPr>
      <w:r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 xml:space="preserve"> </w:t>
      </w:r>
      <w:r w:rsidR="00E64D9B">
        <w:rPr>
          <w:rFonts w:ascii="仿宋_GB2312" w:eastAsia="仿宋_GB2312" w:cs="仿宋_GB2312" w:hint="eastAsia"/>
          <w:sz w:val="32"/>
          <w:szCs w:val="32"/>
        </w:rPr>
        <w:t>上级补助收入20893万元，其中：返还性收入6012万元，一般性转移支付收入14171万元，专项转移支付收入710万元</w:t>
      </w:r>
      <w:r w:rsidR="00E64D9B">
        <w:rPr>
          <w:rFonts w:ascii="仿宋_GB2312" w:eastAsia="仿宋_GB2312" w:hint="eastAsia"/>
          <w:sz w:val="32"/>
          <w:szCs w:val="32"/>
        </w:rPr>
        <w:t>。具体项目情况是：</w:t>
      </w:r>
    </w:p>
    <w:p w:rsidR="00E64D9B" w:rsidRDefault="00E64D9B" w:rsidP="00E64D9B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1、返还性收入6012万元，其中，增值税税收返还1389万元，所得税基数返还576万元，成品油税费改革税收返还155万元，</w:t>
      </w:r>
      <w:proofErr w:type="gramStart"/>
      <w:r>
        <w:rPr>
          <w:rFonts w:ascii="仿宋_GB2312" w:eastAsia="仿宋_GB2312" w:hint="eastAsia"/>
          <w:sz w:val="32"/>
          <w:szCs w:val="32"/>
        </w:rPr>
        <w:t>营改增收</w:t>
      </w:r>
      <w:proofErr w:type="gramEnd"/>
      <w:r>
        <w:rPr>
          <w:rFonts w:ascii="仿宋_GB2312" w:eastAsia="仿宋_GB2312" w:hint="eastAsia"/>
          <w:sz w:val="32"/>
          <w:szCs w:val="32"/>
        </w:rPr>
        <w:t>入划分税收返还3892万元。</w:t>
      </w:r>
    </w:p>
    <w:p w:rsidR="00E64D9B" w:rsidRDefault="00E64D9B" w:rsidP="00E64D9B">
      <w:pPr>
        <w:adjustRightInd w:val="0"/>
        <w:snapToGrid w:val="0"/>
        <w:spacing w:line="540" w:lineRule="exact"/>
        <w:ind w:firstLine="645"/>
        <w:rPr>
          <w:rFonts w:ascii="仿宋_GB2312" w:eastAsia="仿宋_GB2312" w:hint="eastAsia"/>
          <w:color w:val="FF0000"/>
          <w:sz w:val="32"/>
          <w:szCs w:val="32"/>
          <w:highlight w:val="yellow"/>
        </w:rPr>
      </w:pPr>
      <w:r>
        <w:rPr>
          <w:rFonts w:ascii="仿宋_GB2312" w:eastAsia="仿宋_GB2312" w:hint="eastAsia"/>
          <w:sz w:val="32"/>
          <w:szCs w:val="32"/>
        </w:rPr>
        <w:t>2、一般性转移支付收入14171万元，其中，均衡性转移支付7937万元，结算补助42万元，公共安全共同财政事权转移支付46万元，教育共同财政事权转移支付1275万元，文化旅游体育与传媒共同财政事权转移支付32万元，社会保障和就业共同财政事权转移支付2861万元，医疗卫生共同财政事权转移支付1844万元，农林水共同财政事权转移支付70万元，交通运输共同财政事权转移支付64万元。</w:t>
      </w:r>
    </w:p>
    <w:p w:rsidR="00E64D9B" w:rsidRDefault="00E64D9B" w:rsidP="00E64D9B">
      <w:pPr>
        <w:adjustRightInd w:val="0"/>
        <w:snapToGrid w:val="0"/>
        <w:spacing w:line="540" w:lineRule="exac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3、专项转移支付收入710万元，其中一般公共服务转移支付8万元，教育转移支付74万元，社会保障和就业转移支付286万元，卫生健康转移支付321万元，农林</w:t>
      </w:r>
      <w:proofErr w:type="gramStart"/>
      <w:r>
        <w:rPr>
          <w:rFonts w:ascii="仿宋_GB2312" w:eastAsia="仿宋_GB2312" w:hint="eastAsia"/>
          <w:sz w:val="32"/>
          <w:szCs w:val="32"/>
        </w:rPr>
        <w:t>水转移</w:t>
      </w:r>
      <w:proofErr w:type="gramEnd"/>
      <w:r>
        <w:rPr>
          <w:rFonts w:ascii="仿宋_GB2312" w:eastAsia="仿宋_GB2312" w:hint="eastAsia"/>
          <w:sz w:val="32"/>
          <w:szCs w:val="32"/>
        </w:rPr>
        <w:t>支付21万元。</w:t>
      </w:r>
    </w:p>
    <w:p w:rsidR="00100F90" w:rsidRPr="00E64D9B" w:rsidRDefault="00100F90" w:rsidP="00E64D9B">
      <w:pPr>
        <w:jc w:val="left"/>
      </w:pPr>
    </w:p>
    <w:sectPr w:rsidR="00100F90" w:rsidRPr="00E64D9B" w:rsidSect="00100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E23" w:rsidRDefault="00B61E23" w:rsidP="00341FE7">
      <w:r>
        <w:separator/>
      </w:r>
    </w:p>
  </w:endnote>
  <w:endnote w:type="continuationSeparator" w:id="0">
    <w:p w:rsidR="00B61E23" w:rsidRDefault="00B61E23" w:rsidP="00341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E23" w:rsidRDefault="00B61E23" w:rsidP="00341FE7">
      <w:r>
        <w:separator/>
      </w:r>
    </w:p>
  </w:footnote>
  <w:footnote w:type="continuationSeparator" w:id="0">
    <w:p w:rsidR="00B61E23" w:rsidRDefault="00B61E23" w:rsidP="00341F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F90"/>
    <w:rsid w:val="00100F90"/>
    <w:rsid w:val="002F7423"/>
    <w:rsid w:val="00341FE7"/>
    <w:rsid w:val="004E4447"/>
    <w:rsid w:val="005E4C97"/>
    <w:rsid w:val="00835A3D"/>
    <w:rsid w:val="00917402"/>
    <w:rsid w:val="00977E68"/>
    <w:rsid w:val="00B61E23"/>
    <w:rsid w:val="00E00DBE"/>
    <w:rsid w:val="00E64D9B"/>
    <w:rsid w:val="00F03267"/>
    <w:rsid w:val="00F93AE1"/>
    <w:rsid w:val="128E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0F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1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41FE7"/>
    <w:rPr>
      <w:kern w:val="2"/>
      <w:sz w:val="18"/>
      <w:szCs w:val="18"/>
    </w:rPr>
  </w:style>
  <w:style w:type="paragraph" w:styleId="a4">
    <w:name w:val="footer"/>
    <w:basedOn w:val="a"/>
    <w:link w:val="Char0"/>
    <w:rsid w:val="00341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41FE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9</cp:revision>
  <dcterms:created xsi:type="dcterms:W3CDTF">2021-09-03T07:32:00Z</dcterms:created>
  <dcterms:modified xsi:type="dcterms:W3CDTF">2021-09-03T08:53:00Z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