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lang w:val="en-US" w:eastAsia="zh-CN"/>
        </w:rPr>
      </w:pPr>
      <w:r>
        <w:rPr>
          <w:rStyle w:val="9"/>
          <w:rFonts w:hint="eastAsia" w:ascii="仿宋" w:hAnsi="仿宋" w:eastAsia="仿宋" w:cs="仿宋"/>
          <w:b/>
          <w:bCs/>
          <w:sz w:val="30"/>
          <w:szCs w:val="30"/>
        </w:rPr>
        <w:t>关于拟</w:t>
      </w:r>
      <w:r>
        <w:rPr>
          <w:rFonts w:hint="eastAsia" w:ascii="仿宋" w:hAnsi="仿宋" w:eastAsia="仿宋" w:cs="仿宋"/>
          <w:b/>
          <w:bCs/>
          <w:sz w:val="30"/>
          <w:szCs w:val="30"/>
          <w:lang w:val="en-US" w:eastAsia="zh-CN"/>
        </w:rPr>
        <w:t>新乡市福芝香食品有限公司年加工香油10吨、调味品50吨项目</w:t>
      </w:r>
    </w:p>
    <w:p>
      <w:pPr>
        <w:jc w:val="center"/>
        <w:rPr>
          <w:rStyle w:val="9"/>
          <w:rFonts w:hint="eastAsia" w:ascii="仿宋" w:hAnsi="仿宋" w:eastAsia="仿宋" w:cs="仿宋"/>
          <w:b/>
          <w:bCs/>
          <w:sz w:val="30"/>
          <w:szCs w:val="30"/>
        </w:rPr>
      </w:pPr>
      <w:r>
        <w:rPr>
          <w:rStyle w:val="9"/>
          <w:rFonts w:hint="eastAsia" w:ascii="仿宋" w:hAnsi="仿宋" w:eastAsia="仿宋" w:cs="仿宋"/>
          <w:b/>
          <w:bCs/>
          <w:sz w:val="30"/>
          <w:szCs w:val="30"/>
        </w:rPr>
        <w:t>环境影响评价文件作出审批意见的公示</w:t>
      </w:r>
    </w:p>
    <w:p>
      <w:pPr>
        <w:widowControl/>
        <w:snapToGrid w:val="0"/>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根据建设项目环境影响评价审批程序的有关规定，经审议，我局拟对项目环境影响评价文件作出审批意见。为保证审批意见的严肃性和公正性，现将各建设项目环境影响评价文件的基本情况予以公示。如有异议，请在自本公告发布之日起3个工作日内反馈我局环评科。</w:t>
      </w:r>
    </w:p>
    <w:p>
      <w:pPr>
        <w:widowControl/>
        <w:spacing w:line="330" w:lineRule="atLeast"/>
        <w:jc w:val="left"/>
        <w:rPr>
          <w:rFonts w:hint="eastAsia" w:ascii="仿宋" w:hAnsi="仿宋" w:eastAsia="仿宋" w:cs="仿宋"/>
          <w:kern w:val="0"/>
          <w:sz w:val="28"/>
          <w:szCs w:val="28"/>
        </w:rPr>
      </w:pPr>
      <w:r>
        <w:rPr>
          <w:rFonts w:hint="eastAsia" w:ascii="仿宋" w:hAnsi="仿宋" w:eastAsia="仿宋" w:cs="仿宋"/>
          <w:kern w:val="0"/>
          <w:sz w:val="28"/>
          <w:szCs w:val="28"/>
        </w:rPr>
        <w:t>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电话和传真：</w:t>
      </w:r>
      <w:r>
        <w:rPr>
          <w:rFonts w:hint="eastAsia" w:ascii="仿宋" w:hAnsi="仿宋" w:eastAsia="仿宋" w:cs="仿宋"/>
          <w:sz w:val="28"/>
          <w:szCs w:val="28"/>
        </w:rPr>
        <w:t>0373-2644110</w:t>
      </w:r>
    </w:p>
    <w:p>
      <w:pPr>
        <w:widowControl/>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通讯地址：</w:t>
      </w:r>
      <w:r>
        <w:rPr>
          <w:rFonts w:hint="eastAsia" w:ascii="仿宋" w:hAnsi="仿宋" w:eastAsia="仿宋" w:cs="仿宋"/>
          <w:sz w:val="28"/>
          <w:szCs w:val="28"/>
        </w:rPr>
        <w:t>新乡市人民路 138 号</w:t>
      </w:r>
      <w:r>
        <w:rPr>
          <w:rFonts w:hint="eastAsia" w:ascii="仿宋" w:hAnsi="仿宋" w:eastAsia="仿宋" w:cs="仿宋"/>
          <w:sz w:val="28"/>
          <w:szCs w:val="28"/>
          <w:lang w:val="en-US" w:eastAsia="zh-CN"/>
        </w:rPr>
        <w:t>(</w:t>
      </w:r>
      <w:r>
        <w:rPr>
          <w:rFonts w:hint="eastAsia" w:ascii="仿宋" w:hAnsi="仿宋" w:eastAsia="仿宋" w:cs="仿宋"/>
          <w:kern w:val="0"/>
          <w:sz w:val="28"/>
          <w:szCs w:val="28"/>
        </w:rPr>
        <w:t>邮编453000）</w:t>
      </w:r>
    </w:p>
    <w:p>
      <w:pPr>
        <w:widowControl/>
        <w:snapToGrid w:val="0"/>
        <w:spacing w:before="75" w:after="75"/>
        <w:ind w:firstLine="560" w:firstLineChars="200"/>
        <w:jc w:val="left"/>
        <w:rPr>
          <w:rFonts w:hint="eastAsia" w:ascii="仿宋" w:hAnsi="仿宋" w:eastAsia="仿宋" w:cs="仿宋"/>
          <w:kern w:val="0"/>
          <w:sz w:val="28"/>
          <w:szCs w:val="28"/>
        </w:rPr>
      </w:pPr>
      <w:r>
        <w:rPr>
          <w:rFonts w:hint="eastAsia" w:ascii="仿宋" w:hAnsi="仿宋" w:eastAsia="仿宋" w:cs="仿宋"/>
          <w:color w:val="262626"/>
          <w:kern w:val="0"/>
          <w:sz w:val="28"/>
          <w:szCs w:val="28"/>
        </w:rPr>
        <w:t>听证告知：依据《中华人民共和国行政许可法》，自公示起五日内申请人、有重大利益关系的利害关系人可对以下拟作出的建设项目环境影响评价文件批复决定要求听证。</w:t>
      </w:r>
    </w:p>
    <w:p>
      <w:pPr>
        <w:widowControl/>
        <w:spacing w:before="100" w:beforeAutospacing="1" w:after="100" w:afterAutospacing="1" w:line="240" w:lineRule="atLeast"/>
        <w:jc w:val="center"/>
        <w:rPr>
          <w:rFonts w:hint="eastAsia" w:ascii="仿宋" w:hAnsi="仿宋" w:eastAsia="仿宋" w:cs="仿宋"/>
          <w:kern w:val="0"/>
          <w:sz w:val="24"/>
        </w:rPr>
      </w:pPr>
      <w:r>
        <w:rPr>
          <w:rFonts w:hint="eastAsia" w:ascii="仿宋" w:hAnsi="仿宋" w:eastAsia="仿宋" w:cs="仿宋"/>
          <w:kern w:val="0"/>
          <w:sz w:val="24"/>
        </w:rPr>
        <w:t>一、拟审批的建设项目环境影响报告书（表）</w:t>
      </w:r>
    </w:p>
    <w:tbl>
      <w:tblPr>
        <w:tblStyle w:val="6"/>
        <w:tblW w:w="135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889"/>
        <w:gridCol w:w="1134"/>
        <w:gridCol w:w="1307"/>
        <w:gridCol w:w="1190"/>
        <w:gridCol w:w="1117"/>
        <w:gridCol w:w="1772"/>
        <w:gridCol w:w="5132"/>
        <w:gridCol w:w="9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11" w:hRule="atLeast"/>
          <w:jc w:val="center"/>
        </w:trPr>
        <w:tc>
          <w:tcPr>
            <w:tcW w:w="889"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序号</w:t>
            </w:r>
          </w:p>
        </w:tc>
        <w:tc>
          <w:tcPr>
            <w:tcW w:w="1134"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建设单位</w:t>
            </w:r>
          </w:p>
        </w:tc>
        <w:tc>
          <w:tcPr>
            <w:tcW w:w="1307"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项目名称</w:t>
            </w:r>
          </w:p>
        </w:tc>
        <w:tc>
          <w:tcPr>
            <w:tcW w:w="1190"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建设地点</w:t>
            </w:r>
          </w:p>
        </w:tc>
        <w:tc>
          <w:tcPr>
            <w:tcW w:w="1117"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环境影响评价机构</w:t>
            </w:r>
          </w:p>
        </w:tc>
        <w:tc>
          <w:tcPr>
            <w:tcW w:w="1772"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建设项目概况</w:t>
            </w:r>
          </w:p>
        </w:tc>
        <w:tc>
          <w:tcPr>
            <w:tcW w:w="5132" w:type="dxa"/>
            <w:noWrap w:val="0"/>
            <w:vAlign w:val="center"/>
          </w:tcPr>
          <w:p>
            <w:pPr>
              <w:pStyle w:val="5"/>
              <w:jc w:val="center"/>
              <w:rPr>
                <w:rFonts w:hint="eastAsia" w:ascii="仿宋" w:hAnsi="仿宋" w:eastAsia="仿宋" w:cs="仿宋"/>
              </w:rPr>
            </w:pPr>
            <w:r>
              <w:rPr>
                <w:rStyle w:val="9"/>
                <w:rFonts w:hint="eastAsia" w:ascii="仿宋" w:hAnsi="仿宋" w:eastAsia="仿宋" w:cs="仿宋"/>
              </w:rPr>
              <w:t>主要环境影响及预防或减轻不良环境影响的对策和措施</w:t>
            </w:r>
          </w:p>
        </w:tc>
        <w:tc>
          <w:tcPr>
            <w:tcW w:w="983"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公众参与情况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80" w:hRule="atLeast"/>
          <w:jc w:val="center"/>
        </w:trPr>
        <w:tc>
          <w:tcPr>
            <w:tcW w:w="889"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color w:val="2A2A2A"/>
                <w:szCs w:val="21"/>
              </w:rPr>
            </w:pPr>
            <w:r>
              <w:rPr>
                <w:rFonts w:hint="eastAsia" w:ascii="仿宋" w:hAnsi="仿宋" w:eastAsia="仿宋" w:cs="仿宋"/>
                <w:color w:val="2A2A2A"/>
                <w:szCs w:val="21"/>
              </w:rPr>
              <w:t>1</w:t>
            </w:r>
          </w:p>
        </w:tc>
        <w:tc>
          <w:tcPr>
            <w:tcW w:w="1134"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eastAsia="zh-CN"/>
              </w:rPr>
            </w:pPr>
            <w:r>
              <w:rPr>
                <w:rFonts w:hint="eastAsia" w:ascii="仿宋" w:hAnsi="仿宋" w:eastAsia="仿宋" w:cs="仿宋"/>
                <w:b w:val="0"/>
                <w:bCs w:val="0"/>
                <w:color w:val="2A2A2A"/>
                <w:sz w:val="24"/>
                <w:szCs w:val="24"/>
                <w:lang w:val="en-US" w:eastAsia="zh-CN"/>
              </w:rPr>
              <w:t>新乡市福芝香食品有限公司</w:t>
            </w:r>
          </w:p>
        </w:tc>
        <w:tc>
          <w:tcPr>
            <w:tcW w:w="1307"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eastAsia="zh-CN"/>
              </w:rPr>
            </w:pPr>
            <w:r>
              <w:rPr>
                <w:rFonts w:hint="eastAsia" w:ascii="仿宋" w:hAnsi="仿宋" w:eastAsia="仿宋" w:cs="仿宋"/>
                <w:b w:val="0"/>
                <w:bCs w:val="0"/>
                <w:color w:val="2A2A2A"/>
                <w:sz w:val="24"/>
                <w:szCs w:val="24"/>
                <w:lang w:val="en-US" w:eastAsia="zh-CN"/>
              </w:rPr>
              <w:t>年加工香油10吨、调味品50吨项目</w:t>
            </w:r>
          </w:p>
        </w:tc>
        <w:tc>
          <w:tcPr>
            <w:tcW w:w="1190"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eastAsia="zh-CN"/>
              </w:rPr>
            </w:pPr>
            <w:r>
              <w:rPr>
                <w:rFonts w:hint="eastAsia" w:ascii="仿宋" w:hAnsi="仿宋" w:eastAsia="仿宋" w:cs="仿宋"/>
                <w:b w:val="0"/>
                <w:bCs w:val="0"/>
                <w:color w:val="2A2A2A"/>
                <w:sz w:val="24"/>
                <w:szCs w:val="24"/>
                <w:lang w:val="en-US" w:eastAsia="zh-CN"/>
              </w:rPr>
              <w:t>新乡市卫滨区平原镇西南环路庄村丁唐路路北第二家</w:t>
            </w:r>
          </w:p>
        </w:tc>
        <w:tc>
          <w:tcPr>
            <w:tcW w:w="1117"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eastAsia="zh-CN"/>
              </w:rPr>
            </w:pPr>
            <w:r>
              <w:rPr>
                <w:rFonts w:hint="eastAsia" w:ascii="仿宋" w:hAnsi="仿宋" w:eastAsia="仿宋" w:cs="仿宋"/>
                <w:b w:val="0"/>
                <w:bCs w:val="0"/>
                <w:color w:val="2A2A2A"/>
                <w:sz w:val="24"/>
                <w:szCs w:val="24"/>
                <w:lang w:eastAsia="zh-CN"/>
              </w:rPr>
              <w:t>河北昌踏环保科技有限公司</w:t>
            </w:r>
          </w:p>
        </w:tc>
        <w:tc>
          <w:tcPr>
            <w:tcW w:w="1772"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eastAsia="zh-CN"/>
              </w:rPr>
            </w:pPr>
            <w:r>
              <w:rPr>
                <w:rFonts w:hint="eastAsia" w:ascii="仿宋" w:hAnsi="仿宋" w:eastAsia="仿宋" w:cs="仿宋"/>
                <w:b w:val="0"/>
                <w:bCs w:val="0"/>
                <w:color w:val="2A2A2A"/>
                <w:sz w:val="24"/>
                <w:szCs w:val="24"/>
                <w:lang w:eastAsia="zh-CN"/>
              </w:rPr>
              <w:t>项目总投资</w:t>
            </w:r>
            <w:r>
              <w:rPr>
                <w:rFonts w:hint="eastAsia" w:ascii="仿宋" w:hAnsi="仿宋" w:eastAsia="仿宋" w:cs="仿宋"/>
                <w:b w:val="0"/>
                <w:bCs w:val="0"/>
                <w:color w:val="2A2A2A"/>
                <w:sz w:val="24"/>
                <w:szCs w:val="24"/>
                <w:lang w:val="en-US" w:eastAsia="zh-CN"/>
              </w:rPr>
              <w:t>30</w:t>
            </w:r>
            <w:r>
              <w:rPr>
                <w:rFonts w:hint="eastAsia" w:ascii="仿宋" w:hAnsi="仿宋" w:eastAsia="仿宋" w:cs="仿宋"/>
                <w:b w:val="0"/>
                <w:bCs w:val="0"/>
                <w:color w:val="2A2A2A"/>
                <w:sz w:val="24"/>
                <w:szCs w:val="24"/>
                <w:lang w:eastAsia="zh-CN"/>
              </w:rPr>
              <w:t>万元，在</w:t>
            </w:r>
            <w:r>
              <w:rPr>
                <w:rFonts w:hint="eastAsia" w:ascii="仿宋" w:hAnsi="仿宋" w:eastAsia="仿宋" w:cs="仿宋"/>
                <w:b w:val="0"/>
                <w:bCs w:val="0"/>
                <w:color w:val="2A2A2A"/>
                <w:sz w:val="24"/>
                <w:szCs w:val="24"/>
                <w:lang w:val="en-US" w:eastAsia="zh-CN"/>
              </w:rPr>
              <w:t>新乡市卫滨区平原镇西南环路庄村丁唐路路北第二家</w:t>
            </w:r>
          </w:p>
        </w:tc>
        <w:tc>
          <w:tcPr>
            <w:tcW w:w="5132" w:type="dxa"/>
            <w:tcBorders>
              <w:top w:val="single" w:color="auto" w:sz="4" w:space="0"/>
              <w:bottom w:val="single" w:color="auto" w:sz="4" w:space="0"/>
            </w:tcBorders>
            <w:noWrap w:val="0"/>
            <w:vAlign w:val="top"/>
          </w:tcPr>
          <w:p>
            <w:pPr>
              <w:widowControl/>
              <w:spacing w:line="330" w:lineRule="atLeast"/>
              <w:jc w:val="left"/>
              <w:rPr>
                <w:rFonts w:hint="default"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1、废水：</w:t>
            </w:r>
            <w:r>
              <w:rPr>
                <w:rFonts w:hint="default" w:ascii="仿宋" w:hAnsi="仿宋" w:eastAsia="仿宋" w:cs="仿宋"/>
                <w:b w:val="0"/>
                <w:bCs w:val="0"/>
                <w:color w:val="2A2A2A"/>
                <w:sz w:val="24"/>
                <w:szCs w:val="24"/>
                <w:lang w:val="en-US" w:eastAsia="zh-CN"/>
              </w:rPr>
              <w:t>本项目生产废水浸泡芝麻水经沉淀池沉砂后循环使用，不外排，泥沙定期清运</w:t>
            </w:r>
            <w:r>
              <w:rPr>
                <w:rFonts w:hint="eastAsia" w:ascii="仿宋" w:hAnsi="仿宋" w:eastAsia="仿宋" w:cs="仿宋"/>
                <w:b w:val="0"/>
                <w:bCs w:val="0"/>
                <w:color w:val="2A2A2A"/>
                <w:sz w:val="24"/>
                <w:szCs w:val="24"/>
                <w:lang w:val="en-US" w:eastAsia="zh-CN"/>
              </w:rPr>
              <w:t>。</w:t>
            </w:r>
            <w:r>
              <w:rPr>
                <w:rFonts w:hint="default" w:ascii="仿宋" w:hAnsi="仿宋" w:eastAsia="仿宋" w:cs="仿宋"/>
                <w:b w:val="0"/>
                <w:bCs w:val="0"/>
                <w:color w:val="2A2A2A"/>
                <w:sz w:val="24"/>
                <w:szCs w:val="24"/>
                <w:lang w:val="en-US" w:eastAsia="zh-CN"/>
              </w:rPr>
              <w:t>生活污水排经厂区化粪池处</w:t>
            </w:r>
            <w:bookmarkStart w:id="0" w:name="_GoBack"/>
            <w:bookmarkEnd w:id="0"/>
            <w:r>
              <w:rPr>
                <w:rFonts w:hint="default" w:ascii="仿宋" w:hAnsi="仿宋" w:eastAsia="仿宋" w:cs="仿宋"/>
                <w:b w:val="0"/>
                <w:bCs w:val="0"/>
                <w:color w:val="2A2A2A"/>
                <w:sz w:val="24"/>
                <w:szCs w:val="24"/>
                <w:lang w:val="en-US" w:eastAsia="zh-CN"/>
              </w:rPr>
              <w:t>理后，定期清运，不外排。</w:t>
            </w:r>
          </w:p>
          <w:p>
            <w:pPr>
              <w:widowControl/>
              <w:spacing w:line="330" w:lineRule="atLeast"/>
              <w:jc w:val="left"/>
              <w:rPr>
                <w:rFonts w:hint="eastAsia" w:ascii="仿宋" w:hAnsi="仿宋" w:eastAsia="仿宋" w:cs="仿宋"/>
                <w:b w:val="0"/>
                <w:bCs w:val="0"/>
                <w:color w:val="2A2A2A"/>
                <w:sz w:val="24"/>
                <w:szCs w:val="24"/>
                <w:lang w:eastAsia="zh-CN"/>
              </w:rPr>
            </w:pPr>
            <w:r>
              <w:rPr>
                <w:rFonts w:hint="eastAsia" w:ascii="仿宋" w:hAnsi="仿宋" w:eastAsia="仿宋" w:cs="仿宋"/>
                <w:b w:val="0"/>
                <w:bCs w:val="0"/>
                <w:color w:val="2A2A2A"/>
                <w:sz w:val="24"/>
                <w:szCs w:val="24"/>
                <w:lang w:val="en-US" w:eastAsia="zh-CN"/>
              </w:rPr>
              <w:t>2、</w:t>
            </w:r>
            <w:r>
              <w:rPr>
                <w:rFonts w:hint="eastAsia" w:ascii="仿宋" w:hAnsi="仿宋" w:eastAsia="仿宋" w:cs="仿宋"/>
                <w:b w:val="0"/>
                <w:bCs w:val="0"/>
                <w:color w:val="2A2A2A"/>
                <w:sz w:val="24"/>
                <w:szCs w:val="24"/>
                <w:lang w:eastAsia="zh-CN"/>
              </w:rPr>
              <w:t>废气：</w:t>
            </w:r>
            <w:r>
              <w:rPr>
                <w:rFonts w:hint="default" w:ascii="仿宋" w:hAnsi="仿宋" w:eastAsia="仿宋" w:cs="仿宋"/>
                <w:b w:val="0"/>
                <w:bCs w:val="0"/>
                <w:color w:val="2A2A2A"/>
                <w:sz w:val="24"/>
                <w:szCs w:val="24"/>
                <w:lang w:val="en-US" w:eastAsia="zh-CN"/>
              </w:rPr>
              <w:t>项目运营期间，无废气产生</w:t>
            </w:r>
            <w:r>
              <w:rPr>
                <w:rFonts w:hint="eastAsia" w:ascii="仿宋" w:hAnsi="仿宋" w:eastAsia="仿宋" w:cs="仿宋"/>
                <w:b w:val="0"/>
                <w:bCs w:val="0"/>
                <w:color w:val="2A2A2A"/>
                <w:sz w:val="24"/>
                <w:szCs w:val="24"/>
                <w:lang w:val="en-US" w:eastAsia="zh-CN"/>
              </w:rPr>
              <w:t>。</w:t>
            </w:r>
            <w:r>
              <w:rPr>
                <w:rFonts w:hint="default" w:ascii="仿宋" w:hAnsi="仿宋" w:eastAsia="仿宋" w:cs="仿宋"/>
                <w:b w:val="0"/>
                <w:bCs w:val="0"/>
                <w:color w:val="2A2A2A"/>
                <w:sz w:val="24"/>
                <w:szCs w:val="24"/>
                <w:lang w:val="en-US" w:eastAsia="zh-CN"/>
              </w:rPr>
              <w:t>建议通过加强浸泡工站密闭，使灰尘在密闭空间内自然沉降，不对外环境排放，</w:t>
            </w:r>
          </w:p>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3、固废：</w:t>
            </w:r>
            <w:r>
              <w:rPr>
                <w:rFonts w:hint="default" w:ascii="仿宋" w:hAnsi="仿宋" w:eastAsia="仿宋" w:cs="仿宋"/>
                <w:b w:val="0"/>
                <w:bCs w:val="0"/>
                <w:color w:val="2A2A2A"/>
                <w:sz w:val="24"/>
                <w:szCs w:val="24"/>
                <w:lang w:eastAsia="zh-CN"/>
              </w:rPr>
              <w:t>生活垃圾利用垃圾桶收集后，由环卫部门定期清运处理。</w:t>
            </w:r>
            <w:r>
              <w:rPr>
                <w:rFonts w:hint="default" w:ascii="仿宋" w:hAnsi="仿宋" w:eastAsia="仿宋" w:cs="仿宋"/>
                <w:b w:val="0"/>
                <w:bCs w:val="0"/>
                <w:color w:val="2A2A2A"/>
                <w:sz w:val="24"/>
                <w:szCs w:val="24"/>
                <w:lang w:val="en-US" w:eastAsia="zh-CN"/>
              </w:rPr>
              <w:t>一般工业固废暂存在一般工业固废仓库，</w:t>
            </w:r>
            <w:r>
              <w:rPr>
                <w:rFonts w:hint="eastAsia" w:ascii="仿宋" w:hAnsi="仿宋" w:eastAsia="仿宋" w:cs="仿宋"/>
                <w:b w:val="0"/>
                <w:bCs w:val="0"/>
                <w:color w:val="2A2A2A"/>
                <w:sz w:val="24"/>
                <w:szCs w:val="24"/>
                <w:lang w:val="en-US" w:eastAsia="zh-CN"/>
              </w:rPr>
              <w:t>仓储、</w:t>
            </w:r>
            <w:r>
              <w:rPr>
                <w:rFonts w:hint="default" w:ascii="仿宋" w:hAnsi="仿宋" w:eastAsia="仿宋" w:cs="仿宋"/>
                <w:b w:val="0"/>
                <w:bCs w:val="0"/>
                <w:color w:val="2A2A2A"/>
                <w:sz w:val="24"/>
                <w:szCs w:val="24"/>
                <w:lang w:val="en-US" w:eastAsia="zh-CN"/>
              </w:rPr>
              <w:t>处置执行《一般工业固体废物贮存和填埋污染控制标准》（GB18599-2020）的有关规定。</w:t>
            </w:r>
          </w:p>
          <w:p>
            <w:pPr>
              <w:widowControl/>
              <w:spacing w:line="330" w:lineRule="atLeast"/>
              <w:jc w:val="left"/>
              <w:rPr>
                <w:rFonts w:hint="eastAsia" w:ascii="仿宋" w:hAnsi="仿宋" w:eastAsia="仿宋" w:cs="仿宋"/>
                <w:b w:val="0"/>
                <w:bCs w:val="0"/>
                <w:color w:val="2A2A2A"/>
                <w:sz w:val="24"/>
                <w:szCs w:val="24"/>
                <w:lang w:eastAsia="zh-CN"/>
              </w:rPr>
            </w:pPr>
            <w:r>
              <w:rPr>
                <w:rFonts w:hint="eastAsia" w:ascii="仿宋" w:hAnsi="仿宋" w:eastAsia="仿宋" w:cs="仿宋"/>
                <w:b w:val="0"/>
                <w:bCs w:val="0"/>
                <w:color w:val="2A2A2A"/>
                <w:sz w:val="24"/>
                <w:szCs w:val="24"/>
                <w:lang w:val="en-US" w:eastAsia="zh-CN"/>
              </w:rPr>
              <w:t>4、</w:t>
            </w:r>
            <w:r>
              <w:rPr>
                <w:rFonts w:hint="eastAsia" w:ascii="仿宋" w:hAnsi="仿宋" w:eastAsia="仿宋" w:cs="仿宋"/>
                <w:b w:val="0"/>
                <w:bCs w:val="0"/>
                <w:color w:val="2A2A2A"/>
                <w:sz w:val="24"/>
                <w:szCs w:val="24"/>
                <w:lang w:eastAsia="zh-CN"/>
              </w:rPr>
              <w:t>噪声：噪声排放执行</w:t>
            </w:r>
            <w:r>
              <w:rPr>
                <w:rFonts w:hint="default" w:ascii="仿宋" w:hAnsi="仿宋" w:eastAsia="仿宋" w:cs="仿宋"/>
                <w:b w:val="0"/>
                <w:bCs w:val="0"/>
                <w:color w:val="2A2A2A"/>
                <w:sz w:val="24"/>
                <w:szCs w:val="24"/>
                <w:lang w:val="en-US" w:eastAsia="zh-CN"/>
              </w:rPr>
              <w:t>《工业企业厂界环境噪声排放</w:t>
            </w:r>
            <w:r>
              <w:rPr>
                <w:rFonts w:hint="eastAsia" w:ascii="仿宋" w:hAnsi="仿宋" w:eastAsia="仿宋" w:cs="仿宋"/>
                <w:b w:val="0"/>
                <w:bCs w:val="0"/>
                <w:color w:val="2A2A2A"/>
                <w:sz w:val="24"/>
                <w:szCs w:val="24"/>
                <w:lang w:val="en-US" w:eastAsia="zh-CN"/>
              </w:rPr>
              <w:t>标准》（</w:t>
            </w:r>
            <w:r>
              <w:rPr>
                <w:rFonts w:hint="default" w:ascii="仿宋" w:hAnsi="仿宋" w:eastAsia="仿宋" w:cs="仿宋"/>
                <w:b w:val="0"/>
                <w:bCs w:val="0"/>
                <w:color w:val="2A2A2A"/>
                <w:sz w:val="24"/>
                <w:szCs w:val="24"/>
                <w:lang w:val="en-US" w:eastAsia="zh-CN"/>
              </w:rPr>
              <w:t>GB12348</w:t>
            </w:r>
            <w:r>
              <w:rPr>
                <w:rFonts w:hint="eastAsia" w:ascii="仿宋" w:hAnsi="仿宋" w:eastAsia="仿宋" w:cs="仿宋"/>
                <w:b w:val="0"/>
                <w:bCs w:val="0"/>
                <w:color w:val="2A2A2A"/>
                <w:sz w:val="24"/>
                <w:szCs w:val="24"/>
                <w:lang w:val="en-US" w:eastAsia="zh-CN"/>
              </w:rPr>
              <w:t xml:space="preserve"> </w:t>
            </w:r>
            <w:r>
              <w:rPr>
                <w:rFonts w:hint="default" w:ascii="仿宋" w:hAnsi="仿宋" w:eastAsia="仿宋" w:cs="仿宋"/>
                <w:b w:val="0"/>
                <w:bCs w:val="0"/>
                <w:color w:val="2A2A2A"/>
                <w:sz w:val="24"/>
                <w:szCs w:val="24"/>
                <w:lang w:val="en-US" w:eastAsia="zh-CN"/>
              </w:rPr>
              <w:t>-2008</w:t>
            </w:r>
            <w:r>
              <w:rPr>
                <w:rFonts w:hint="eastAsia" w:ascii="仿宋" w:hAnsi="仿宋" w:eastAsia="仿宋" w:cs="仿宋"/>
                <w:b w:val="0"/>
                <w:bCs w:val="0"/>
                <w:color w:val="2A2A2A"/>
                <w:sz w:val="24"/>
                <w:szCs w:val="24"/>
                <w:lang w:val="en-US" w:eastAsia="zh-CN"/>
              </w:rPr>
              <w:t>）1</w:t>
            </w:r>
            <w:r>
              <w:rPr>
                <w:rFonts w:hint="default" w:ascii="仿宋" w:hAnsi="仿宋" w:eastAsia="仿宋" w:cs="仿宋"/>
                <w:b w:val="0"/>
                <w:bCs w:val="0"/>
                <w:color w:val="2A2A2A"/>
                <w:sz w:val="24"/>
                <w:szCs w:val="24"/>
                <w:lang w:val="en-US" w:eastAsia="zh-CN"/>
              </w:rPr>
              <w:t>类区标准</w:t>
            </w:r>
          </w:p>
          <w:p>
            <w:pPr>
              <w:widowControl/>
              <w:snapToGrid w:val="0"/>
              <w:ind w:firstLine="560" w:firstLineChars="200"/>
              <w:jc w:val="left"/>
              <w:rPr>
                <w:rFonts w:hint="eastAsia" w:ascii="仿宋" w:hAnsi="仿宋" w:eastAsia="仿宋" w:cs="仿宋"/>
                <w:kern w:val="0"/>
                <w:sz w:val="28"/>
                <w:szCs w:val="28"/>
                <w:lang w:eastAsia="zh-CN"/>
              </w:rPr>
            </w:pPr>
          </w:p>
          <w:p>
            <w:pPr>
              <w:widowControl/>
              <w:snapToGrid w:val="0"/>
              <w:ind w:firstLine="560" w:firstLineChars="200"/>
              <w:jc w:val="left"/>
              <w:rPr>
                <w:rFonts w:hint="default" w:ascii="仿宋" w:hAnsi="仿宋" w:eastAsia="仿宋" w:cs="仿宋"/>
                <w:kern w:val="0"/>
                <w:sz w:val="28"/>
                <w:szCs w:val="28"/>
                <w:lang w:eastAsia="zh-CN"/>
              </w:rPr>
            </w:pPr>
          </w:p>
          <w:p>
            <w:pPr>
              <w:widowControl/>
              <w:spacing w:line="330" w:lineRule="atLeast"/>
              <w:jc w:val="left"/>
              <w:rPr>
                <w:rFonts w:hint="eastAsia" w:ascii="仿宋" w:hAnsi="仿宋" w:eastAsia="仿宋" w:cs="仿宋"/>
                <w:b w:val="0"/>
                <w:bCs w:val="0"/>
                <w:color w:val="2A2A2A"/>
                <w:sz w:val="24"/>
                <w:szCs w:val="24"/>
                <w:lang w:eastAsia="zh-CN"/>
              </w:rPr>
            </w:pPr>
          </w:p>
        </w:tc>
        <w:tc>
          <w:tcPr>
            <w:tcW w:w="983" w:type="dxa"/>
            <w:tcBorders>
              <w:top w:val="single" w:color="auto" w:sz="4" w:space="0"/>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r>
    </w:tbl>
    <w:p>
      <w:pPr>
        <w:adjustRightInd w:val="0"/>
        <w:snapToGrid w:val="0"/>
        <w:jc w:val="both"/>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C59C5"/>
    <w:rsid w:val="0F637FEE"/>
    <w:rsid w:val="14FB60A9"/>
    <w:rsid w:val="1EBC59C5"/>
    <w:rsid w:val="2406774D"/>
    <w:rsid w:val="25DB25D7"/>
    <w:rsid w:val="49D81442"/>
    <w:rsid w:val="6F350693"/>
    <w:rsid w:val="7E82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keepNext/>
      <w:overflowPunct w:val="0"/>
      <w:snapToGrid w:val="0"/>
      <w:spacing w:line="360" w:lineRule="auto"/>
      <w:ind w:left="0" w:hanging="432"/>
      <w:outlineLvl w:val="0"/>
    </w:pPr>
    <w:rPr>
      <w:rFonts w:eastAsia="黑体"/>
      <w:b/>
      <w:bCs/>
      <w:color w:val="000000"/>
      <w:kern w:val="44"/>
      <w:sz w:val="28"/>
      <w:szCs w:val="30"/>
    </w:rPr>
  </w:style>
  <w:style w:type="paragraph" w:styleId="2">
    <w:name w:val="heading 4"/>
    <w:basedOn w:val="1"/>
    <w:next w:val="1"/>
    <w:qFormat/>
    <w:uiPriority w:val="0"/>
    <w:pPr>
      <w:keepNext/>
      <w:keepLines/>
      <w:spacing w:line="520" w:lineRule="exact"/>
      <w:outlineLvl w:val="3"/>
    </w:pPr>
    <w:rPr>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ind w:firstLine="420"/>
      <w:jc w:val="left"/>
    </w:pPr>
    <w:rPr>
      <w:kern w:val="0"/>
      <w:sz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paragraph" w:customStyle="1" w:styleId="10">
    <w:name w:val="Default"/>
    <w:qFormat/>
    <w:uiPriority w:val="0"/>
    <w:pPr>
      <w:widowControl w:val="0"/>
      <w:autoSpaceDE w:val="0"/>
      <w:autoSpaceDN w:val="0"/>
      <w:adjustRightInd w:val="0"/>
      <w:spacing w:line="460" w:lineRule="exact"/>
      <w:jc w:val="center"/>
    </w:pPr>
    <w:rPr>
      <w:rFonts w:ascii="黑体" w:hAnsi="Times New Roman" w:eastAsia="黑体" w:cs="黑体"/>
      <w:color w:val="000000"/>
      <w:sz w:val="24"/>
      <w:szCs w:val="24"/>
      <w:lang w:val="en-US" w:eastAsia="zh-CN" w:bidi="ar-SA"/>
    </w:rPr>
  </w:style>
  <w:style w:type="paragraph" w:customStyle="1" w:styleId="11">
    <w:name w:val="正文 首行缩进:  2 字符"/>
    <w:basedOn w:val="1"/>
    <w:semiHidden/>
    <w:qFormat/>
    <w:uiPriority w:val="0"/>
    <w:pPr>
      <w:spacing w:line="520" w:lineRule="exact"/>
      <w:ind w:firstLine="480" w:firstLineChars="200"/>
    </w:pPr>
    <w:rPr>
      <w:rFonts w:ascii="Times New Roman" w:hAnsi="Times New Roman"/>
      <w:kern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2021-06-30T02:30:00Z</dcterms:created>
  <dc:creator>橙子</dc:creator>
  <cp:lastModifiedBy>=。=</cp:lastModifiedBy>
  <dcterms:modified xsi:type="dcterms:W3CDTF">2021-12-23T07:16:35Z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1DAAE6BCBBEA4385BB8830CC5B1211BF</vt:lpwstr>
  </property>
</Properties>
</file>