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 w:leftChars="-9" w:firstLine="438" w:firstLineChars="209"/>
        <w:jc w:val="center"/>
      </w:pPr>
    </w:p>
    <w:p>
      <w:pPr>
        <w:ind w:left="-19" w:leftChars="-9" w:firstLine="438" w:firstLineChars="209"/>
        <w:jc w:val="center"/>
      </w:pPr>
    </w:p>
    <w:p>
      <w:pPr>
        <w:ind w:left="-19" w:leftChars="-9" w:firstLine="438" w:firstLineChars="209"/>
        <w:jc w:val="center"/>
      </w:pPr>
    </w:p>
    <w:p>
      <w:pPr>
        <w:ind w:left="-19" w:leftChars="-9" w:firstLine="438" w:firstLineChars="209"/>
        <w:jc w:val="center"/>
      </w:pPr>
    </w:p>
    <w:p>
      <w:pPr>
        <w:ind w:left="-19" w:leftChars="-9" w:firstLine="438" w:firstLineChars="209"/>
        <w:jc w:val="center"/>
      </w:pPr>
      <w:bookmarkStart w:id="0" w:name="_GoBack"/>
      <w:r>
        <w:pict>
          <v:shape id="_x0000_s1026" o:spid="_x0000_s1026" o:spt="136" type="#_x0000_t136" style="position:absolute;left:0pt;margin-left:-12pt;margin-top:14.8pt;height:66.65pt;width:450.8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v:textpath on="t" fitshape="t" fitpath="t" trim="t" xscale="f" string="新乡市卫滨区市场监督管理局文件" style="font-family:方正大标宋简体;font-size:36pt;v-text-align:center;"/>
            <w10:wrap type="square"/>
          </v:shape>
        </w:pict>
      </w:r>
      <w:bookmarkEnd w:id="0"/>
    </w:p>
    <w:p>
      <w:pPr>
        <w:ind w:left="-19" w:leftChars="-9" w:firstLine="438" w:firstLineChars="209"/>
        <w:jc w:val="center"/>
        <w:rPr>
          <w:szCs w:val="32"/>
        </w:rPr>
      </w:pPr>
    </w:p>
    <w:p>
      <w:pPr>
        <w:spacing w:line="560" w:lineRule="exact"/>
        <w:ind w:left="-19" w:leftChars="-9" w:firstLine="668" w:firstLineChars="209"/>
        <w:jc w:val="center"/>
        <w:rPr>
          <w:rFonts w:ascii="仿宋_GB2312"/>
          <w:szCs w:val="32"/>
        </w:rPr>
      </w:pPr>
      <w:r>
        <w:rPr>
          <w:rFonts w:hint="eastAsia" w:ascii="仿宋_GB2312" w:eastAsia="仿宋_GB2312"/>
          <w:sz w:val="32"/>
          <w:lang w:eastAsia="zh-CN"/>
        </w:rPr>
        <w:t>新</w:t>
      </w:r>
      <w:r>
        <w:rPr>
          <w:rFonts w:hint="eastAsia" w:ascii="仿宋_GB2312" w:eastAsia="仿宋_GB2312"/>
          <w:sz w:val="32"/>
        </w:rPr>
        <w:t>卫市监</w:t>
      </w:r>
      <w:r>
        <w:rPr>
          <w:rFonts w:hint="eastAsia" w:ascii="仿宋_GB2312" w:eastAsia="仿宋_GB2312"/>
          <w:sz w:val="32"/>
          <w:lang w:eastAsia="zh-CN"/>
        </w:rPr>
        <w:t>优</w:t>
      </w:r>
      <w:r>
        <w:rPr>
          <w:rFonts w:hint="eastAsia" w:ascii="仿宋_GB2312" w:eastAsia="仿宋_GB2312"/>
          <w:sz w:val="32"/>
        </w:rPr>
        <w:t>〔202</w:t>
      </w:r>
      <w:r>
        <w:rPr>
          <w:rFonts w:hint="eastAsia" w:ascii="仿宋_GB2312" w:eastAsia="仿宋_GB2312"/>
          <w:sz w:val="32"/>
          <w:lang w:val="en-US" w:eastAsia="zh-CN"/>
        </w:rPr>
        <w:t>1</w:t>
      </w:r>
      <w:r>
        <w:rPr>
          <w:rFonts w:hint="eastAsia" w:ascii="仿宋_GB2312" w:eastAsia="仿宋_GB2312"/>
          <w:sz w:val="32"/>
        </w:rPr>
        <w:t>〕号</w:t>
      </w:r>
    </w:p>
    <w:p>
      <w:pPr>
        <w:spacing w:line="600" w:lineRule="exact"/>
        <w:ind w:left="-19" w:leftChars="-9" w:firstLine="438" w:firstLineChars="209"/>
        <w:jc w:val="center"/>
      </w:pPr>
      <w:r>
        <w:rPr>
          <w:rFonts w:hint="eastAsia" w:ascii="方正大标宋简体" w:hAnsi="方正大标宋简体" w:eastAsia="方正大标宋简体" w:cs="方正大标宋简体"/>
        </w:rPr>
        <mc:AlternateContent>
          <mc:Choice Requires="wps">
            <w:drawing>
              <wp:anchor distT="0" distB="0" distL="114300" distR="114300" simplePos="0" relativeHeight="251660288" behindDoc="0" locked="0" layoutInCell="1" allowOverlap="1">
                <wp:simplePos x="0" y="0"/>
                <wp:positionH relativeFrom="column">
                  <wp:posOffset>-196215</wp:posOffset>
                </wp:positionH>
                <wp:positionV relativeFrom="paragraph">
                  <wp:posOffset>295910</wp:posOffset>
                </wp:positionV>
                <wp:extent cx="5876925" cy="19050"/>
                <wp:effectExtent l="0" t="19050" r="9525" b="19050"/>
                <wp:wrapNone/>
                <wp:docPr id="1" name="直线 3"/>
                <wp:cNvGraphicFramePr/>
                <a:graphic xmlns:a="http://schemas.openxmlformats.org/drawingml/2006/main">
                  <a:graphicData uri="http://schemas.microsoft.com/office/word/2010/wordprocessingShape">
                    <wps:wsp>
                      <wps:cNvCnPr/>
                      <wps:spPr>
                        <a:xfrm flipV="1">
                          <a:off x="0" y="0"/>
                          <a:ext cx="5876925" cy="1905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3" o:spid="_x0000_s1026" o:spt="20" style="position:absolute;left:0pt;flip:y;margin-left:-15.45pt;margin-top:23.3pt;height:1.5pt;width:462.75pt;z-index:251660288;mso-width-relative:page;mso-height-relative:page;" filled="f" stroked="t" coordsize="21600,21600" o:gfxdata="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OJeBNgAAAAJAQAADwAAAAAAAAABACAAAAAiAAAAZHJzL2Rvd25yZXYueG1sUEsBAhQAFAAA&#10;AAgAh07iQJat63PvAQAA3gMAAA4AAAAAAAAAAQAgAAAAJwEAAGRycy9lMm9Eb2MueG1sUEsFBgAA&#10;AAAGAAYAWQEAAIgFAAAAAA==&#10;">
                <v:fill on="f" focussize="0,0"/>
                <v:stroke weight="3pt" color="#FF0000" joinstyle="round"/>
                <v:imagedata o:title=""/>
                <o:lock v:ext="edit" aspectratio="f"/>
              </v:line>
            </w:pict>
          </mc:Fallback>
        </mc:AlternateContent>
      </w:r>
    </w:p>
    <w:p>
      <w:pPr>
        <w:spacing w:line="600" w:lineRule="exact"/>
        <w:ind w:left="-19" w:leftChars="-9" w:firstLine="919" w:firstLineChars="209"/>
        <w:jc w:val="center"/>
        <w:rPr>
          <w:sz w:val="44"/>
          <w:szCs w:val="44"/>
        </w:rPr>
      </w:pPr>
    </w:p>
    <w:p>
      <w:pPr>
        <w:spacing w:before="312" w:beforeLines="100" w:line="600" w:lineRule="exact"/>
        <w:ind w:left="-19" w:leftChars="-9" w:firstLine="919" w:firstLineChars="209"/>
        <w:jc w:val="center"/>
        <w:rPr>
          <w:rFonts w:ascii="方正小标宋简体" w:hAnsi="黑体" w:eastAsia="方正小标宋简体"/>
          <w:sz w:val="44"/>
          <w:szCs w:val="44"/>
        </w:rPr>
      </w:pPr>
      <w:r>
        <w:rPr>
          <w:rFonts w:hint="eastAsia" w:ascii="方正小标宋简体" w:hAnsi="黑体" w:eastAsia="方正小标宋简体" w:cs="方正小标宋简体"/>
          <w:sz w:val="44"/>
          <w:szCs w:val="44"/>
        </w:rPr>
        <w:t>新乡市卫滨区市场监督管理局</w:t>
      </w:r>
    </w:p>
    <w:p>
      <w:pPr>
        <w:spacing w:line="600" w:lineRule="exact"/>
        <w:ind w:left="-19" w:leftChars="-9" w:firstLine="919" w:firstLineChars="209"/>
        <w:jc w:val="center"/>
        <w:rPr>
          <w:rFonts w:ascii="方正小标宋简体" w:hAnsi="黑体" w:eastAsia="方正小标宋简体"/>
          <w:sz w:val="44"/>
          <w:szCs w:val="44"/>
        </w:rPr>
      </w:pPr>
      <w:r>
        <w:rPr>
          <w:rFonts w:hint="eastAsia" w:ascii="方正小标宋简体" w:hAnsi="黑体" w:eastAsia="方正小标宋简体" w:cs="方正小标宋简体"/>
          <w:sz w:val="44"/>
          <w:szCs w:val="44"/>
        </w:rPr>
        <w:t>关于印发《2021年度食品生产环节检查工作计划》的通知</w:t>
      </w:r>
    </w:p>
    <w:p>
      <w:pPr>
        <w:spacing w:line="560" w:lineRule="exact"/>
        <w:ind w:left="-19" w:leftChars="-9" w:firstLine="668" w:firstLineChars="209"/>
        <w:rPr>
          <w:rFonts w:ascii="仿宋" w:hAnsi="仿宋" w:eastAsia="仿宋" w:cs="宋体"/>
          <w:kern w:val="0"/>
          <w:sz w:val="32"/>
          <w:szCs w:val="32"/>
        </w:rPr>
      </w:pPr>
    </w:p>
    <w:p>
      <w:pPr>
        <w:spacing w:line="560" w:lineRule="exac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各股、室、队、协会：</w:t>
      </w:r>
    </w:p>
    <w:p>
      <w:pPr>
        <w:spacing w:line="560" w:lineRule="exact"/>
        <w:ind w:left="-19" w:leftChars="-9" w:right="-340" w:rightChars="-162" w:firstLine="668" w:firstLineChars="209"/>
        <w:rPr>
          <w:rFonts w:ascii="仿宋_GB2312" w:hAnsi="仿宋" w:eastAsia="仿宋_GB2312"/>
          <w:color w:val="000000"/>
          <w:sz w:val="32"/>
          <w:szCs w:val="32"/>
        </w:rPr>
      </w:pPr>
      <w:r>
        <w:rPr>
          <w:rFonts w:hint="eastAsia" w:ascii="仿宋_GB2312" w:hAnsi="仿宋" w:eastAsia="仿宋_GB2312"/>
          <w:color w:val="000000"/>
          <w:sz w:val="32"/>
          <w:szCs w:val="32"/>
        </w:rPr>
        <w:t>为进一步强化我区食品生产企业监管工作，规范食品生产安全行为，现将《卫滨区市场监督管理局2021年度食品生产环节检查工作计划》印发你们，请遵照执行。</w:t>
      </w:r>
    </w:p>
    <w:p>
      <w:pPr>
        <w:spacing w:line="700" w:lineRule="exact"/>
        <w:ind w:left="-19" w:leftChars="-9" w:firstLine="668" w:firstLineChars="209"/>
        <w:rPr>
          <w:rFonts w:ascii="仿宋_GB2312" w:hAnsi="仿宋" w:eastAsia="仿宋_GB2312" w:cs="宋体"/>
          <w:color w:val="000000"/>
          <w:kern w:val="0"/>
          <w:sz w:val="32"/>
          <w:szCs w:val="32"/>
        </w:rPr>
      </w:pPr>
    </w:p>
    <w:p>
      <w:pPr>
        <w:spacing w:line="700" w:lineRule="exact"/>
        <w:ind w:left="-19" w:leftChars="-9" w:firstLine="668" w:firstLineChars="209"/>
        <w:rPr>
          <w:rFonts w:ascii="仿宋_GB2312" w:hAnsi="仿宋" w:eastAsia="仿宋_GB2312" w:cs="宋体"/>
          <w:color w:val="000000"/>
          <w:kern w:val="0"/>
          <w:sz w:val="32"/>
          <w:szCs w:val="32"/>
        </w:rPr>
      </w:pPr>
    </w:p>
    <w:p>
      <w:pPr>
        <w:spacing w:line="700" w:lineRule="exact"/>
        <w:ind w:left="-19" w:leftChars="-9" w:firstLine="668" w:firstLineChars="209"/>
        <w:rPr>
          <w:rFonts w:ascii="仿宋_GB2312" w:hAnsi="仿宋" w:eastAsia="仿宋_GB2312" w:cs="宋体"/>
          <w:color w:val="000000"/>
          <w:kern w:val="0"/>
          <w:sz w:val="32"/>
          <w:szCs w:val="32"/>
        </w:rPr>
      </w:pPr>
    </w:p>
    <w:p>
      <w:pPr>
        <w:spacing w:line="700" w:lineRule="exact"/>
        <w:ind w:left="-19" w:leftChars="-9" w:firstLine="668" w:firstLineChars="209"/>
        <w:jc w:val="righ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卫滨区市场监督管理局</w:t>
      </w:r>
    </w:p>
    <w:p>
      <w:pPr>
        <w:tabs>
          <w:tab w:val="left" w:pos="7513"/>
        </w:tabs>
        <w:spacing w:line="560" w:lineRule="exact"/>
        <w:ind w:left="-19" w:leftChars="-9" w:right="640" w:firstLine="668" w:firstLineChars="209"/>
        <w:jc w:val="righ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2021年3月8日</w:t>
      </w:r>
    </w:p>
    <w:p>
      <w:pPr>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年度食品生产环节检查工作计划</w:t>
      </w:r>
    </w:p>
    <w:p>
      <w:pPr>
        <w:ind w:left="-19" w:leftChars="-9" w:firstLine="668" w:firstLineChars="209"/>
        <w:rPr>
          <w:sz w:val="32"/>
          <w:szCs w:val="32"/>
        </w:rPr>
      </w:pPr>
    </w:p>
    <w:p>
      <w:pPr>
        <w:ind w:left="-19" w:leftChars="-9" w:firstLine="668" w:firstLineChars="209"/>
        <w:rPr>
          <w:rFonts w:ascii="仿宋_GB2312" w:eastAsia="仿宋_GB2312"/>
          <w:sz w:val="32"/>
          <w:szCs w:val="32"/>
        </w:rPr>
      </w:pPr>
      <w:r>
        <w:rPr>
          <w:rFonts w:hint="eastAsia" w:ascii="仿宋_GB2312" w:eastAsia="仿宋_GB2312"/>
          <w:sz w:val="32"/>
          <w:szCs w:val="32"/>
        </w:rPr>
        <w:t>根据新《食品安全法》《食品生产经营风险分级管理办法（试行）》的规定，按照市局统一安排，结合我区食品生产实际，特制定《2021年度食品生产环节检查工作计划》。</w:t>
      </w:r>
    </w:p>
    <w:p>
      <w:pPr>
        <w:numPr>
          <w:ilvl w:val="0"/>
          <w:numId w:val="1"/>
        </w:numPr>
        <w:ind w:left="-19" w:leftChars="-9" w:firstLine="668" w:firstLineChars="209"/>
        <w:rPr>
          <w:rFonts w:ascii="黑体" w:hAnsi="黑体" w:eastAsia="黑体" w:cs="黑体"/>
          <w:sz w:val="32"/>
          <w:szCs w:val="32"/>
        </w:rPr>
      </w:pPr>
      <w:r>
        <w:rPr>
          <w:rFonts w:hint="eastAsia" w:ascii="黑体" w:hAnsi="黑体" w:eastAsia="黑体" w:cs="黑体"/>
          <w:sz w:val="32"/>
          <w:szCs w:val="32"/>
        </w:rPr>
        <w:t>工作目的</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为了保证本辖区食品生产加工的食品安全，在对食品生产企业风险分级管理的基础上通过实施监督检查，并规范检查行为，进一步落实食品安全的主体责任，切实保障人民群众饮食安全。</w:t>
      </w:r>
    </w:p>
    <w:p>
      <w:pPr>
        <w:numPr>
          <w:ilvl w:val="0"/>
          <w:numId w:val="1"/>
        </w:numPr>
        <w:ind w:left="-19" w:leftChars="-9" w:firstLine="668" w:firstLineChars="209"/>
        <w:rPr>
          <w:rFonts w:ascii="黑体" w:hAnsi="黑体" w:eastAsia="黑体" w:cs="黑体"/>
          <w:sz w:val="32"/>
          <w:szCs w:val="32"/>
        </w:rPr>
      </w:pPr>
      <w:r>
        <w:rPr>
          <w:rFonts w:hint="eastAsia" w:ascii="黑体" w:hAnsi="黑体" w:eastAsia="黑体" w:cs="黑体"/>
          <w:sz w:val="32"/>
          <w:szCs w:val="32"/>
        </w:rPr>
        <w:t>适用范围.</w:t>
      </w:r>
    </w:p>
    <w:p>
      <w:pPr>
        <w:ind w:left="-19" w:leftChars="-9" w:firstLine="668" w:firstLineChars="209"/>
        <w:rPr>
          <w:rFonts w:ascii="仿宋_GB2312" w:eastAsia="仿宋_GB2312"/>
          <w:sz w:val="32"/>
          <w:szCs w:val="32"/>
        </w:rPr>
      </w:pPr>
      <w:r>
        <w:rPr>
          <w:rFonts w:hint="eastAsia" w:ascii="仿宋_GB2312" w:eastAsia="仿宋_GB2312"/>
          <w:sz w:val="32"/>
          <w:szCs w:val="32"/>
        </w:rPr>
        <w:t>本计划适用于对卫滨区内的食品（含保健食品、食品添加剂，下同）生产企业、食品小作坊开展日常检查工作。</w:t>
      </w:r>
    </w:p>
    <w:p>
      <w:pPr>
        <w:ind w:left="136" w:leftChars="65" w:firstLine="320" w:firstLineChars="100"/>
        <w:rPr>
          <w:rFonts w:ascii="黑体" w:hAnsi="黑体" w:eastAsia="黑体" w:cs="黑体"/>
          <w:sz w:val="32"/>
          <w:szCs w:val="32"/>
        </w:rPr>
      </w:pPr>
      <w:r>
        <w:rPr>
          <w:rFonts w:hint="eastAsia" w:ascii="黑体" w:hAnsi="黑体" w:eastAsia="黑体" w:cs="黑体"/>
          <w:sz w:val="32"/>
          <w:szCs w:val="32"/>
        </w:rPr>
        <w:t>三、工作任务</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按照属地管理、分级负责的原则，确定任务分工，根据监督检查、抽检、投诉举报和企业风险分级等情况，按照“双随机、一公开”要求，突出对重点企业、重点品种、重点问题和食品小作坊的监督检查。</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1.按照《河南省食品生产企业风险分级管理办法（试行）》要求，对辖区内食品生产企业进行风险分级，确定检查频次，录入河南省食品安全动态监管系统；</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2.完成监督检查计划，对辖区内食品生产企业、食品小作坊开展日常监督检查并负责监督问题整改。监督检查覆盖率100%，问题整改率达到100%。每月10日前将上月对食品生产企业、食品小作坊日常监督检查情况填报入河南省食品安全动态监管系统,监督检查记录、企业整改报告和整改验收情况归入企业档案；</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3.开展食安员考核，在日常监督检查的同时，使用“食安员抽考”APP对食品生产企业的主要负责人和食品安全管理人员随机进行监督抽查考核，企业覆盖率100%，考核合格率100%；</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4.推动辖区生产企业和食品加工小作坊实施“6S”标准化管理达到90%以上。</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5.完成上级交办其他监督检查、整改验收和上报工作。</w:t>
      </w:r>
    </w:p>
    <w:p>
      <w:pPr>
        <w:ind w:left="-19" w:leftChars="-9" w:firstLine="668" w:firstLineChars="209"/>
        <w:rPr>
          <w:rFonts w:ascii="黑体" w:hAnsi="黑体" w:eastAsia="黑体" w:cs="黑体"/>
          <w:sz w:val="32"/>
          <w:szCs w:val="32"/>
        </w:rPr>
      </w:pPr>
      <w:r>
        <w:rPr>
          <w:rFonts w:hint="eastAsia" w:ascii="黑体" w:hAnsi="黑体" w:eastAsia="黑体" w:cs="黑体"/>
          <w:sz w:val="32"/>
          <w:szCs w:val="32"/>
        </w:rPr>
        <w:t>四、监督检查计划的制定</w:t>
      </w:r>
    </w:p>
    <w:p>
      <w:pPr>
        <w:ind w:left="-19" w:leftChars="-9" w:firstLine="671" w:firstLineChars="209"/>
        <w:rPr>
          <w:rFonts w:ascii="仿宋_GB2312" w:eastAsia="仿宋_GB2312"/>
          <w:sz w:val="32"/>
          <w:szCs w:val="32"/>
        </w:rPr>
      </w:pPr>
      <w:r>
        <w:rPr>
          <w:rFonts w:hint="eastAsia" w:ascii="楷体" w:hAnsi="楷体" w:eastAsia="楷体" w:cs="楷体"/>
          <w:b/>
          <w:bCs/>
          <w:sz w:val="32"/>
          <w:szCs w:val="32"/>
        </w:rPr>
        <w:t>（一）监督检查频次和监督抽检频次的确定。</w:t>
      </w:r>
      <w:r>
        <w:rPr>
          <w:rFonts w:hint="eastAsia" w:ascii="仿宋_GB2312" w:eastAsia="仿宋_GB2312"/>
          <w:sz w:val="32"/>
          <w:szCs w:val="32"/>
        </w:rPr>
        <w:t>根据省、市对食品生产企业风险分级管理意见，食品生产风险等级从低到高可分为A级、B级、C级、D级四个等级。</w:t>
      </w:r>
    </w:p>
    <w:p>
      <w:pPr>
        <w:ind w:left="-19" w:leftChars="-9" w:firstLine="668" w:firstLineChars="209"/>
        <w:rPr>
          <w:rFonts w:ascii="仿宋_GB2312" w:eastAsia="仿宋_GB2312"/>
          <w:sz w:val="32"/>
          <w:szCs w:val="32"/>
        </w:rPr>
      </w:pPr>
      <w:r>
        <w:rPr>
          <w:rFonts w:hint="eastAsia" w:ascii="仿宋_GB2312" w:eastAsia="仿宋_GB2312"/>
          <w:sz w:val="32"/>
          <w:szCs w:val="32"/>
        </w:rPr>
        <w:t>1.对风险等级为A级风险的食品生产经营者，原则上每年至少监督检查1次；</w:t>
      </w:r>
    </w:p>
    <w:p>
      <w:pPr>
        <w:ind w:left="-19" w:leftChars="-9" w:firstLine="668" w:firstLineChars="209"/>
        <w:rPr>
          <w:rFonts w:ascii="仿宋_GB2312" w:eastAsia="仿宋_GB2312"/>
          <w:sz w:val="32"/>
          <w:szCs w:val="32"/>
        </w:rPr>
      </w:pPr>
      <w:r>
        <w:rPr>
          <w:rFonts w:hint="eastAsia" w:ascii="仿宋_GB2312" w:eastAsia="仿宋_GB2312"/>
          <w:sz w:val="32"/>
          <w:szCs w:val="32"/>
        </w:rPr>
        <w:t>2.对风险等级为B级风险的食品生产经营者，原则上每年至少监督检查1—2次；</w:t>
      </w:r>
    </w:p>
    <w:p>
      <w:pPr>
        <w:ind w:left="-19" w:leftChars="-9" w:firstLine="668" w:firstLineChars="209"/>
        <w:rPr>
          <w:rFonts w:ascii="仿宋_GB2312" w:eastAsia="仿宋_GB2312"/>
          <w:sz w:val="32"/>
          <w:szCs w:val="32"/>
        </w:rPr>
      </w:pPr>
      <w:r>
        <w:rPr>
          <w:rFonts w:hint="eastAsia" w:ascii="仿宋_GB2312" w:eastAsia="仿宋_GB2312"/>
          <w:sz w:val="32"/>
          <w:szCs w:val="32"/>
        </w:rPr>
        <w:t>3.对风险等级为C级风险的食品生产经营者，原则上每年至少监督检查2—3次；</w:t>
      </w:r>
    </w:p>
    <w:p>
      <w:pPr>
        <w:ind w:left="-19" w:leftChars="-9" w:firstLine="668" w:firstLineChars="209"/>
        <w:rPr>
          <w:rFonts w:ascii="仿宋_GB2312" w:eastAsia="仿宋_GB2312"/>
          <w:sz w:val="32"/>
          <w:szCs w:val="32"/>
        </w:rPr>
      </w:pPr>
      <w:r>
        <w:rPr>
          <w:rFonts w:hint="eastAsia" w:ascii="仿宋_GB2312" w:eastAsia="仿宋_GB2312"/>
          <w:sz w:val="32"/>
          <w:szCs w:val="32"/>
        </w:rPr>
        <w:t>4.对风险等级为D级风险的食品生产经营者，原则上每年至少监督检查3—4次。</w:t>
      </w:r>
    </w:p>
    <w:p>
      <w:pPr>
        <w:ind w:left="-19" w:leftChars="-9" w:firstLine="668" w:firstLineChars="209"/>
        <w:rPr>
          <w:rFonts w:ascii="仿宋_GB2312" w:eastAsia="仿宋_GB2312"/>
          <w:sz w:val="32"/>
          <w:szCs w:val="32"/>
        </w:rPr>
      </w:pPr>
      <w:r>
        <w:rPr>
          <w:rFonts w:hint="eastAsia" w:ascii="仿宋_GB2312" w:eastAsia="仿宋_GB2312"/>
          <w:sz w:val="32"/>
          <w:szCs w:val="32"/>
        </w:rPr>
        <w:t>各监管所根据产品风险、现场核查、监督检查、监督抽检、行政处罚、投诉举报等情况，合理确定辖区内食品生产企业具体监管频次。</w:t>
      </w:r>
    </w:p>
    <w:p>
      <w:pPr>
        <w:ind w:left="-19" w:leftChars="-9" w:firstLine="671" w:firstLineChars="209"/>
        <w:rPr>
          <w:rFonts w:ascii="仿宋_GB2312" w:eastAsia="仿宋_GB2312"/>
          <w:sz w:val="32"/>
          <w:szCs w:val="32"/>
        </w:rPr>
      </w:pPr>
      <w:r>
        <w:rPr>
          <w:rFonts w:hint="eastAsia" w:ascii="楷体" w:hAnsi="楷体" w:eastAsia="楷体" w:cs="楷体"/>
          <w:b/>
          <w:bCs/>
          <w:sz w:val="32"/>
          <w:szCs w:val="32"/>
        </w:rPr>
        <w:t>（二）监督抽检对象的确定</w:t>
      </w:r>
      <w:r>
        <w:rPr>
          <w:rFonts w:hint="eastAsia" w:ascii="仿宋_GB2312" w:eastAsia="仿宋_GB2312"/>
          <w:sz w:val="32"/>
          <w:szCs w:val="32"/>
        </w:rPr>
        <w:t>。一是对2020年度抽检不合格单位、产品要采取“回头看”的形式，加大抽检力度，增加抽检批次。二是做好专项整治过程中的抽样检验工作，为专项整治提供科学参考，确保专项整治高效开展。三是针对季节性食品、节庆性食品、食品加工小作坊食品加大抽检力度。对抽检不合格产品依法进行后处理。</w:t>
      </w:r>
    </w:p>
    <w:p>
      <w:pPr>
        <w:ind w:left="-19" w:leftChars="-9" w:firstLine="671" w:firstLineChars="209"/>
        <w:rPr>
          <w:rFonts w:ascii="仿宋_GB2312" w:eastAsia="仿宋_GB2312"/>
          <w:sz w:val="32"/>
          <w:szCs w:val="32"/>
        </w:rPr>
      </w:pPr>
      <w:r>
        <w:rPr>
          <w:rFonts w:hint="eastAsia" w:ascii="楷体" w:hAnsi="楷体" w:eastAsia="楷体" w:cs="楷体"/>
          <w:b/>
          <w:bCs/>
          <w:sz w:val="32"/>
          <w:szCs w:val="32"/>
        </w:rPr>
        <w:t>（三）临时安排检查。</w:t>
      </w:r>
      <w:r>
        <w:rPr>
          <w:rFonts w:hint="eastAsia" w:ascii="仿宋_GB2312" w:hAnsi="仿宋_GB2312" w:eastAsia="仿宋_GB2312" w:cs="仿宋_GB2312"/>
          <w:sz w:val="32"/>
          <w:szCs w:val="32"/>
        </w:rPr>
        <w:t>生产股、</w:t>
      </w:r>
      <w:r>
        <w:rPr>
          <w:rFonts w:hint="eastAsia" w:ascii="仿宋_GB2312" w:eastAsia="仿宋_GB2312"/>
          <w:sz w:val="32"/>
          <w:szCs w:val="32"/>
        </w:rPr>
        <w:t>各监管所可以根据消费者投诉举报、上级工作安排以及行政执法的需要开展检查。</w:t>
      </w:r>
    </w:p>
    <w:p>
      <w:pPr>
        <w:ind w:left="-19" w:leftChars="-9" w:firstLine="668" w:firstLineChars="209"/>
        <w:rPr>
          <w:rFonts w:ascii="黑体" w:hAnsi="黑体" w:eastAsia="黑体" w:cs="黑体"/>
          <w:sz w:val="32"/>
          <w:szCs w:val="32"/>
        </w:rPr>
      </w:pPr>
      <w:r>
        <w:rPr>
          <w:rFonts w:hint="eastAsia" w:ascii="黑体" w:hAnsi="黑体" w:eastAsia="黑体" w:cs="黑体"/>
          <w:sz w:val="32"/>
          <w:szCs w:val="32"/>
        </w:rPr>
        <w:t>五、工作内容</w:t>
      </w:r>
    </w:p>
    <w:p>
      <w:pPr>
        <w:ind w:left="-19" w:leftChars="-9" w:firstLine="671" w:firstLineChars="209"/>
        <w:rPr>
          <w:rFonts w:ascii="楷体" w:hAnsi="楷体" w:eastAsia="楷体" w:cs="楷体"/>
          <w:b/>
          <w:bCs/>
          <w:sz w:val="32"/>
          <w:szCs w:val="32"/>
        </w:rPr>
      </w:pPr>
      <w:r>
        <w:rPr>
          <w:rFonts w:hint="eastAsia" w:ascii="楷体" w:hAnsi="楷体" w:eastAsia="楷体" w:cs="楷体"/>
          <w:b/>
          <w:bCs/>
          <w:sz w:val="32"/>
          <w:szCs w:val="32"/>
        </w:rPr>
        <w:t>（一）现场检查的主要内容</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1.企业食品安全主体责任自查制度落实情况，自查是否真实、有效；</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2.食品安全抽检不合格企业的整改情况；</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 xml:space="preserve">3.食品生产许可条件保持情况和“6S”建设情况； </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4.食品安全管理制度（体系）、追溯体系建立和实施情况；</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5.媒体曝光或投诉举报、舆情监测、食品安全风险监测等发现存在严重食品安全问题查处整改情况；</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6.食品小作坊实施“6S”标准化管理情况；</w:t>
      </w:r>
    </w:p>
    <w:p>
      <w:pPr>
        <w:spacing w:line="600" w:lineRule="exact"/>
        <w:ind w:left="-19" w:leftChars="-9" w:right="-340" w:firstLine="668" w:firstLineChars="209"/>
        <w:rPr>
          <w:rFonts w:ascii="仿宋" w:hAnsi="仿宋" w:eastAsia="仿宋"/>
          <w:sz w:val="32"/>
          <w:szCs w:val="32"/>
        </w:rPr>
      </w:pPr>
      <w:r>
        <w:rPr>
          <w:rFonts w:hint="eastAsia" w:ascii="仿宋" w:hAnsi="仿宋" w:eastAsia="仿宋"/>
          <w:sz w:val="32"/>
          <w:szCs w:val="32"/>
        </w:rPr>
        <w:t>7.其他应检查的重点情况。</w:t>
      </w:r>
    </w:p>
    <w:p>
      <w:pPr>
        <w:ind w:left="-19" w:leftChars="-9" w:firstLine="671" w:firstLineChars="209"/>
        <w:rPr>
          <w:rFonts w:ascii="楷体" w:hAnsi="楷体" w:eastAsia="楷体" w:cs="楷体"/>
          <w:b/>
          <w:bCs/>
          <w:sz w:val="32"/>
          <w:szCs w:val="32"/>
        </w:rPr>
      </w:pPr>
      <w:r>
        <w:rPr>
          <w:rFonts w:hint="eastAsia" w:ascii="楷体" w:hAnsi="楷体" w:eastAsia="楷体" w:cs="楷体"/>
          <w:b/>
          <w:bCs/>
          <w:sz w:val="32"/>
          <w:szCs w:val="32"/>
        </w:rPr>
        <w:t>（二）做好检查记录</w:t>
      </w:r>
    </w:p>
    <w:p>
      <w:pPr>
        <w:ind w:left="-19" w:leftChars="-9" w:firstLine="668" w:firstLineChars="209"/>
        <w:rPr>
          <w:rFonts w:ascii="仿宋_GB2312" w:eastAsia="仿宋_GB2312"/>
          <w:sz w:val="32"/>
          <w:szCs w:val="32"/>
        </w:rPr>
      </w:pPr>
      <w:r>
        <w:rPr>
          <w:rFonts w:hint="eastAsia" w:ascii="仿宋_GB2312" w:eastAsia="仿宋_GB2312"/>
          <w:sz w:val="32"/>
          <w:szCs w:val="32"/>
        </w:rPr>
        <w:t>不论是否发现违法违规行为，均应当场填写《食品生产经营日常监督检查要点表》。对于检查中发现的问题，应当及时与检查对象相关人员进行确认。注意对检查情况进行证据留存，必要时可采取抽样检验、先行登记保存或者查封、扣押等保全措施。</w:t>
      </w:r>
    </w:p>
    <w:p>
      <w:pPr>
        <w:ind w:left="-19" w:leftChars="-9" w:firstLine="671" w:firstLineChars="209"/>
        <w:rPr>
          <w:rFonts w:ascii="楷体" w:hAnsi="楷体" w:eastAsia="楷体" w:cs="楷体"/>
          <w:b/>
          <w:bCs/>
          <w:sz w:val="32"/>
          <w:szCs w:val="32"/>
        </w:rPr>
      </w:pPr>
      <w:r>
        <w:rPr>
          <w:rFonts w:hint="eastAsia" w:ascii="楷体" w:hAnsi="楷体" w:eastAsia="楷体" w:cs="楷体"/>
          <w:b/>
          <w:bCs/>
          <w:sz w:val="32"/>
          <w:szCs w:val="32"/>
        </w:rPr>
        <w:t>（三）汇总检查情况</w:t>
      </w:r>
    </w:p>
    <w:p>
      <w:pPr>
        <w:ind w:left="-19" w:leftChars="-9" w:firstLine="668" w:firstLineChars="209"/>
        <w:rPr>
          <w:rFonts w:ascii="仿宋_GB2312" w:eastAsia="仿宋_GB2312"/>
          <w:sz w:val="32"/>
          <w:szCs w:val="32"/>
        </w:rPr>
      </w:pPr>
      <w:r>
        <w:rPr>
          <w:rFonts w:hint="eastAsia" w:ascii="仿宋_GB2312" w:eastAsia="仿宋_GB2312"/>
          <w:sz w:val="32"/>
          <w:szCs w:val="32"/>
        </w:rPr>
        <w:t>检查结束后，检查人员可要求检查对象回避，核对检查中发现的问题，汇总检查情况，讨论确定检查意见。必要时可将汇总情况向检查对象通报。</w:t>
      </w:r>
    </w:p>
    <w:p>
      <w:pPr>
        <w:ind w:left="-19" w:leftChars="-9" w:firstLine="671" w:firstLineChars="209"/>
        <w:rPr>
          <w:rFonts w:ascii="楷体" w:hAnsi="楷体" w:eastAsia="楷体" w:cs="楷体"/>
          <w:b/>
          <w:bCs/>
          <w:sz w:val="32"/>
          <w:szCs w:val="32"/>
        </w:rPr>
      </w:pPr>
      <w:r>
        <w:rPr>
          <w:rFonts w:hint="eastAsia" w:ascii="楷体" w:hAnsi="楷体" w:eastAsia="楷体" w:cs="楷体"/>
          <w:b/>
          <w:bCs/>
          <w:sz w:val="32"/>
          <w:szCs w:val="32"/>
        </w:rPr>
        <w:t>（四）整理归档</w:t>
      </w:r>
    </w:p>
    <w:p>
      <w:pPr>
        <w:ind w:left="-19" w:leftChars="-9" w:firstLine="668" w:firstLineChars="209"/>
        <w:rPr>
          <w:rFonts w:ascii="仿宋_GB2312" w:eastAsia="仿宋_GB2312"/>
          <w:sz w:val="32"/>
          <w:szCs w:val="32"/>
        </w:rPr>
      </w:pPr>
      <w:r>
        <w:rPr>
          <w:rFonts w:hint="eastAsia" w:ascii="仿宋_GB2312" w:eastAsia="仿宋_GB2312"/>
          <w:sz w:val="32"/>
          <w:szCs w:val="32"/>
        </w:rPr>
        <w:t>检查结束后，检查人员应将检查和跟踪检查中形成的材料，一并归入检查对象日常监督检查档案。</w:t>
      </w:r>
    </w:p>
    <w:p>
      <w:pPr>
        <w:ind w:left="-19" w:leftChars="-9" w:firstLine="671" w:firstLineChars="209"/>
        <w:rPr>
          <w:rFonts w:ascii="楷体" w:hAnsi="楷体" w:eastAsia="楷体" w:cs="楷体"/>
          <w:b/>
          <w:bCs/>
          <w:sz w:val="32"/>
          <w:szCs w:val="32"/>
        </w:rPr>
      </w:pPr>
      <w:r>
        <w:rPr>
          <w:rFonts w:hint="eastAsia" w:ascii="楷体" w:hAnsi="楷体" w:eastAsia="楷体" w:cs="楷体"/>
          <w:b/>
          <w:bCs/>
          <w:sz w:val="32"/>
          <w:szCs w:val="32"/>
        </w:rPr>
        <w:t>（五）问题处理</w:t>
      </w:r>
    </w:p>
    <w:p>
      <w:pPr>
        <w:ind w:left="-19" w:leftChars="-9" w:firstLine="668" w:firstLineChars="209"/>
        <w:rPr>
          <w:rFonts w:ascii="仿宋_GB2312" w:eastAsia="仿宋_GB2312"/>
          <w:sz w:val="32"/>
          <w:szCs w:val="32"/>
        </w:rPr>
      </w:pPr>
      <w:r>
        <w:rPr>
          <w:rFonts w:hint="eastAsia" w:ascii="仿宋_GB2312" w:eastAsia="仿宋_GB2312"/>
          <w:sz w:val="32"/>
          <w:szCs w:val="32"/>
        </w:rPr>
        <w:t>1.责令整改</w:t>
      </w:r>
    </w:p>
    <w:p>
      <w:pPr>
        <w:ind w:left="-19" w:leftChars="-9" w:firstLine="668" w:firstLineChars="209"/>
        <w:rPr>
          <w:rFonts w:ascii="仿宋_GB2312" w:eastAsia="仿宋_GB2312"/>
          <w:sz w:val="32"/>
          <w:szCs w:val="32"/>
        </w:rPr>
      </w:pPr>
      <w:r>
        <w:rPr>
          <w:rFonts w:hint="eastAsia" w:ascii="仿宋_GB2312" w:eastAsia="仿宋_GB2312"/>
          <w:sz w:val="32"/>
          <w:szCs w:val="32"/>
        </w:rPr>
        <w:t>对现场检查中发现的问题，需要进行整改或者监督指导的，应及时制作责令改正通知书。能立即整改的，应当场制作并送达责令改正通知书，监督检查对象完成整改；不能立即整改的，在3个工作日内制作并送达责令改正通知书，提出切实可行的整改要求和整改时限，并在整改时限届满后15日内实施跟踪检查，督促检查对象完成整改，并撰写核查验收报告。</w:t>
      </w:r>
    </w:p>
    <w:p>
      <w:pPr>
        <w:ind w:left="-19" w:leftChars="-9" w:firstLine="668" w:firstLineChars="209"/>
        <w:rPr>
          <w:rFonts w:ascii="仿宋_GB2312" w:eastAsia="仿宋_GB2312"/>
          <w:sz w:val="32"/>
          <w:szCs w:val="32"/>
        </w:rPr>
      </w:pPr>
      <w:r>
        <w:rPr>
          <w:rFonts w:hint="eastAsia" w:ascii="仿宋_GB2312" w:eastAsia="仿宋_GB2312"/>
          <w:sz w:val="32"/>
          <w:szCs w:val="32"/>
        </w:rPr>
        <w:t>2.抽样检验</w:t>
      </w:r>
    </w:p>
    <w:p>
      <w:pPr>
        <w:ind w:left="-19" w:leftChars="-9" w:firstLine="668" w:firstLineChars="209"/>
        <w:rPr>
          <w:rFonts w:ascii="仿宋_GB2312" w:eastAsia="仿宋_GB2312"/>
          <w:sz w:val="32"/>
          <w:szCs w:val="32"/>
        </w:rPr>
      </w:pPr>
      <w:r>
        <w:rPr>
          <w:rFonts w:hint="eastAsia" w:ascii="仿宋_GB2312" w:eastAsia="仿宋_GB2312"/>
          <w:sz w:val="32"/>
          <w:szCs w:val="32"/>
        </w:rPr>
        <w:t>检查发现的问题可能涉及食品质量的，检查人员应采取抽样检验的方式，对食品质量是否符合标准进行判定。检查发现的问题涉及既往生产的产品，检查人员应充分考虑该问题对既往产品的影响，并采取相应措施。</w:t>
      </w:r>
    </w:p>
    <w:p>
      <w:pPr>
        <w:ind w:left="-19" w:leftChars="-9" w:firstLine="668" w:firstLineChars="209"/>
        <w:rPr>
          <w:rFonts w:ascii="仿宋_GB2312" w:eastAsia="仿宋_GB2312"/>
          <w:sz w:val="32"/>
          <w:szCs w:val="32"/>
        </w:rPr>
      </w:pPr>
      <w:r>
        <w:rPr>
          <w:rFonts w:hint="eastAsia" w:ascii="仿宋_GB2312" w:eastAsia="仿宋_GB2312"/>
          <w:sz w:val="32"/>
          <w:szCs w:val="32"/>
        </w:rPr>
        <w:t>3.情况通报</w:t>
      </w:r>
    </w:p>
    <w:p>
      <w:pPr>
        <w:ind w:left="-19" w:leftChars="-9" w:firstLine="668" w:firstLineChars="209"/>
        <w:rPr>
          <w:rFonts w:ascii="仿宋_GB2312" w:eastAsia="仿宋_GB2312"/>
          <w:sz w:val="32"/>
          <w:szCs w:val="32"/>
        </w:rPr>
      </w:pPr>
      <w:r>
        <w:rPr>
          <w:rFonts w:hint="eastAsia" w:ascii="仿宋_GB2312" w:eastAsia="仿宋_GB2312"/>
          <w:sz w:val="32"/>
          <w:szCs w:val="32"/>
        </w:rPr>
        <w:t>检查对象出现的违法违规行为涉及在审项目的，检查单位应及时将相关情况通报相关审查单位。</w:t>
      </w:r>
    </w:p>
    <w:p>
      <w:pPr>
        <w:ind w:left="-19" w:leftChars="-9" w:firstLine="668" w:firstLineChars="209"/>
        <w:rPr>
          <w:rFonts w:ascii="仿宋_GB2312" w:eastAsia="仿宋_GB2312"/>
          <w:sz w:val="32"/>
          <w:szCs w:val="32"/>
        </w:rPr>
      </w:pPr>
      <w:r>
        <w:rPr>
          <w:rFonts w:hint="eastAsia" w:ascii="仿宋_GB2312" w:eastAsia="仿宋_GB2312"/>
          <w:sz w:val="32"/>
          <w:szCs w:val="32"/>
        </w:rPr>
        <w:t>4.违法行为查处</w:t>
      </w:r>
    </w:p>
    <w:p>
      <w:pPr>
        <w:ind w:left="-19" w:leftChars="-9" w:firstLine="668" w:firstLineChars="209"/>
        <w:rPr>
          <w:rFonts w:ascii="仿宋_GB2312" w:eastAsia="仿宋_GB2312"/>
          <w:sz w:val="32"/>
          <w:szCs w:val="32"/>
        </w:rPr>
      </w:pPr>
      <w:r>
        <w:rPr>
          <w:rFonts w:hint="eastAsia" w:ascii="仿宋_GB2312" w:eastAsia="仿宋_GB2312"/>
          <w:sz w:val="32"/>
          <w:szCs w:val="32"/>
        </w:rPr>
        <w:t>涉嫌违法需要予以行政处罚的，应当制作检查笔录，及时搜集有关证据，并依法查处。</w:t>
      </w:r>
    </w:p>
    <w:p>
      <w:pPr>
        <w:ind w:left="-19" w:leftChars="-9" w:firstLine="668" w:firstLineChars="209"/>
        <w:rPr>
          <w:rFonts w:ascii="仿宋_GB2312" w:eastAsia="仿宋_GB2312"/>
          <w:sz w:val="32"/>
          <w:szCs w:val="32"/>
        </w:rPr>
      </w:pPr>
      <w:r>
        <w:rPr>
          <w:rFonts w:hint="eastAsia" w:ascii="仿宋_GB2312" w:eastAsia="仿宋_GB2312"/>
          <w:sz w:val="32"/>
          <w:szCs w:val="32"/>
        </w:rPr>
        <w:t>5.其他处理</w:t>
      </w:r>
    </w:p>
    <w:p>
      <w:pPr>
        <w:ind w:left="-19" w:leftChars="-9" w:firstLine="668" w:firstLineChars="209"/>
        <w:rPr>
          <w:rFonts w:ascii="仿宋_GB2312" w:eastAsia="仿宋_GB2312"/>
          <w:sz w:val="32"/>
          <w:szCs w:val="32"/>
        </w:rPr>
      </w:pPr>
      <w:r>
        <w:rPr>
          <w:rFonts w:hint="eastAsia" w:ascii="仿宋_GB2312" w:eastAsia="仿宋_GB2312"/>
          <w:sz w:val="32"/>
          <w:szCs w:val="32"/>
        </w:rPr>
        <w:t>现场检查结束后，对于检查中发现的问题，检查单位在后续监管中可综合采取以下措施：</w:t>
      </w:r>
    </w:p>
    <w:p>
      <w:pPr>
        <w:ind w:left="-19" w:leftChars="-9" w:firstLine="668" w:firstLineChars="209"/>
        <w:rPr>
          <w:rFonts w:ascii="仿宋_GB2312" w:eastAsia="仿宋_GB2312"/>
          <w:sz w:val="32"/>
          <w:szCs w:val="32"/>
        </w:rPr>
      </w:pPr>
      <w:r>
        <w:rPr>
          <w:rFonts w:hint="eastAsia" w:ascii="仿宋_GB2312" w:eastAsia="仿宋_GB2312"/>
          <w:sz w:val="32"/>
          <w:szCs w:val="32"/>
        </w:rPr>
        <w:t>（1）要求检查对象加强产品自检，或者要求检查对象将产品送市场监管部门认可的第三方检测机构检测；</w:t>
      </w:r>
    </w:p>
    <w:p>
      <w:pPr>
        <w:ind w:left="-19" w:leftChars="-9" w:firstLine="668" w:firstLineChars="209"/>
        <w:rPr>
          <w:rFonts w:ascii="仿宋_GB2312" w:eastAsia="仿宋_GB2312"/>
          <w:sz w:val="32"/>
          <w:szCs w:val="32"/>
        </w:rPr>
      </w:pPr>
      <w:r>
        <w:rPr>
          <w:rFonts w:hint="eastAsia" w:ascii="仿宋_GB2312" w:eastAsia="仿宋_GB2312"/>
          <w:sz w:val="32"/>
          <w:szCs w:val="32"/>
        </w:rPr>
        <w:t>（2）列为重点监管名单，增加监督检查（突击检查）频次或者增加抽样检验次数；</w:t>
      </w:r>
    </w:p>
    <w:p>
      <w:pPr>
        <w:ind w:left="-19" w:leftChars="-9" w:firstLine="668" w:firstLineChars="209"/>
        <w:rPr>
          <w:rFonts w:ascii="仿宋_GB2312" w:eastAsia="仿宋_GB2312"/>
          <w:sz w:val="32"/>
          <w:szCs w:val="32"/>
        </w:rPr>
      </w:pPr>
      <w:r>
        <w:rPr>
          <w:rFonts w:hint="eastAsia" w:ascii="仿宋_GB2312" w:eastAsia="仿宋_GB2312"/>
          <w:sz w:val="32"/>
          <w:szCs w:val="32"/>
        </w:rPr>
        <w:t>（3）要求检查对象定期汇报质量管理情况；</w:t>
      </w:r>
    </w:p>
    <w:p>
      <w:pPr>
        <w:ind w:left="-19" w:leftChars="-9" w:firstLine="668" w:firstLineChars="209"/>
        <w:rPr>
          <w:rFonts w:ascii="仿宋_GB2312" w:eastAsia="仿宋_GB2312"/>
          <w:sz w:val="32"/>
          <w:szCs w:val="32"/>
        </w:rPr>
      </w:pPr>
      <w:r>
        <w:rPr>
          <w:rFonts w:hint="eastAsia" w:ascii="仿宋_GB2312" w:eastAsia="仿宋_GB2312"/>
          <w:sz w:val="32"/>
          <w:szCs w:val="32"/>
        </w:rPr>
        <w:t>（4）约谈负责人；</w:t>
      </w:r>
    </w:p>
    <w:p>
      <w:pPr>
        <w:ind w:left="-19" w:leftChars="-9" w:firstLine="668" w:firstLineChars="209"/>
        <w:rPr>
          <w:rFonts w:ascii="仿宋_GB2312" w:eastAsia="仿宋_GB2312"/>
          <w:sz w:val="32"/>
          <w:szCs w:val="32"/>
        </w:rPr>
      </w:pPr>
      <w:r>
        <w:rPr>
          <w:rFonts w:hint="eastAsia" w:ascii="仿宋_GB2312" w:eastAsia="仿宋_GB2312"/>
          <w:sz w:val="32"/>
          <w:szCs w:val="32"/>
        </w:rPr>
        <w:t>（5）视情形在一定范围内通报；</w:t>
      </w:r>
    </w:p>
    <w:p>
      <w:pPr>
        <w:ind w:left="-19" w:leftChars="-9" w:firstLine="668" w:firstLineChars="209"/>
        <w:rPr>
          <w:rFonts w:ascii="仿宋_GB2312" w:eastAsia="仿宋_GB2312"/>
          <w:sz w:val="32"/>
          <w:szCs w:val="32"/>
        </w:rPr>
      </w:pPr>
      <w:r>
        <w:rPr>
          <w:rFonts w:hint="eastAsia" w:ascii="仿宋_GB2312" w:eastAsia="仿宋_GB2312"/>
          <w:sz w:val="32"/>
          <w:szCs w:val="32"/>
        </w:rPr>
        <w:t>（6）纳入食品安全“黑名单”。</w:t>
      </w:r>
    </w:p>
    <w:p>
      <w:pPr>
        <w:ind w:left="-19" w:leftChars="-9" w:firstLine="668" w:firstLineChars="209"/>
        <w:rPr>
          <w:rFonts w:ascii="黑体" w:hAnsi="黑体" w:eastAsia="黑体" w:cs="黑体"/>
          <w:sz w:val="32"/>
          <w:szCs w:val="32"/>
        </w:rPr>
      </w:pPr>
      <w:r>
        <w:rPr>
          <w:rFonts w:hint="eastAsia" w:ascii="黑体" w:hAnsi="黑体" w:eastAsia="黑体" w:cs="黑体"/>
          <w:sz w:val="32"/>
          <w:szCs w:val="32"/>
        </w:rPr>
        <w:t>六、工作要求</w:t>
      </w:r>
    </w:p>
    <w:p>
      <w:pPr>
        <w:ind w:left="-19" w:leftChars="-9" w:firstLine="668" w:firstLineChars="209"/>
        <w:rPr>
          <w:rFonts w:ascii="仿宋_GB2312" w:eastAsia="仿宋_GB2312"/>
          <w:sz w:val="32"/>
          <w:szCs w:val="32"/>
        </w:rPr>
      </w:pPr>
      <w:r>
        <w:rPr>
          <w:rFonts w:hint="eastAsia" w:ascii="仿宋_GB2312" w:eastAsia="仿宋_GB2312"/>
          <w:sz w:val="32"/>
          <w:szCs w:val="32"/>
        </w:rPr>
        <w:t>（一）严格落实责任。各监管所要按照《2021年度食品生产环节检查工作计划》的要求，将生产经营过程监管和日常监督检查作为保障食品安全重点工作，按照网格化监管要求，将工作任务和责任分解到人，做到人员到位、检查环节到位、检查文书到位、督促整改到位、处罚措施到位。</w:t>
      </w:r>
    </w:p>
    <w:p>
      <w:pPr>
        <w:ind w:left="-19" w:leftChars="-9" w:firstLine="668" w:firstLineChars="209"/>
        <w:rPr>
          <w:rFonts w:ascii="仿宋_GB2312" w:eastAsia="仿宋_GB2312"/>
          <w:sz w:val="32"/>
          <w:szCs w:val="32"/>
        </w:rPr>
      </w:pPr>
      <w:r>
        <w:rPr>
          <w:rFonts w:hint="eastAsia" w:ascii="仿宋_GB2312" w:eastAsia="仿宋_GB2312"/>
          <w:sz w:val="32"/>
          <w:szCs w:val="32"/>
        </w:rPr>
        <w:t>（二）加强队伍建设。执法人员要严格遵守执法程序和执法保密制度，检查中要坚持文明执法，使用文明用语，减少与执法对象和群众的矛盾激化，树立食药人文明执法的精神风貌，监管期间要严格遵守区纪委和食药系统作风建设相关规定，严厉杜绝吃拿卡要，保持良好的工作作风。</w:t>
      </w:r>
    </w:p>
    <w:p>
      <w:pPr>
        <w:ind w:left="-19" w:leftChars="-9" w:firstLine="668" w:firstLineChars="209"/>
        <w:rPr>
          <w:rFonts w:ascii="仿宋_GB2312" w:eastAsia="仿宋_GB2312"/>
          <w:sz w:val="32"/>
          <w:szCs w:val="32"/>
        </w:rPr>
      </w:pPr>
      <w:r>
        <w:rPr>
          <w:rFonts w:hint="eastAsia" w:ascii="仿宋_GB2312" w:eastAsia="仿宋_GB2312"/>
          <w:sz w:val="32"/>
          <w:szCs w:val="32"/>
        </w:rPr>
        <w:t>（三）加强工作督查。要加强对食品生产企业安全监管的督导检查，确保各项工作落到实处。对责任不落实、监管不作为、情况不报告、问题不解决、敷衍塞责的部门和工作人员，要严肃追究责任。</w:t>
      </w:r>
    </w:p>
    <w:p>
      <w:pPr>
        <w:ind w:left="-19" w:leftChars="-9" w:firstLine="668" w:firstLineChars="209"/>
        <w:rPr>
          <w:rFonts w:ascii="仿宋_GB2312" w:eastAsia="仿宋_GB2312"/>
          <w:sz w:val="32"/>
          <w:szCs w:val="32"/>
        </w:rPr>
      </w:pPr>
      <w:r>
        <w:rPr>
          <w:rFonts w:hint="eastAsia" w:ascii="仿宋_GB2312" w:eastAsia="仿宋_GB2312"/>
          <w:sz w:val="32"/>
          <w:szCs w:val="32"/>
        </w:rPr>
        <w:t>（四）加强信息报送。各监管所要注意总结经验做法，分析辖区生产企业食品安全风险，至少每半年（2021年6月10日前和2021年12月10日前）向食品生产股报送一次相关工作情况。</w:t>
      </w:r>
    </w:p>
    <w:p>
      <w:pPr>
        <w:spacing w:line="600" w:lineRule="exact"/>
        <w:ind w:left="-283" w:right="-340" w:firstLine="960" w:firstLineChars="300"/>
        <w:rPr>
          <w:rFonts w:ascii="仿宋" w:hAnsi="仿宋" w:eastAsia="仿宋"/>
          <w:sz w:val="32"/>
          <w:szCs w:val="32"/>
        </w:rPr>
      </w:pPr>
    </w:p>
    <w:p>
      <w:pPr>
        <w:spacing w:line="600" w:lineRule="exact"/>
        <w:ind w:left="-283" w:right="-340" w:firstLine="960" w:firstLineChars="300"/>
        <w:rPr>
          <w:rFonts w:ascii="仿宋" w:hAnsi="仿宋" w:eastAsia="仿宋"/>
          <w:sz w:val="32"/>
          <w:szCs w:val="32"/>
        </w:rPr>
      </w:pPr>
      <w:r>
        <w:rPr>
          <w:rFonts w:hint="eastAsia" w:ascii="仿宋" w:hAnsi="仿宋" w:eastAsia="仿宋"/>
          <w:sz w:val="32"/>
          <w:szCs w:val="32"/>
        </w:rPr>
        <w:t>联 系 人：杨琳</w:t>
      </w:r>
    </w:p>
    <w:p>
      <w:pPr>
        <w:ind w:firstLine="640" w:firstLineChars="200"/>
        <w:rPr>
          <w:rFonts w:ascii="仿宋" w:hAnsi="仿宋" w:eastAsia="仿宋"/>
          <w:sz w:val="32"/>
          <w:szCs w:val="32"/>
        </w:rPr>
      </w:pPr>
      <w:r>
        <w:rPr>
          <w:rFonts w:hint="eastAsia" w:ascii="仿宋" w:hAnsi="仿宋" w:eastAsia="仿宋"/>
          <w:sz w:val="32"/>
          <w:szCs w:val="32"/>
        </w:rPr>
        <w:t>联系电话：2826237</w:t>
      </w:r>
    </w:p>
    <w:p>
      <w:pPr>
        <w:rPr>
          <w:rFonts w:ascii="仿宋_GB2312" w:eastAsia="仿宋_GB2312"/>
          <w:sz w:val="32"/>
          <w:szCs w:val="32"/>
        </w:rPr>
      </w:pPr>
      <w:r>
        <w:rPr>
          <w:rFonts w:hint="eastAsia" w:ascii="仿宋" w:hAnsi="仿宋" w:eastAsia="仿宋"/>
          <w:sz w:val="32"/>
          <w:szCs w:val="32"/>
        </w:rPr>
        <w:t>附件：1、2021年度食品生产企业</w:t>
      </w:r>
      <w:r>
        <w:rPr>
          <w:rFonts w:hint="eastAsia" w:ascii="仿宋_GB2312" w:eastAsia="仿宋_GB2312"/>
          <w:sz w:val="32"/>
          <w:szCs w:val="32"/>
        </w:rPr>
        <w:t>检查计划安排表；</w:t>
      </w:r>
    </w:p>
    <w:p>
      <w:pPr>
        <w:ind w:firstLine="960" w:firstLineChars="300"/>
        <w:rPr>
          <w:rFonts w:ascii="仿宋_GB2312" w:eastAsia="仿宋_GB2312"/>
          <w:sz w:val="32"/>
          <w:szCs w:val="32"/>
        </w:rPr>
      </w:pPr>
      <w:r>
        <w:rPr>
          <w:rFonts w:hint="eastAsia" w:ascii="仿宋_GB2312" w:eastAsia="仿宋_GB2312"/>
          <w:sz w:val="32"/>
          <w:szCs w:val="32"/>
        </w:rPr>
        <w:t>2、2021年食品加工小作坊日常检查计划；</w:t>
      </w:r>
    </w:p>
    <w:p>
      <w:pPr>
        <w:numPr>
          <w:ilvl w:val="0"/>
          <w:numId w:val="2"/>
        </w:numPr>
        <w:ind w:firstLine="960" w:firstLineChars="300"/>
        <w:rPr>
          <w:rFonts w:ascii="仿宋_GB2312" w:eastAsia="仿宋_GB2312"/>
          <w:sz w:val="32"/>
          <w:szCs w:val="32"/>
        </w:rPr>
      </w:pPr>
      <w:r>
        <w:rPr>
          <w:rFonts w:hint="eastAsia" w:ascii="仿宋_GB2312" w:eastAsia="仿宋_GB2312"/>
          <w:sz w:val="32"/>
          <w:szCs w:val="32"/>
        </w:rPr>
        <w:t>食品生产日常监督检查要点表；</w:t>
      </w:r>
    </w:p>
    <w:p>
      <w:pPr>
        <w:numPr>
          <w:ilvl w:val="0"/>
          <w:numId w:val="2"/>
        </w:numPr>
        <w:ind w:firstLine="960" w:firstLineChars="300"/>
        <w:rPr>
          <w:rFonts w:ascii="仿宋_GB2312" w:eastAsia="仿宋_GB2312"/>
          <w:sz w:val="32"/>
          <w:szCs w:val="32"/>
        </w:rPr>
      </w:pPr>
      <w:r>
        <w:rPr>
          <w:rFonts w:hint="eastAsia" w:ascii="仿宋_GB2312" w:eastAsia="仿宋_GB2312"/>
          <w:sz w:val="32"/>
          <w:szCs w:val="32"/>
        </w:rPr>
        <w:t>食品生产日常监督检查结果记录表。</w:t>
      </w:r>
    </w:p>
    <w:p>
      <w:pPr>
        <w:spacing w:line="600" w:lineRule="exact"/>
        <w:ind w:right="-340"/>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600" w:lineRule="exact"/>
        <w:ind w:right="-340"/>
        <w:rPr>
          <w:rFonts w:ascii="仿宋" w:hAnsi="仿宋" w:eastAsia="仿宋"/>
          <w:sz w:val="32"/>
          <w:szCs w:val="32"/>
        </w:rPr>
      </w:pPr>
    </w:p>
    <w:p>
      <w:pPr>
        <w:spacing w:line="600" w:lineRule="exact"/>
        <w:ind w:left="-283" w:right="-340" w:firstLine="960" w:firstLineChars="300"/>
        <w:rPr>
          <w:rFonts w:ascii="仿宋" w:hAnsi="仿宋" w:eastAsia="仿宋"/>
          <w:sz w:val="32"/>
          <w:szCs w:val="32"/>
        </w:rPr>
      </w:pPr>
    </w:p>
    <w:p>
      <w:pPr>
        <w:rPr>
          <w:sz w:val="32"/>
          <w:szCs w:val="32"/>
        </w:rPr>
      </w:pPr>
    </w:p>
    <w:p>
      <w:pPr>
        <w:rPr>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adjustRightInd w:val="0"/>
        <w:snapToGrid w:val="0"/>
        <w:spacing w:line="580" w:lineRule="exact"/>
        <w:jc w:val="center"/>
        <w:rPr>
          <w:rFonts w:ascii="方正小标宋简体" w:eastAsia="方正小标宋简体"/>
          <w:sz w:val="44"/>
          <w:szCs w:val="36"/>
        </w:rPr>
      </w:pPr>
      <w:r>
        <w:rPr>
          <w:rFonts w:hint="eastAsia" w:ascii="方正小标宋简体" w:eastAsia="方正小标宋简体"/>
          <w:sz w:val="44"/>
          <w:szCs w:val="36"/>
        </w:rPr>
        <w:t>食品生产日常监督检查要点表</w:t>
      </w:r>
    </w:p>
    <w:p>
      <w:pPr>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告知页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6" w:hRule="atLeast"/>
          <w:jc w:val="center"/>
        </w:trPr>
        <w:tc>
          <w:tcPr>
            <w:tcW w:w="14283" w:type="dxa"/>
            <w:shd w:val="clear" w:color="auto" w:fill="auto"/>
          </w:tcPr>
          <w:p>
            <w:pPr>
              <w:widowControl/>
              <w:adjustRightInd w:val="0"/>
              <w:snapToGrid w:val="0"/>
              <w:spacing w:line="400" w:lineRule="exact"/>
              <w:jc w:val="left"/>
              <w:rPr>
                <w:rFonts w:ascii="宋体" w:hAnsi="宋体"/>
                <w:kern w:val="0"/>
                <w:sz w:val="24"/>
              </w:rPr>
            </w:pPr>
          </w:p>
          <w:p>
            <w:pPr>
              <w:widowControl/>
              <w:adjustRightInd w:val="0"/>
              <w:snapToGrid w:val="0"/>
              <w:spacing w:line="400" w:lineRule="exact"/>
              <w:jc w:val="left"/>
              <w:rPr>
                <w:rFonts w:ascii="宋体" w:hAnsi="宋体"/>
                <w:kern w:val="0"/>
                <w:sz w:val="24"/>
                <w:u w:val="single"/>
              </w:rPr>
            </w:pPr>
            <w:r>
              <w:rPr>
                <w:rFonts w:hint="eastAsia" w:ascii="宋体" w:hAnsi="宋体"/>
                <w:kern w:val="0"/>
                <w:sz w:val="24"/>
              </w:rPr>
              <w:t>被检查单位：                                                       地址：</w:t>
            </w:r>
          </w:p>
          <w:p>
            <w:pPr>
              <w:widowControl/>
              <w:adjustRightInd w:val="0"/>
              <w:snapToGrid w:val="0"/>
              <w:spacing w:line="400" w:lineRule="exact"/>
              <w:jc w:val="left"/>
              <w:rPr>
                <w:rFonts w:ascii="宋体" w:hAnsi="宋体"/>
                <w:kern w:val="0"/>
                <w:sz w:val="24"/>
                <w:u w:val="single"/>
              </w:rPr>
            </w:pPr>
            <w:r>
              <w:rPr>
                <w:rFonts w:hint="eastAsia" w:ascii="宋体" w:hAnsi="宋体"/>
                <w:kern w:val="0"/>
                <w:sz w:val="24"/>
              </w:rPr>
              <w:t>检查人员及执法证件名称、编号：1.                                     2.</w:t>
            </w:r>
          </w:p>
          <w:p>
            <w:pPr>
              <w:widowControl/>
              <w:adjustRightInd w:val="0"/>
              <w:snapToGrid w:val="0"/>
              <w:spacing w:line="400" w:lineRule="exact"/>
              <w:jc w:val="left"/>
              <w:rPr>
                <w:rFonts w:ascii="宋体" w:hAnsi="宋体"/>
                <w:kern w:val="0"/>
                <w:sz w:val="24"/>
              </w:rPr>
            </w:pPr>
            <w:r>
              <w:rPr>
                <w:rFonts w:hint="eastAsia" w:ascii="宋体" w:hAnsi="宋体"/>
                <w:kern w:val="0"/>
                <w:sz w:val="24"/>
              </w:rPr>
              <w:t>检查时间：     年    月    日</w:t>
            </w:r>
          </w:p>
          <w:p>
            <w:pPr>
              <w:widowControl/>
              <w:adjustRightInd w:val="0"/>
              <w:snapToGrid w:val="0"/>
              <w:spacing w:line="400" w:lineRule="exact"/>
              <w:jc w:val="left"/>
              <w:rPr>
                <w:rFonts w:ascii="宋体" w:hAnsi="宋体"/>
                <w:kern w:val="0"/>
                <w:sz w:val="24"/>
                <w:u w:val="single"/>
              </w:rPr>
            </w:pPr>
            <w:r>
              <w:rPr>
                <w:rFonts w:hint="eastAsia" w:ascii="宋体" w:hAnsi="宋体"/>
                <w:kern w:val="0"/>
                <w:sz w:val="24"/>
              </w:rPr>
              <w:t>检查地点：</w:t>
            </w:r>
          </w:p>
          <w:p>
            <w:pPr>
              <w:widowControl/>
              <w:adjustRightInd w:val="0"/>
              <w:snapToGrid w:val="0"/>
              <w:spacing w:line="400" w:lineRule="exact"/>
              <w:jc w:val="left"/>
              <w:rPr>
                <w:rFonts w:ascii="宋体" w:hAnsi="宋体"/>
                <w:kern w:val="0"/>
                <w:sz w:val="24"/>
              </w:rPr>
            </w:pPr>
            <w:r>
              <w:rPr>
                <w:rFonts w:hint="eastAsia" w:ascii="宋体" w:hAnsi="宋体"/>
                <w:kern w:val="0"/>
                <w:sz w:val="24"/>
              </w:rPr>
              <w:t>告知事项：</w:t>
            </w:r>
          </w:p>
          <w:p>
            <w:pPr>
              <w:widowControl/>
              <w:adjustRightInd w:val="0"/>
              <w:snapToGrid w:val="0"/>
              <w:spacing w:line="400" w:lineRule="exact"/>
              <w:ind w:firstLine="480" w:firstLineChars="200"/>
              <w:jc w:val="left"/>
              <w:rPr>
                <w:rFonts w:ascii="宋体" w:hAnsi="宋体"/>
                <w:bCs/>
                <w:sz w:val="24"/>
              </w:rPr>
            </w:pPr>
            <w:r>
              <w:rPr>
                <w:rFonts w:hint="eastAsia" w:ascii="宋体" w:hAnsi="宋体"/>
                <w:kern w:val="0"/>
                <w:sz w:val="24"/>
              </w:rPr>
              <w:t>我们是新乡市牧野区市场监督管理局的监督检查人员，</w:t>
            </w:r>
            <w:r>
              <w:rPr>
                <w:rFonts w:hint="eastAsia" w:ascii="宋体" w:hAnsi="宋体"/>
                <w:bCs/>
                <w:sz w:val="24"/>
              </w:rPr>
              <w:t>现出示</w:t>
            </w:r>
            <w:r>
              <w:rPr>
                <w:rFonts w:hint="eastAsia" w:ascii="宋体" w:hAnsi="宋体"/>
                <w:kern w:val="0"/>
                <w:sz w:val="24"/>
              </w:rPr>
              <w:t>执法证件。</w:t>
            </w:r>
            <w:r>
              <w:rPr>
                <w:rFonts w:hint="eastAsia" w:ascii="宋体" w:hAnsi="宋体"/>
                <w:bCs/>
                <w:sz w:val="24"/>
              </w:rPr>
              <w:t>我们依法对你（单位）进行日常监督检查，请予配合。</w:t>
            </w:r>
          </w:p>
          <w:p>
            <w:pPr>
              <w:widowControl/>
              <w:adjustRightInd w:val="0"/>
              <w:snapToGrid w:val="0"/>
              <w:spacing w:line="400" w:lineRule="exact"/>
              <w:ind w:firstLine="480" w:firstLineChars="200"/>
              <w:jc w:val="left"/>
              <w:rPr>
                <w:rFonts w:ascii="宋体" w:hAnsi="宋体"/>
                <w:bCs/>
                <w:sz w:val="24"/>
              </w:rPr>
            </w:pPr>
            <w:r>
              <w:rPr>
                <w:rFonts w:hint="eastAsia" w:ascii="宋体" w:hAnsi="宋体"/>
                <w:sz w:val="24"/>
              </w:rPr>
              <w:t>依照法律规定，监督检查</w:t>
            </w:r>
            <w:r>
              <w:rPr>
                <w:rFonts w:hint="eastAsia" w:ascii="宋体" w:hAnsi="宋体"/>
                <w:kern w:val="0"/>
                <w:sz w:val="24"/>
              </w:rPr>
              <w:t>人员少于两人或者所出示的执法证件与其身份不符的，</w:t>
            </w:r>
            <w:r>
              <w:rPr>
                <w:rFonts w:hint="eastAsia" w:ascii="宋体" w:hAnsi="宋体"/>
                <w:sz w:val="24"/>
              </w:rPr>
              <w:t>你（单位）</w:t>
            </w:r>
            <w:r>
              <w:rPr>
                <w:rFonts w:hint="eastAsia" w:ascii="宋体" w:hAnsi="宋体"/>
                <w:kern w:val="0"/>
                <w:sz w:val="24"/>
              </w:rPr>
              <w:t>有权拒绝检查；</w:t>
            </w:r>
            <w:r>
              <w:rPr>
                <w:rFonts w:hint="eastAsia" w:ascii="宋体" w:hAnsi="宋体"/>
                <w:sz w:val="24"/>
              </w:rPr>
              <w:t>对于监督检查人员有下列情形之一的，你（单位）有权申请回避：（1）系当事人或当事人的近亲属；（2）与本人或本人近亲属有利害关系；（3）与当事人有其他关系，可能影响公正执法的</w:t>
            </w:r>
            <w:r>
              <w:rPr>
                <w:rFonts w:hint="eastAsia" w:ascii="宋体" w:hAnsi="宋体"/>
                <w:kern w:val="0"/>
                <w:sz w:val="24"/>
              </w:rPr>
              <w:t>。</w:t>
            </w:r>
          </w:p>
          <w:p>
            <w:pPr>
              <w:widowControl/>
              <w:adjustRightInd w:val="0"/>
              <w:snapToGrid w:val="0"/>
              <w:spacing w:line="400" w:lineRule="exact"/>
              <w:ind w:firstLine="480" w:firstLineChars="200"/>
              <w:jc w:val="left"/>
              <w:rPr>
                <w:rFonts w:ascii="宋体" w:hAnsi="宋体" w:cs="宋体"/>
                <w:bCs/>
                <w:kern w:val="0"/>
                <w:sz w:val="24"/>
              </w:rPr>
            </w:pPr>
            <w:r>
              <w:rPr>
                <w:rFonts w:hint="eastAsia" w:ascii="宋体" w:hAnsi="宋体" w:cs="宋体"/>
                <w:bCs/>
                <w:kern w:val="0"/>
                <w:sz w:val="24"/>
              </w:rPr>
              <w:t>问：你（单位）是否申请回避？</w:t>
            </w:r>
          </w:p>
          <w:p>
            <w:pPr>
              <w:widowControl/>
              <w:adjustRightInd w:val="0"/>
              <w:snapToGrid w:val="0"/>
              <w:spacing w:line="400" w:lineRule="exact"/>
              <w:ind w:firstLine="480" w:firstLineChars="200"/>
              <w:jc w:val="left"/>
              <w:rPr>
                <w:rFonts w:ascii="宋体" w:hAnsi="宋体" w:cs="宋体"/>
                <w:bCs/>
                <w:kern w:val="0"/>
                <w:sz w:val="24"/>
              </w:rPr>
            </w:pPr>
            <w:r>
              <w:rPr>
                <w:rFonts w:hint="eastAsia" w:ascii="宋体" w:hAnsi="宋体" w:cs="宋体"/>
                <w:bCs/>
                <w:kern w:val="0"/>
                <w:sz w:val="24"/>
              </w:rPr>
              <w:t>答：</w:t>
            </w:r>
          </w:p>
          <w:p>
            <w:pPr>
              <w:tabs>
                <w:tab w:val="left" w:pos="795"/>
              </w:tabs>
              <w:adjustRightInd w:val="0"/>
              <w:snapToGrid w:val="0"/>
              <w:spacing w:line="400" w:lineRule="exact"/>
              <w:rPr>
                <w:rFonts w:ascii="Calibri" w:hAnsi="Calibri"/>
              </w:rPr>
            </w:pPr>
            <w:r>
              <w:rPr>
                <w:rFonts w:hint="eastAsia" w:ascii="Calibri" w:hAnsi="Calibri"/>
              </w:rPr>
              <w:t>被检查单位签字：                                                                   检查人员签字：</w:t>
            </w:r>
          </w:p>
          <w:p>
            <w:pPr>
              <w:widowControl/>
              <w:adjustRightInd w:val="0"/>
              <w:snapToGrid w:val="0"/>
              <w:spacing w:line="400" w:lineRule="exact"/>
              <w:jc w:val="left"/>
              <w:rPr>
                <w:rFonts w:ascii="宋体" w:hAnsi="宋体"/>
                <w:kern w:val="0"/>
                <w:sz w:val="24"/>
              </w:rPr>
            </w:pPr>
            <w:r>
              <w:rPr>
                <w:rFonts w:hint="eastAsia" w:ascii="宋体" w:hAnsi="宋体"/>
                <w:kern w:val="0"/>
                <w:sz w:val="24"/>
              </w:rPr>
              <w:t xml:space="preserve">       年    月    日                                                                      年    月    日</w:t>
            </w:r>
          </w:p>
        </w:tc>
      </w:tr>
    </w:tbl>
    <w:p>
      <w:pPr>
        <w:adjustRightInd w:val="0"/>
        <w:snapToGrid w:val="0"/>
        <w:spacing w:line="320" w:lineRule="exact"/>
        <w:ind w:firstLine="560" w:firstLineChars="200"/>
        <w:rPr>
          <w:rFonts w:eastAsia="楷体_GB2312"/>
          <w:sz w:val="28"/>
          <w:szCs w:val="28"/>
        </w:rPr>
      </w:pPr>
      <w:r>
        <w:rPr>
          <w:rFonts w:hint="eastAsia" w:eastAsia="楷体_GB2312"/>
          <w:sz w:val="28"/>
          <w:szCs w:val="28"/>
        </w:rPr>
        <w:t>食品通用检查项目：重点项</w:t>
      </w:r>
      <w:r>
        <w:rPr>
          <w:rFonts w:eastAsia="楷体_GB2312"/>
          <w:sz w:val="28"/>
          <w:szCs w:val="28"/>
        </w:rPr>
        <w:t>（*）2</w:t>
      </w:r>
      <w:r>
        <w:rPr>
          <w:rFonts w:hint="eastAsia" w:eastAsia="楷体_GB2312"/>
          <w:sz w:val="28"/>
          <w:szCs w:val="28"/>
        </w:rPr>
        <w:t>1项，一般项30项，共51项。</w:t>
      </w:r>
    </w:p>
    <w:p>
      <w:pPr>
        <w:adjustRightInd w:val="0"/>
        <w:snapToGrid w:val="0"/>
        <w:spacing w:line="320" w:lineRule="exact"/>
        <w:ind w:firstLine="560" w:firstLineChars="200"/>
        <w:rPr>
          <w:rFonts w:eastAsia="楷体_GB2312"/>
          <w:sz w:val="28"/>
          <w:szCs w:val="28"/>
        </w:rPr>
      </w:pPr>
      <w:r>
        <w:rPr>
          <w:rFonts w:hint="eastAsia" w:eastAsia="楷体_GB2312"/>
          <w:sz w:val="28"/>
          <w:szCs w:val="28"/>
        </w:rPr>
        <w:t>食品添加剂通用检查项目：重点项</w:t>
      </w:r>
      <w:r>
        <w:rPr>
          <w:rFonts w:eastAsia="楷体_GB2312"/>
          <w:sz w:val="28"/>
          <w:szCs w:val="28"/>
        </w:rPr>
        <w:t>（*）</w:t>
      </w:r>
      <w:r>
        <w:rPr>
          <w:rFonts w:hint="eastAsia" w:eastAsia="楷体_GB2312"/>
          <w:sz w:val="28"/>
          <w:szCs w:val="28"/>
        </w:rPr>
        <w:t>19项，一般项31项，共50项。</w:t>
      </w:r>
    </w:p>
    <w:tbl>
      <w:tblPr>
        <w:tblStyle w:val="4"/>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1203"/>
        <w:gridCol w:w="7589"/>
        <w:gridCol w:w="1246"/>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758" w:type="pct"/>
            <w:vAlign w:val="center"/>
          </w:tcPr>
          <w:p>
            <w:pPr>
              <w:widowControl/>
              <w:adjustRightInd w:val="0"/>
              <w:snapToGrid w:val="0"/>
              <w:spacing w:line="320" w:lineRule="exact"/>
              <w:jc w:val="center"/>
              <w:rPr>
                <w:rFonts w:ascii="黑体" w:hAnsi="黑体" w:eastAsia="黑体"/>
                <w:bCs/>
                <w:kern w:val="0"/>
                <w:sz w:val="24"/>
              </w:rPr>
            </w:pPr>
            <w:r>
              <w:rPr>
                <w:rFonts w:hint="eastAsia" w:ascii="黑体" w:hAnsi="黑体" w:eastAsia="黑体"/>
                <w:bCs/>
                <w:kern w:val="0"/>
                <w:sz w:val="24"/>
              </w:rPr>
              <w:t>检查项目</w:t>
            </w:r>
          </w:p>
        </w:tc>
        <w:tc>
          <w:tcPr>
            <w:tcW w:w="421" w:type="pct"/>
            <w:vAlign w:val="center"/>
          </w:tcPr>
          <w:p>
            <w:pPr>
              <w:widowControl/>
              <w:adjustRightInd w:val="0"/>
              <w:snapToGrid w:val="0"/>
              <w:spacing w:line="320" w:lineRule="exact"/>
              <w:jc w:val="center"/>
              <w:rPr>
                <w:rFonts w:ascii="黑体" w:hAnsi="黑体" w:eastAsia="黑体"/>
                <w:bCs/>
                <w:kern w:val="0"/>
                <w:sz w:val="24"/>
              </w:rPr>
            </w:pPr>
            <w:r>
              <w:rPr>
                <w:rFonts w:hint="eastAsia" w:ascii="黑体" w:hAnsi="黑体" w:eastAsia="黑体"/>
                <w:bCs/>
                <w:kern w:val="0"/>
                <w:sz w:val="24"/>
              </w:rPr>
              <w:t>项目序号</w:t>
            </w:r>
          </w:p>
        </w:tc>
        <w:tc>
          <w:tcPr>
            <w:tcW w:w="2656" w:type="pct"/>
            <w:vAlign w:val="center"/>
          </w:tcPr>
          <w:p>
            <w:pPr>
              <w:widowControl/>
              <w:adjustRightInd w:val="0"/>
              <w:snapToGrid w:val="0"/>
              <w:spacing w:line="320" w:lineRule="exact"/>
              <w:jc w:val="center"/>
              <w:rPr>
                <w:rFonts w:ascii="黑体" w:hAnsi="黑体" w:eastAsia="黑体" w:cs="宋体"/>
                <w:bCs/>
                <w:kern w:val="0"/>
                <w:sz w:val="24"/>
              </w:rPr>
            </w:pPr>
            <w:r>
              <w:rPr>
                <w:rFonts w:hint="eastAsia" w:ascii="黑体" w:hAnsi="黑体" w:eastAsia="黑体" w:cs="宋体"/>
                <w:bCs/>
                <w:kern w:val="0"/>
                <w:sz w:val="24"/>
              </w:rPr>
              <w:t>检查内容</w:t>
            </w:r>
          </w:p>
        </w:tc>
        <w:tc>
          <w:tcPr>
            <w:tcW w:w="436" w:type="pct"/>
            <w:vAlign w:val="center"/>
          </w:tcPr>
          <w:p>
            <w:pPr>
              <w:widowControl/>
              <w:adjustRightInd w:val="0"/>
              <w:snapToGrid w:val="0"/>
              <w:spacing w:line="320" w:lineRule="exact"/>
              <w:jc w:val="center"/>
              <w:rPr>
                <w:rFonts w:ascii="黑体" w:hAnsi="黑体" w:eastAsia="黑体" w:cs="宋体"/>
                <w:bCs/>
                <w:kern w:val="0"/>
                <w:sz w:val="24"/>
              </w:rPr>
            </w:pPr>
            <w:r>
              <w:rPr>
                <w:rFonts w:hint="eastAsia" w:ascii="黑体" w:hAnsi="黑体" w:eastAsia="黑体" w:cs="宋体"/>
                <w:bCs/>
                <w:color w:val="000000"/>
                <w:kern w:val="0"/>
                <w:sz w:val="24"/>
              </w:rPr>
              <w:t>评价</w:t>
            </w:r>
          </w:p>
        </w:tc>
        <w:tc>
          <w:tcPr>
            <w:tcW w:w="729" w:type="pct"/>
            <w:vAlign w:val="center"/>
          </w:tcPr>
          <w:p>
            <w:pPr>
              <w:widowControl/>
              <w:adjustRightInd w:val="0"/>
              <w:snapToGrid w:val="0"/>
              <w:spacing w:line="320" w:lineRule="exact"/>
              <w:jc w:val="center"/>
              <w:rPr>
                <w:rFonts w:ascii="黑体" w:hAnsi="黑体" w:eastAsia="黑体" w:cs="宋体"/>
                <w:bCs/>
                <w:kern w:val="0"/>
                <w:sz w:val="24"/>
              </w:rPr>
            </w:pPr>
            <w:r>
              <w:rPr>
                <w:rFonts w:hint="eastAsia" w:ascii="黑体" w:hAnsi="黑体" w:eastAsia="黑体" w:cs="宋体"/>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58" w:type="pct"/>
            <w:vMerge w:val="restart"/>
            <w:vAlign w:val="center"/>
          </w:tcPr>
          <w:p>
            <w:pPr>
              <w:adjustRightInd w:val="0"/>
              <w:snapToGrid w:val="0"/>
              <w:spacing w:line="320" w:lineRule="exact"/>
              <w:jc w:val="center"/>
              <w:rPr>
                <w:rFonts w:eastAsia="仿宋"/>
                <w:kern w:val="0"/>
                <w:sz w:val="24"/>
              </w:rPr>
            </w:pPr>
            <w:r>
              <w:rPr>
                <w:rFonts w:eastAsia="仿宋"/>
                <w:kern w:val="0"/>
                <w:sz w:val="24"/>
              </w:rPr>
              <w:t>1</w:t>
            </w:r>
            <w:r>
              <w:rPr>
                <w:rFonts w:hint="eastAsia" w:eastAsia="仿宋"/>
                <w:kern w:val="0"/>
                <w:sz w:val="24"/>
              </w:rPr>
              <w:t>．生产环境条件</w:t>
            </w: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1.1</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厂区无扬尘、无积水，厂区、车间卫生整洁。</w:t>
            </w:r>
          </w:p>
        </w:tc>
        <w:tc>
          <w:tcPr>
            <w:tcW w:w="43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vAlign w:val="center"/>
          </w:tcPr>
          <w:p>
            <w:pPr>
              <w:widowControl/>
              <w:adjustRightInd w:val="0"/>
              <w:snapToGrid w:val="0"/>
              <w:spacing w:line="32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hint="eastAsia" w:eastAsia="仿宋"/>
                <w:kern w:val="0"/>
                <w:sz w:val="24"/>
              </w:rPr>
              <w:t>*</w:t>
            </w:r>
            <w:r>
              <w:rPr>
                <w:rFonts w:eastAsia="仿宋"/>
                <w:kern w:val="0"/>
                <w:sz w:val="24"/>
              </w:rPr>
              <w:t>1.2</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厂区、车间与有毒、有害场所及其他污染源保持规定的距离。</w:t>
            </w:r>
          </w:p>
        </w:tc>
        <w:tc>
          <w:tcPr>
            <w:tcW w:w="436" w:type="pct"/>
            <w:vAlign w:val="center"/>
          </w:tcPr>
          <w:p>
            <w:pPr>
              <w:widowControl/>
              <w:adjustRightInd w:val="0"/>
              <w:snapToGrid w:val="0"/>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vAlign w:val="center"/>
          </w:tcPr>
          <w:p>
            <w:pPr>
              <w:widowControl/>
              <w:adjustRightInd w:val="0"/>
              <w:snapToGrid w:val="0"/>
              <w:spacing w:line="32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*1.3</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卫生间应保持清洁，应设置洗手设施，未与食品生产、包装或贮存等区域直接连通。</w:t>
            </w:r>
          </w:p>
        </w:tc>
        <w:tc>
          <w:tcPr>
            <w:tcW w:w="436" w:type="pct"/>
            <w:vAlign w:val="center"/>
          </w:tcPr>
          <w:p>
            <w:pPr>
              <w:widowControl/>
              <w:adjustRightInd w:val="0"/>
              <w:snapToGrid w:val="0"/>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vAlign w:val="center"/>
          </w:tcPr>
          <w:p>
            <w:pPr>
              <w:widowControl/>
              <w:adjustRightInd w:val="0"/>
              <w:snapToGrid w:val="0"/>
              <w:spacing w:line="32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1.4</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有更衣、洗手、干手、消毒设备、设施，满足正常使用。</w:t>
            </w:r>
          </w:p>
        </w:tc>
        <w:tc>
          <w:tcPr>
            <w:tcW w:w="43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32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1.5</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通风、防尘、照明、存放垃圾和废弃物等设备、设施正常运行。</w:t>
            </w:r>
          </w:p>
        </w:tc>
        <w:tc>
          <w:tcPr>
            <w:tcW w:w="436" w:type="pct"/>
            <w:vAlign w:val="center"/>
          </w:tcPr>
          <w:p>
            <w:pPr>
              <w:widowControl/>
              <w:adjustRightInd w:val="0"/>
              <w:snapToGrid w:val="0"/>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32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1.6</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车间内使用的洗涤剂、消毒剂等化学品应与原料、半成品、成品、包装材料等分隔放置，并有相应的使用记录。</w:t>
            </w:r>
          </w:p>
        </w:tc>
        <w:tc>
          <w:tcPr>
            <w:tcW w:w="436" w:type="pct"/>
            <w:vAlign w:val="center"/>
          </w:tcPr>
          <w:p>
            <w:pPr>
              <w:widowControl/>
              <w:adjustRightInd w:val="0"/>
              <w:snapToGrid w:val="0"/>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32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1.7</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定期检查防鼠、防蝇、防虫害装置的使用情况并有相应检查记录，生产场所无虫害迹象。</w:t>
            </w:r>
          </w:p>
        </w:tc>
        <w:tc>
          <w:tcPr>
            <w:tcW w:w="436" w:type="pct"/>
          </w:tcPr>
          <w:p>
            <w:pPr>
              <w:widowControl/>
              <w:adjustRightInd w:val="0"/>
              <w:snapToGrid w:val="0"/>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32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58" w:type="pct"/>
            <w:vMerge w:val="restart"/>
            <w:vAlign w:val="center"/>
          </w:tcPr>
          <w:p>
            <w:pPr>
              <w:widowControl/>
              <w:adjustRightInd w:val="0"/>
              <w:snapToGrid w:val="0"/>
              <w:spacing w:line="320" w:lineRule="exact"/>
              <w:jc w:val="left"/>
              <w:rPr>
                <w:rFonts w:eastAsia="仿宋"/>
                <w:kern w:val="0"/>
                <w:sz w:val="24"/>
              </w:rPr>
            </w:pPr>
            <w:r>
              <w:rPr>
                <w:rFonts w:eastAsia="仿宋"/>
                <w:kern w:val="0"/>
                <w:sz w:val="24"/>
              </w:rPr>
              <w:t>2</w:t>
            </w:r>
            <w:r>
              <w:rPr>
                <w:rFonts w:hint="eastAsia" w:eastAsia="仿宋"/>
                <w:kern w:val="0"/>
                <w:sz w:val="24"/>
              </w:rPr>
              <w:t>．进货查验结果</w:t>
            </w:r>
          </w:p>
          <w:p>
            <w:pPr>
              <w:widowControl/>
              <w:adjustRightInd w:val="0"/>
              <w:snapToGrid w:val="0"/>
              <w:spacing w:line="320" w:lineRule="exact"/>
              <w:jc w:val="left"/>
              <w:rPr>
                <w:rFonts w:eastAsia="仿宋"/>
                <w:kern w:val="0"/>
                <w:sz w:val="24"/>
              </w:rPr>
            </w:pPr>
            <w:r>
              <w:rPr>
                <w:rFonts w:hint="eastAsia" w:eastAsia="仿宋"/>
                <w:kern w:val="0"/>
                <w:sz w:val="24"/>
              </w:rPr>
              <w:t>注：</w:t>
            </w:r>
            <w:r>
              <w:rPr>
                <w:rFonts w:hint="eastAsia" w:ascii="宋体" w:hAnsi="宋体" w:cs="宋体"/>
                <w:kern w:val="0"/>
                <w:sz w:val="24"/>
              </w:rPr>
              <w:t>①</w:t>
            </w:r>
            <w:r>
              <w:rPr>
                <w:rFonts w:hint="eastAsia" w:eastAsia="仿宋"/>
                <w:kern w:val="0"/>
                <w:sz w:val="24"/>
              </w:rPr>
              <w:t>检查原辅料仓库；</w:t>
            </w:r>
            <w:r>
              <w:rPr>
                <w:rFonts w:hint="eastAsia" w:ascii="宋体" w:hAnsi="宋体" w:cs="宋体"/>
                <w:kern w:val="0"/>
                <w:sz w:val="24"/>
              </w:rPr>
              <w:t>②</w:t>
            </w:r>
            <w:r>
              <w:rPr>
                <w:rFonts w:hint="eastAsia" w:eastAsia="仿宋"/>
                <w:kern w:val="0"/>
                <w:sz w:val="24"/>
              </w:rPr>
              <w:t>原辅料品种随机抽查，不足</w:t>
            </w:r>
            <w:r>
              <w:rPr>
                <w:rFonts w:eastAsia="仿宋"/>
                <w:kern w:val="0"/>
                <w:sz w:val="24"/>
              </w:rPr>
              <w:t>2</w:t>
            </w:r>
            <w:r>
              <w:rPr>
                <w:rFonts w:hint="eastAsia" w:eastAsia="仿宋"/>
                <w:kern w:val="0"/>
                <w:sz w:val="24"/>
              </w:rPr>
              <w:t>种的全部检查。</w:t>
            </w: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*2.1</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查验食品原辅料、食品添加剂、食品相关产品供货者的许可证、产品合格证明文件；供货者无法提供有效合格证明文件的食品原料，有检验记录。</w:t>
            </w:r>
          </w:p>
        </w:tc>
        <w:tc>
          <w:tcPr>
            <w:tcW w:w="436" w:type="pct"/>
            <w:vAlign w:val="center"/>
          </w:tcPr>
          <w:p>
            <w:pPr>
              <w:spacing w:line="32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32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*2.2</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进货查验记录及证明材料真实、完整，记录和凭证保存期限不少于产品保质期期满后六个月，没有明确保质期的，保存期限不少于二年。</w:t>
            </w:r>
          </w:p>
        </w:tc>
        <w:tc>
          <w:tcPr>
            <w:tcW w:w="436" w:type="pct"/>
            <w:vAlign w:val="center"/>
          </w:tcPr>
          <w:p>
            <w:pPr>
              <w:widowControl/>
              <w:adjustRightInd w:val="0"/>
              <w:snapToGrid w:val="0"/>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32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2.3</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建立和保存食品原辅料、食品添加剂、食品相关产品的贮存、保管记录和领用出库记录。</w:t>
            </w:r>
          </w:p>
        </w:tc>
        <w:tc>
          <w:tcPr>
            <w:tcW w:w="436" w:type="pct"/>
            <w:vAlign w:val="center"/>
          </w:tcPr>
          <w:p>
            <w:pPr>
              <w:widowControl/>
              <w:adjustRightInd w:val="0"/>
              <w:snapToGrid w:val="0"/>
              <w:spacing w:line="32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32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restart"/>
            <w:vAlign w:val="center"/>
          </w:tcPr>
          <w:p>
            <w:pPr>
              <w:adjustRightInd w:val="0"/>
              <w:snapToGrid w:val="0"/>
              <w:spacing w:line="320" w:lineRule="exact"/>
              <w:rPr>
                <w:rFonts w:eastAsia="仿宋"/>
                <w:kern w:val="0"/>
                <w:sz w:val="24"/>
              </w:rPr>
            </w:pPr>
            <w:r>
              <w:rPr>
                <w:rFonts w:eastAsia="仿宋"/>
                <w:kern w:val="0"/>
                <w:sz w:val="24"/>
              </w:rPr>
              <w:t>3</w:t>
            </w:r>
            <w:r>
              <w:rPr>
                <w:rFonts w:hint="eastAsia" w:eastAsia="仿宋"/>
                <w:kern w:val="0"/>
                <w:sz w:val="24"/>
              </w:rPr>
              <w:t>．生产过程控制注：在成品库至少抽取</w:t>
            </w:r>
            <w:r>
              <w:rPr>
                <w:rFonts w:eastAsia="仿宋"/>
                <w:kern w:val="0"/>
                <w:sz w:val="24"/>
              </w:rPr>
              <w:t>2</w:t>
            </w:r>
            <w:r>
              <w:rPr>
                <w:rFonts w:hint="eastAsia" w:eastAsia="仿宋"/>
                <w:kern w:val="0"/>
                <w:sz w:val="24"/>
              </w:rPr>
              <w:t>批次产品，按生产日期或批号追溯生产过程记录及控制的全部检查，有专供特定人群的产品至少抽查1个产品。</w:t>
            </w: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3.1</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有食品安全自查制度文件，定期对食品安全状况进行自查并记录和处置。</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2</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使用的原辅料、食品添加剂、食品相关产品的品种与索证索票、进货查验记录内容一致。</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58" w:type="pct"/>
            <w:vMerge w:val="continue"/>
            <w:vAlign w:val="center"/>
          </w:tcPr>
          <w:p>
            <w:pPr>
              <w:widowControl/>
              <w:adjustRightInd w:val="0"/>
              <w:snapToGrid w:val="0"/>
              <w:spacing w:line="320" w:lineRule="exac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3</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建立和保存生产投料记录，包括投料种类、品名、生产日期或批号、使用数量等。</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4</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未发现使用非食品原料、回收食品、食品添加剂以外的化学物质、超过保质期的食品原料和食品添加剂生产食品。</w:t>
            </w:r>
          </w:p>
        </w:tc>
        <w:tc>
          <w:tcPr>
            <w:tcW w:w="43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hint="eastAsia" w:eastAsia="仿宋"/>
                <w:kern w:val="0"/>
                <w:sz w:val="24"/>
              </w:rPr>
              <w:t>*3.5</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未发现超范围、超限量使用食品添加剂的情况。</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hint="eastAsia" w:eastAsia="仿宋"/>
                <w:kern w:val="0"/>
                <w:sz w:val="24"/>
              </w:rPr>
              <w:t>3</w:t>
            </w:r>
            <w:r>
              <w:rPr>
                <w:rFonts w:eastAsia="仿宋"/>
                <w:kern w:val="0"/>
                <w:sz w:val="24"/>
              </w:rPr>
              <w:t>.</w:t>
            </w:r>
            <w:r>
              <w:rPr>
                <w:rFonts w:hint="eastAsia" w:eastAsia="仿宋"/>
                <w:kern w:val="0"/>
                <w:sz w:val="24"/>
              </w:rPr>
              <w:t>6</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生产或使用的新食品原料，限定于国务院卫生行政部门公告的新食品原料范围内。</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.7</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未发现使用药品、仅用于保健食品的原料生产食品。</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.8</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生产记录中的生产工艺和参数与企业申请许可时提供的工艺流程一致。</w:t>
            </w:r>
          </w:p>
        </w:tc>
        <w:tc>
          <w:tcPr>
            <w:tcW w:w="436" w:type="pct"/>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9</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建立和保存生产加工过程关键控制点的控制情况记录。</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10</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生产现场未发现人流、物流交叉污染。</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11</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未发现原辅料、半成品与直接入口食品交叉污染。</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w:t>
            </w:r>
            <w:r>
              <w:rPr>
                <w:rFonts w:hint="eastAsia" w:eastAsia="仿宋"/>
                <w:kern w:val="0"/>
                <w:sz w:val="24"/>
              </w:rPr>
              <w:t>12</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有温、湿度等生产环境监测要求的，定期进行监测并记录。</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3.1</w:t>
            </w:r>
            <w:r>
              <w:rPr>
                <w:rFonts w:hint="eastAsia" w:eastAsia="仿宋"/>
                <w:kern w:val="0"/>
                <w:sz w:val="24"/>
              </w:rPr>
              <w:t>3</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生产设备、设施定期维护保养并做好记录。</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*3.1</w:t>
            </w:r>
            <w:r>
              <w:rPr>
                <w:rFonts w:hint="eastAsia" w:eastAsia="仿宋"/>
                <w:kern w:val="0"/>
                <w:sz w:val="24"/>
              </w:rPr>
              <w:t>4</w:t>
            </w:r>
          </w:p>
        </w:tc>
        <w:tc>
          <w:tcPr>
            <w:tcW w:w="2656" w:type="pct"/>
            <w:vAlign w:val="center"/>
          </w:tcPr>
          <w:p>
            <w:pPr>
              <w:widowControl/>
              <w:adjustRightInd w:val="0"/>
              <w:snapToGrid w:val="0"/>
              <w:spacing w:line="440" w:lineRule="exact"/>
              <w:rPr>
                <w:rFonts w:ascii="仿宋" w:hAnsi="仿宋" w:eastAsia="仿宋" w:cs="宋体"/>
                <w:kern w:val="0"/>
                <w:sz w:val="24"/>
              </w:rPr>
            </w:pPr>
            <w:r>
              <w:rPr>
                <w:rFonts w:hint="eastAsia" w:ascii="仿宋" w:hAnsi="仿宋" w:eastAsia="仿宋" w:cs="宋体"/>
                <w:kern w:val="0"/>
                <w:sz w:val="24"/>
              </w:rPr>
              <w:t>未发现标注虚假生产日期或批号的情况。</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3.1</w:t>
            </w:r>
            <w:r>
              <w:rPr>
                <w:rFonts w:hint="eastAsia" w:eastAsia="仿宋"/>
                <w:kern w:val="0"/>
                <w:sz w:val="24"/>
              </w:rPr>
              <w:t>5</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工作人员穿戴工作衣帽，生产车间内未发现与生产无关的个人或者其他与生产不相关物品，员工洗手消毒后进入生产车间。</w:t>
            </w:r>
          </w:p>
        </w:tc>
        <w:tc>
          <w:tcPr>
            <w:tcW w:w="436" w:type="pct"/>
            <w:vAlign w:val="center"/>
          </w:tcPr>
          <w:p>
            <w:pPr>
              <w:widowControl/>
              <w:adjustRightInd w:val="0"/>
              <w:snapToGrid w:val="0"/>
              <w:spacing w:line="44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0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758" w:type="pct"/>
            <w:vMerge w:val="restart"/>
            <w:vAlign w:val="center"/>
          </w:tcPr>
          <w:p>
            <w:pPr>
              <w:adjustRightInd w:val="0"/>
              <w:snapToGrid w:val="0"/>
              <w:spacing w:line="320" w:lineRule="exact"/>
              <w:rPr>
                <w:rFonts w:eastAsia="仿宋"/>
                <w:kern w:val="0"/>
                <w:sz w:val="24"/>
              </w:rPr>
            </w:pPr>
            <w:r>
              <w:rPr>
                <w:rFonts w:eastAsia="仿宋"/>
                <w:kern w:val="0"/>
                <w:sz w:val="24"/>
              </w:rPr>
              <w:t>4</w:t>
            </w:r>
            <w:r>
              <w:rPr>
                <w:rFonts w:hint="eastAsia" w:eastAsia="仿宋"/>
                <w:kern w:val="0"/>
                <w:sz w:val="24"/>
              </w:rPr>
              <w:t>．产品检验结果注：采取抽查方式</w:t>
            </w: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4.1</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企业自检的，应具备与所检项目适应的检验室和检验能力，有检验相关设备及化学试剂，检验仪器设备按期检定。</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758" w:type="pct"/>
            <w:vMerge w:val="continue"/>
            <w:vAlign w:val="center"/>
          </w:tcPr>
          <w:p>
            <w:pPr>
              <w:widowControl/>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4.2</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不能自检的，应当委托有资质的检验机构进行检验。</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*4.3</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有与生产产品相适应的食品安全标准文本，按照食品安全标准规定进行检验。</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hint="eastAsia" w:eastAsia="仿宋"/>
                <w:kern w:val="0"/>
                <w:sz w:val="24"/>
              </w:rPr>
              <w:t>*</w:t>
            </w:r>
            <w:r>
              <w:rPr>
                <w:rFonts w:eastAsia="仿宋"/>
                <w:kern w:val="0"/>
                <w:sz w:val="24"/>
              </w:rPr>
              <w:t>4.4</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建立和保存原始检验数据和检验报告记录，检验记录真实、完整。</w:t>
            </w:r>
          </w:p>
        </w:tc>
        <w:tc>
          <w:tcPr>
            <w:tcW w:w="436" w:type="pct"/>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4.5</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按规定时限保存检验留存样品并记录留样情况。</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restart"/>
            <w:vAlign w:val="center"/>
          </w:tcPr>
          <w:p>
            <w:pPr>
              <w:widowControl/>
              <w:adjustRightInd w:val="0"/>
              <w:snapToGrid w:val="0"/>
              <w:spacing w:line="320" w:lineRule="exact"/>
              <w:rPr>
                <w:rFonts w:eastAsia="仿宋"/>
                <w:kern w:val="0"/>
                <w:sz w:val="24"/>
              </w:rPr>
            </w:pPr>
            <w:r>
              <w:rPr>
                <w:rFonts w:eastAsia="仿宋"/>
                <w:kern w:val="0"/>
                <w:sz w:val="24"/>
              </w:rPr>
              <w:t>5</w:t>
            </w:r>
            <w:r>
              <w:rPr>
                <w:rFonts w:hint="eastAsia" w:eastAsia="仿宋"/>
                <w:kern w:val="0"/>
                <w:sz w:val="24"/>
              </w:rPr>
              <w:t>．贮存及交付控制</w:t>
            </w:r>
          </w:p>
          <w:p>
            <w:pPr>
              <w:widowControl/>
              <w:adjustRightInd w:val="0"/>
              <w:snapToGrid w:val="0"/>
              <w:spacing w:line="320" w:lineRule="exact"/>
              <w:rPr>
                <w:rFonts w:eastAsia="仿宋"/>
                <w:kern w:val="0"/>
                <w:sz w:val="24"/>
              </w:rPr>
            </w:pPr>
            <w:r>
              <w:rPr>
                <w:rFonts w:hint="eastAsia" w:eastAsia="仿宋"/>
                <w:kern w:val="0"/>
                <w:sz w:val="24"/>
              </w:rPr>
              <w:t>注：采取抽查方式，有冷链要求的产品必须检查冷链情况。</w:t>
            </w:r>
          </w:p>
          <w:p>
            <w:pPr>
              <w:adjustRightInd w:val="0"/>
              <w:snapToGrid w:val="0"/>
              <w:spacing w:line="320" w:lineRule="exac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*5.1</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原辅料的贮存有专人管理，贮存条件符合要求。</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58" w:type="pct"/>
            <w:vMerge w:val="continue"/>
            <w:vAlign w:val="center"/>
          </w:tcPr>
          <w:p>
            <w:pPr>
              <w:widowControl/>
              <w:adjustRightInd w:val="0"/>
              <w:snapToGrid w:val="0"/>
              <w:spacing w:line="320" w:lineRule="exac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*5.2</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食品添加剂应当专门贮存，明显标示，专人管理。</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widowControl/>
              <w:adjustRightInd w:val="0"/>
              <w:snapToGrid w:val="0"/>
              <w:spacing w:line="320" w:lineRule="exac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5.3</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不合格品应在划定区域存放。</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58" w:type="pct"/>
            <w:vMerge w:val="continue"/>
            <w:vAlign w:val="center"/>
          </w:tcPr>
          <w:p>
            <w:pPr>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5.4</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根据产品特点建立和执行相适应的贮存、运输及交付控制制度和记录。</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58" w:type="pct"/>
            <w:vMerge w:val="continue"/>
            <w:vAlign w:val="center"/>
          </w:tcPr>
          <w:p>
            <w:pPr>
              <w:widowControl/>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5.5</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仓库温湿度应符合要求。</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58" w:type="pct"/>
            <w:vMerge w:val="continue"/>
            <w:vAlign w:val="center"/>
          </w:tcPr>
          <w:p>
            <w:pPr>
              <w:widowControl/>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hint="eastAsia" w:eastAsia="仿宋"/>
                <w:kern w:val="0"/>
                <w:sz w:val="24"/>
              </w:rPr>
              <w:t>5.6</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生产的产品在许可范围内。</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58" w:type="pct"/>
            <w:vMerge w:val="continue"/>
            <w:vAlign w:val="center"/>
          </w:tcPr>
          <w:p>
            <w:pPr>
              <w:widowControl/>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5.</w:t>
            </w:r>
            <w:r>
              <w:rPr>
                <w:rFonts w:hint="eastAsia" w:eastAsia="仿宋"/>
                <w:kern w:val="0"/>
                <w:sz w:val="24"/>
              </w:rPr>
              <w:t>7</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有销售台账，台账记录真实、完整。</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758" w:type="pct"/>
            <w:vMerge w:val="continue"/>
            <w:vAlign w:val="center"/>
          </w:tcPr>
          <w:p>
            <w:pPr>
              <w:widowControl/>
              <w:adjustRightInd w:val="0"/>
              <w:snapToGrid w:val="0"/>
              <w:spacing w:line="320" w:lineRule="exact"/>
              <w:jc w:val="center"/>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5.</w:t>
            </w:r>
            <w:r>
              <w:rPr>
                <w:rFonts w:hint="eastAsia" w:eastAsia="仿宋"/>
                <w:kern w:val="0"/>
                <w:sz w:val="24"/>
              </w:rPr>
              <w:t>8</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销售台账如实记录食品的名称、规格、数量、生产日期或者生产批号、检验合格证明、销售日期以及购货者名称、地址、联系方式等内容。</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restart"/>
            <w:vAlign w:val="center"/>
          </w:tcPr>
          <w:p>
            <w:pPr>
              <w:widowControl/>
              <w:adjustRightInd w:val="0"/>
              <w:snapToGrid w:val="0"/>
              <w:spacing w:line="320" w:lineRule="exact"/>
              <w:jc w:val="left"/>
              <w:rPr>
                <w:rFonts w:eastAsia="仿宋"/>
                <w:kern w:val="0"/>
                <w:sz w:val="24"/>
              </w:rPr>
            </w:pPr>
            <w:r>
              <w:rPr>
                <w:rFonts w:eastAsia="仿宋"/>
                <w:kern w:val="0"/>
                <w:sz w:val="24"/>
              </w:rPr>
              <w:t>6</w:t>
            </w:r>
            <w:r>
              <w:rPr>
                <w:rFonts w:hint="eastAsia" w:eastAsia="仿宋"/>
                <w:kern w:val="0"/>
                <w:sz w:val="24"/>
              </w:rPr>
              <w:t>．不合格品管理和食品召回</w:t>
            </w:r>
          </w:p>
          <w:p>
            <w:pPr>
              <w:adjustRightInd w:val="0"/>
              <w:snapToGrid w:val="0"/>
              <w:spacing w:line="320" w:lineRule="exact"/>
              <w:jc w:val="left"/>
              <w:rPr>
                <w:rFonts w:eastAsia="仿宋"/>
                <w:kern w:val="0"/>
                <w:sz w:val="24"/>
              </w:rPr>
            </w:pPr>
            <w:r>
              <w:rPr>
                <w:rFonts w:hint="eastAsia" w:eastAsia="仿宋"/>
                <w:kern w:val="0"/>
                <w:sz w:val="24"/>
              </w:rPr>
              <w:t>注：采取抽查方式</w:t>
            </w: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6.1</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建立和保存不合格品的处置记录，不合格品的批次、数量应与记录一致。</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*6.</w:t>
            </w:r>
            <w:r>
              <w:rPr>
                <w:rFonts w:hint="eastAsia" w:eastAsia="仿宋"/>
                <w:kern w:val="0"/>
                <w:sz w:val="24"/>
              </w:rPr>
              <w:t>2</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实施不安全食品的召回，有召回计划、公告等相应记录。</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*6.</w:t>
            </w:r>
            <w:r>
              <w:rPr>
                <w:rFonts w:hint="eastAsia" w:eastAsia="仿宋"/>
                <w:kern w:val="0"/>
                <w:sz w:val="24"/>
              </w:rPr>
              <w:t>3</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召回食品有处置记录。</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6.</w:t>
            </w:r>
            <w:r>
              <w:rPr>
                <w:rFonts w:hint="eastAsia" w:eastAsia="仿宋"/>
                <w:kern w:val="0"/>
                <w:sz w:val="24"/>
              </w:rPr>
              <w:t>4</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未发现使用召回食品重新加工食品情况（对因标签存在瑕疵实施召回的除外）。</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restart"/>
            <w:vAlign w:val="center"/>
          </w:tcPr>
          <w:p>
            <w:pPr>
              <w:adjustRightInd w:val="0"/>
              <w:snapToGrid w:val="0"/>
              <w:spacing w:line="320" w:lineRule="exact"/>
              <w:jc w:val="left"/>
              <w:rPr>
                <w:rFonts w:eastAsia="仿宋"/>
                <w:kern w:val="0"/>
                <w:sz w:val="24"/>
              </w:rPr>
            </w:pPr>
          </w:p>
          <w:p>
            <w:pPr>
              <w:adjustRightInd w:val="0"/>
              <w:snapToGrid w:val="0"/>
              <w:spacing w:line="320" w:lineRule="exact"/>
              <w:jc w:val="left"/>
              <w:rPr>
                <w:rFonts w:eastAsia="仿宋"/>
                <w:kern w:val="0"/>
                <w:sz w:val="24"/>
              </w:rPr>
            </w:pPr>
            <w:r>
              <w:rPr>
                <w:rFonts w:eastAsia="仿宋"/>
                <w:kern w:val="0"/>
                <w:sz w:val="24"/>
              </w:rPr>
              <w:t>7</w:t>
            </w:r>
            <w:r>
              <w:rPr>
                <w:rFonts w:hint="eastAsia" w:eastAsia="仿宋"/>
                <w:kern w:val="0"/>
                <w:sz w:val="24"/>
              </w:rPr>
              <w:t>．从业人员管理</w:t>
            </w: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7.1</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有食品安全管理人员、检验人员、负责人。</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7.2</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有食品安全管理人员、检验人员、负责人培训和考核记录。</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hint="eastAsia" w:eastAsia="仿宋"/>
                <w:kern w:val="0"/>
                <w:sz w:val="24"/>
              </w:rPr>
              <w:t>*</w:t>
            </w:r>
            <w:r>
              <w:rPr>
                <w:rFonts w:eastAsia="仿宋"/>
                <w:kern w:val="0"/>
                <w:sz w:val="24"/>
              </w:rPr>
              <w:t>7.3</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未发现聘用禁止从事食品安全管理的人员。</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7.4</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企业负责人在企业内部制度制定、过程控制、安全培训、安全检查以及食品安全事件或事故调查等环节履行了岗位职责并有记录。</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*7.5</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建立从业人员健康管理制度，直接接触食品人员有健康证明，符合相关规定。</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7.6</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有从业人员食品安全知识培训制度，并有相关培训记录。</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restart"/>
            <w:vAlign w:val="center"/>
          </w:tcPr>
          <w:p>
            <w:pPr>
              <w:widowControl/>
              <w:adjustRightInd w:val="0"/>
              <w:snapToGrid w:val="0"/>
              <w:spacing w:line="320" w:lineRule="exact"/>
              <w:jc w:val="center"/>
              <w:rPr>
                <w:rFonts w:eastAsia="仿宋"/>
                <w:kern w:val="0"/>
                <w:sz w:val="24"/>
              </w:rPr>
            </w:pPr>
            <w:r>
              <w:rPr>
                <w:rFonts w:eastAsia="仿宋"/>
                <w:kern w:val="0"/>
                <w:sz w:val="24"/>
              </w:rPr>
              <w:t>8</w:t>
            </w:r>
            <w:r>
              <w:rPr>
                <w:rFonts w:hint="eastAsia" w:eastAsia="仿宋"/>
                <w:kern w:val="0"/>
                <w:sz w:val="24"/>
              </w:rPr>
              <w:t>．食品安全事故处置</w:t>
            </w: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8.1</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有定期排查食品安全风险隐患的记录。</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8.2</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有按照食品安全应急预案定期演练，落实食品安全防范措施的记录。</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*8.3</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发生食品安全事故的，有处置食品安全事故记录。</w:t>
            </w:r>
          </w:p>
        </w:tc>
        <w:tc>
          <w:tcPr>
            <w:tcW w:w="43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restart"/>
            <w:vAlign w:val="center"/>
          </w:tcPr>
          <w:p>
            <w:pPr>
              <w:widowControl/>
              <w:adjustRightInd w:val="0"/>
              <w:snapToGrid w:val="0"/>
              <w:spacing w:line="320" w:lineRule="exact"/>
              <w:jc w:val="left"/>
              <w:rPr>
                <w:rFonts w:eastAsia="仿宋"/>
                <w:kern w:val="0"/>
                <w:sz w:val="24"/>
              </w:rPr>
            </w:pPr>
            <w:r>
              <w:rPr>
                <w:rFonts w:eastAsia="仿宋"/>
                <w:kern w:val="0"/>
                <w:sz w:val="24"/>
              </w:rPr>
              <w:t>9</w:t>
            </w:r>
            <w:r>
              <w:rPr>
                <w:rFonts w:hint="eastAsia" w:eastAsia="仿宋"/>
                <w:kern w:val="0"/>
                <w:sz w:val="24"/>
              </w:rPr>
              <w:t>．食品添加剂生产者管理</w:t>
            </w: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*9.1</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原料和生产工艺符合产品标准规定。</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9.2</w:t>
            </w:r>
          </w:p>
        </w:tc>
        <w:tc>
          <w:tcPr>
            <w:tcW w:w="2656" w:type="pct"/>
            <w:vAlign w:val="center"/>
          </w:tcPr>
          <w:p>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复配食品添加剂配方发生变化的，按规定报告。</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8" w:type="pct"/>
            <w:vMerge w:val="continue"/>
            <w:vAlign w:val="center"/>
          </w:tcPr>
          <w:p>
            <w:pPr>
              <w:widowControl/>
              <w:adjustRightInd w:val="0"/>
              <w:snapToGrid w:val="0"/>
              <w:spacing w:line="320" w:lineRule="exact"/>
              <w:jc w:val="left"/>
              <w:rPr>
                <w:rFonts w:eastAsia="仿宋"/>
                <w:kern w:val="0"/>
                <w:sz w:val="24"/>
              </w:rPr>
            </w:pPr>
          </w:p>
        </w:tc>
        <w:tc>
          <w:tcPr>
            <w:tcW w:w="421" w:type="pct"/>
            <w:vAlign w:val="center"/>
          </w:tcPr>
          <w:p>
            <w:pPr>
              <w:widowControl/>
              <w:adjustRightInd w:val="0"/>
              <w:snapToGrid w:val="0"/>
              <w:spacing w:line="320" w:lineRule="exact"/>
              <w:jc w:val="center"/>
              <w:rPr>
                <w:rFonts w:eastAsia="仿宋"/>
                <w:kern w:val="0"/>
                <w:sz w:val="24"/>
              </w:rPr>
            </w:pPr>
            <w:r>
              <w:rPr>
                <w:rFonts w:eastAsia="仿宋"/>
                <w:kern w:val="0"/>
                <w:sz w:val="24"/>
              </w:rPr>
              <w:t>9.3</w:t>
            </w:r>
          </w:p>
        </w:tc>
        <w:tc>
          <w:tcPr>
            <w:tcW w:w="2656" w:type="pct"/>
            <w:vAlign w:val="center"/>
          </w:tcPr>
          <w:p>
            <w:pPr>
              <w:widowControl/>
              <w:adjustRightInd w:val="0"/>
              <w:snapToGrid w:val="0"/>
              <w:spacing w:line="320" w:lineRule="exact"/>
              <w:rPr>
                <w:rFonts w:ascii="仿宋" w:hAnsi="仿宋" w:eastAsia="仿宋" w:cs="宋体"/>
                <w:kern w:val="0"/>
                <w:sz w:val="24"/>
              </w:rPr>
            </w:pPr>
            <w:r>
              <w:rPr>
                <w:rFonts w:hint="eastAsia" w:ascii="仿宋" w:hAnsi="仿宋" w:eastAsia="仿宋" w:cs="宋体"/>
                <w:kern w:val="0"/>
                <w:sz w:val="24"/>
              </w:rPr>
              <w:t>食品添加剂产品标签载明“食品添加剂”，并标明贮存条件、生产者名称和地址、食品添加剂的使用范围、用量和使用方法。</w:t>
            </w:r>
          </w:p>
        </w:tc>
        <w:tc>
          <w:tcPr>
            <w:tcW w:w="436" w:type="pct"/>
            <w:vAlign w:val="center"/>
          </w:tcPr>
          <w:p>
            <w:pPr>
              <w:widowControl/>
              <w:adjustRightInd w:val="0"/>
              <w:snapToGrid w:val="0"/>
              <w:spacing w:line="480" w:lineRule="exact"/>
              <w:rPr>
                <w:rFonts w:ascii="仿宋" w:hAnsi="仿宋" w:eastAsia="仿宋" w:cs="宋体"/>
                <w:color w:val="000000"/>
                <w:kern w:val="0"/>
                <w:sz w:val="24"/>
              </w:rPr>
            </w:pPr>
            <w:r>
              <w:rPr>
                <w:rFonts w:hint="eastAsia" w:ascii="仿宋" w:hAnsi="仿宋" w:eastAsia="仿宋" w:cs="宋体"/>
                <w:color w:val="000000"/>
                <w:kern w:val="0"/>
                <w:sz w:val="24"/>
              </w:rPr>
              <w:t>□是□否</w:t>
            </w:r>
          </w:p>
        </w:tc>
        <w:tc>
          <w:tcPr>
            <w:tcW w:w="729" w:type="pct"/>
          </w:tcPr>
          <w:p>
            <w:pPr>
              <w:widowControl/>
              <w:adjustRightInd w:val="0"/>
              <w:snapToGrid w:val="0"/>
              <w:spacing w:line="48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jc w:val="center"/>
        </w:trPr>
        <w:tc>
          <w:tcPr>
            <w:tcW w:w="5000" w:type="pct"/>
            <w:gridSpan w:val="5"/>
          </w:tcPr>
          <w:p>
            <w:pPr>
              <w:widowControl/>
              <w:adjustRightInd w:val="0"/>
              <w:snapToGrid w:val="0"/>
              <w:spacing w:line="320" w:lineRule="exact"/>
              <w:rPr>
                <w:rFonts w:ascii="黑体" w:hAnsi="黑体" w:eastAsia="黑体"/>
                <w:color w:val="000000"/>
                <w:kern w:val="0"/>
                <w:sz w:val="24"/>
              </w:rPr>
            </w:pPr>
            <w:r>
              <w:rPr>
                <w:rFonts w:hint="eastAsia" w:ascii="黑体" w:hAnsi="黑体" w:eastAsia="黑体"/>
                <w:color w:val="000000"/>
                <w:kern w:val="0"/>
                <w:sz w:val="24"/>
              </w:rPr>
              <w:t>其他需要记录的问题：</w:t>
            </w:r>
          </w:p>
          <w:p>
            <w:pPr>
              <w:widowControl/>
              <w:adjustRightInd w:val="0"/>
              <w:snapToGrid w:val="0"/>
              <w:spacing w:line="320" w:lineRule="exact"/>
              <w:rPr>
                <w:rFonts w:eastAsia="仿宋"/>
                <w:kern w:val="0"/>
                <w:sz w:val="24"/>
              </w:rPr>
            </w:pPr>
          </w:p>
          <w:p>
            <w:pPr>
              <w:adjustRightInd w:val="0"/>
              <w:snapToGrid w:val="0"/>
              <w:spacing w:line="320" w:lineRule="exact"/>
              <w:rPr>
                <w:rFonts w:eastAsia="仿宋"/>
                <w:kern w:val="0"/>
                <w:sz w:val="24"/>
              </w:rPr>
            </w:pPr>
          </w:p>
        </w:tc>
      </w:tr>
    </w:tbl>
    <w:p>
      <w:pPr>
        <w:adjustRightInd w:val="0"/>
        <w:snapToGrid w:val="0"/>
        <w:spacing w:line="400" w:lineRule="exact"/>
        <w:rPr>
          <w:rFonts w:ascii="仿宋" w:hAnsi="仿宋" w:eastAsia="仿宋"/>
          <w:sz w:val="24"/>
        </w:rPr>
      </w:pPr>
    </w:p>
    <w:p>
      <w:pPr>
        <w:adjustRightInd w:val="0"/>
        <w:snapToGrid w:val="0"/>
        <w:spacing w:line="400" w:lineRule="exact"/>
        <w:rPr>
          <w:rFonts w:eastAsia="仿宋_GB2312"/>
          <w:sz w:val="24"/>
        </w:rPr>
      </w:pPr>
      <w:r>
        <w:rPr>
          <w:rFonts w:hint="eastAsia" w:eastAsia="仿宋_GB2312"/>
          <w:sz w:val="24"/>
        </w:rPr>
        <w:t>说明：</w:t>
      </w:r>
      <w:r>
        <w:rPr>
          <w:rFonts w:eastAsia="仿宋_GB2312"/>
          <w:sz w:val="24"/>
        </w:rPr>
        <w:t>1</w:t>
      </w:r>
      <w:r>
        <w:rPr>
          <w:rFonts w:hint="eastAsia" w:eastAsia="仿宋_GB2312"/>
          <w:sz w:val="24"/>
        </w:rPr>
        <w:t>.上表中打</w:t>
      </w:r>
      <w:r>
        <w:rPr>
          <w:rFonts w:eastAsia="仿宋_GB2312"/>
          <w:sz w:val="24"/>
        </w:rPr>
        <w:t>*</w:t>
      </w:r>
      <w:r>
        <w:rPr>
          <w:rFonts w:hint="eastAsia" w:eastAsia="仿宋_GB2312"/>
          <w:sz w:val="24"/>
        </w:rPr>
        <w:t>号的为重点项，其他为一般项。</w:t>
      </w:r>
    </w:p>
    <w:p>
      <w:pPr>
        <w:adjustRightInd w:val="0"/>
        <w:snapToGrid w:val="0"/>
        <w:spacing w:line="400" w:lineRule="exact"/>
        <w:ind w:left="1078" w:leftChars="342" w:hanging="360" w:hangingChars="150"/>
        <w:rPr>
          <w:rFonts w:eastAsia="仿宋_GB2312"/>
          <w:sz w:val="24"/>
        </w:rPr>
      </w:pPr>
      <w:r>
        <w:rPr>
          <w:rFonts w:hint="eastAsia" w:eastAsia="仿宋_GB2312"/>
          <w:sz w:val="24"/>
        </w:rPr>
        <w:t>2．每次检查抽查重点项不少于10个，总检查项目不少于20个。</w:t>
      </w:r>
    </w:p>
    <w:p>
      <w:pPr>
        <w:adjustRightInd w:val="0"/>
        <w:snapToGrid w:val="0"/>
        <w:spacing w:line="400" w:lineRule="exact"/>
        <w:ind w:firstLine="720" w:firstLineChars="300"/>
        <w:rPr>
          <w:rFonts w:eastAsia="仿宋_GB2312"/>
          <w:sz w:val="24"/>
        </w:rPr>
      </w:pPr>
      <w:r>
        <w:rPr>
          <w:rFonts w:hint="eastAsia" w:eastAsia="仿宋_GB2312"/>
          <w:sz w:val="24"/>
        </w:rPr>
        <w:t>3．上表中除</w:t>
      </w:r>
      <w:r>
        <w:rPr>
          <w:rFonts w:eastAsia="仿宋_GB2312"/>
          <w:sz w:val="24"/>
        </w:rPr>
        <w:t>1.7</w:t>
      </w:r>
      <w:r>
        <w:rPr>
          <w:rFonts w:hint="eastAsia" w:eastAsia="仿宋_GB2312"/>
          <w:sz w:val="24"/>
        </w:rPr>
        <w:t>、</w:t>
      </w:r>
      <w:r>
        <w:rPr>
          <w:rFonts w:eastAsia="仿宋_GB2312"/>
          <w:sz w:val="24"/>
        </w:rPr>
        <w:t>3.</w:t>
      </w:r>
      <w:r>
        <w:rPr>
          <w:rFonts w:hint="eastAsia" w:eastAsia="仿宋_GB2312"/>
          <w:sz w:val="24"/>
        </w:rPr>
        <w:t>4、3.5、</w:t>
      </w:r>
      <w:r>
        <w:rPr>
          <w:rFonts w:eastAsia="仿宋_GB2312"/>
          <w:sz w:val="24"/>
        </w:rPr>
        <w:t>3.</w:t>
      </w:r>
      <w:r>
        <w:rPr>
          <w:rFonts w:hint="eastAsia" w:eastAsia="仿宋_GB2312"/>
          <w:sz w:val="24"/>
        </w:rPr>
        <w:t>6项以及</w:t>
      </w:r>
      <w:r>
        <w:rPr>
          <w:rFonts w:eastAsia="仿宋_GB2312"/>
          <w:sz w:val="24"/>
        </w:rPr>
        <w:t>2.1</w:t>
      </w:r>
      <w:r>
        <w:rPr>
          <w:rFonts w:hint="eastAsia" w:eastAsia="仿宋_GB2312"/>
          <w:sz w:val="24"/>
        </w:rPr>
        <w:t>项中关于“食品相关产品”的检查部分，其他项目均适用于食品添加剂生产者。</w:t>
      </w:r>
    </w:p>
    <w:p>
      <w:pPr>
        <w:adjustRightInd w:val="0"/>
        <w:snapToGrid w:val="0"/>
        <w:spacing w:line="400" w:lineRule="exact"/>
        <w:ind w:firstLine="720" w:firstLineChars="300"/>
        <w:rPr>
          <w:rFonts w:eastAsia="仿宋_GB2312"/>
          <w:sz w:val="24"/>
        </w:rPr>
      </w:pPr>
      <w:r>
        <w:rPr>
          <w:rFonts w:hint="eastAsia" w:eastAsia="仿宋_GB2312"/>
          <w:sz w:val="24"/>
        </w:rPr>
        <w:t>4．对食品添加剂生产者每次检查，还需检查第</w:t>
      </w:r>
      <w:r>
        <w:rPr>
          <w:rFonts w:eastAsia="仿宋_GB2312"/>
          <w:sz w:val="24"/>
        </w:rPr>
        <w:t>9</w:t>
      </w:r>
      <w:r>
        <w:rPr>
          <w:rFonts w:hint="eastAsia" w:eastAsia="仿宋_GB2312"/>
          <w:sz w:val="24"/>
        </w:rPr>
        <w:t>项，对食品生产者的检查不需检查第</w:t>
      </w:r>
      <w:r>
        <w:rPr>
          <w:rFonts w:eastAsia="仿宋_GB2312"/>
          <w:sz w:val="24"/>
        </w:rPr>
        <w:t>9</w:t>
      </w:r>
      <w:r>
        <w:rPr>
          <w:rFonts w:hint="eastAsia" w:eastAsia="仿宋_GB2312"/>
          <w:sz w:val="24"/>
        </w:rPr>
        <w:t>项。</w:t>
      </w:r>
    </w:p>
    <w:p>
      <w:pPr>
        <w:adjustRightInd w:val="0"/>
        <w:snapToGrid w:val="0"/>
        <w:spacing w:line="400" w:lineRule="exact"/>
        <w:ind w:firstLine="720" w:firstLineChars="300"/>
        <w:rPr>
          <w:rFonts w:eastAsia="仿宋_GB2312"/>
          <w:sz w:val="24"/>
        </w:rPr>
        <w:sectPr>
          <w:pgSz w:w="16838" w:h="11906" w:orient="landscape"/>
          <w:pgMar w:top="1800" w:right="1440" w:bottom="1800" w:left="1440" w:header="851" w:footer="992" w:gutter="0"/>
          <w:cols w:space="425" w:num="1"/>
          <w:docGrid w:type="lines" w:linePitch="312" w:charSpace="0"/>
        </w:sectPr>
      </w:pPr>
      <w:r>
        <w:rPr>
          <w:rFonts w:eastAsia="仿宋_GB2312"/>
          <w:sz w:val="24"/>
        </w:rPr>
        <w:t>5</w:t>
      </w:r>
      <w:r>
        <w:rPr>
          <w:rFonts w:hint="eastAsia" w:eastAsia="仿宋_GB2312"/>
          <w:sz w:val="24"/>
        </w:rPr>
        <w:t>．如果检查项目存在合理缺项，该项无需勾选“是或否”，并在备注中说明，不计入不符合项数。</w:t>
      </w:r>
    </w:p>
    <w:p>
      <w:pPr>
        <w:adjustRightInd w:val="0"/>
        <w:snapToGrid w:val="0"/>
        <w:spacing w:line="400" w:lineRule="exact"/>
        <w:rPr>
          <w:rFonts w:eastAsia="仿宋_GB2312"/>
          <w:sz w:val="32"/>
          <w:szCs w:val="32"/>
        </w:rPr>
      </w:pPr>
      <w:r>
        <w:rPr>
          <w:rFonts w:hint="eastAsia" w:eastAsia="仿宋_GB2312"/>
          <w:sz w:val="32"/>
          <w:szCs w:val="32"/>
        </w:rPr>
        <w:t>附件4：</w:t>
      </w:r>
    </w:p>
    <w:p>
      <w:pPr>
        <w:spacing w:line="590" w:lineRule="exact"/>
        <w:jc w:val="center"/>
        <w:rPr>
          <w:rFonts w:ascii="方正小标宋简体" w:hAnsi="Arial Unicode MS" w:eastAsia="方正小标宋简体"/>
          <w:sz w:val="44"/>
          <w:szCs w:val="44"/>
        </w:rPr>
      </w:pPr>
      <w:r>
        <w:rPr>
          <w:rFonts w:hint="eastAsia" w:ascii="方正小标宋简体" w:hAnsi="Arial Unicode MS" w:eastAsia="方正小标宋简体"/>
          <w:sz w:val="44"/>
          <w:szCs w:val="44"/>
        </w:rPr>
        <w:t>牧野区市场监督管理局</w:t>
      </w:r>
    </w:p>
    <w:p>
      <w:pPr>
        <w:spacing w:line="590" w:lineRule="exact"/>
        <w:jc w:val="center"/>
        <w:rPr>
          <w:rFonts w:ascii="方正小标宋简体" w:hAnsi="Arial Unicode MS" w:eastAsia="方正小标宋简体"/>
          <w:sz w:val="44"/>
          <w:szCs w:val="44"/>
        </w:rPr>
      </w:pPr>
      <w:r>
        <w:rPr>
          <w:rFonts w:hint="eastAsia" w:ascii="方正小标宋简体" w:hAnsi="Arial Unicode MS" w:eastAsia="方正小标宋简体"/>
          <w:sz w:val="44"/>
          <w:szCs w:val="44"/>
        </w:rPr>
        <w:t>食品生产日常监督检查结果记录表</w:t>
      </w:r>
    </w:p>
    <w:p>
      <w:pPr>
        <w:spacing w:line="560" w:lineRule="exact"/>
        <w:jc w:val="cente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 xml:space="preserve">         编号：</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88"/>
        <w:gridCol w:w="109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84" w:type="dxa"/>
            <w:vAlign w:val="center"/>
          </w:tcPr>
          <w:p>
            <w:pPr>
              <w:spacing w:line="560" w:lineRule="exact"/>
              <w:jc w:val="center"/>
              <w:rPr>
                <w:rFonts w:ascii="宋体" w:hAnsi="宋体"/>
                <w:szCs w:val="21"/>
              </w:rPr>
            </w:pPr>
            <w:r>
              <w:rPr>
                <w:rFonts w:hint="eastAsia" w:ascii="宋体" w:hAnsi="宋体"/>
                <w:szCs w:val="21"/>
              </w:rPr>
              <w:t>名称</w:t>
            </w:r>
          </w:p>
        </w:tc>
        <w:tc>
          <w:tcPr>
            <w:tcW w:w="3588" w:type="dxa"/>
            <w:vAlign w:val="center"/>
          </w:tcPr>
          <w:p>
            <w:pPr>
              <w:spacing w:line="560" w:lineRule="exact"/>
              <w:jc w:val="center"/>
              <w:rPr>
                <w:rFonts w:ascii="宋体" w:hAnsi="宋体"/>
                <w:szCs w:val="21"/>
              </w:rPr>
            </w:pPr>
          </w:p>
        </w:tc>
        <w:tc>
          <w:tcPr>
            <w:tcW w:w="1090" w:type="dxa"/>
            <w:vAlign w:val="center"/>
          </w:tcPr>
          <w:p>
            <w:pPr>
              <w:spacing w:line="560" w:lineRule="exact"/>
              <w:jc w:val="center"/>
              <w:rPr>
                <w:rFonts w:ascii="宋体" w:hAnsi="宋体"/>
                <w:szCs w:val="21"/>
              </w:rPr>
            </w:pPr>
            <w:r>
              <w:rPr>
                <w:rFonts w:hint="eastAsia" w:ascii="宋体" w:hAnsi="宋体"/>
                <w:szCs w:val="21"/>
              </w:rPr>
              <w:t>地址</w:t>
            </w:r>
          </w:p>
        </w:tc>
        <w:tc>
          <w:tcPr>
            <w:tcW w:w="2693" w:type="dxa"/>
            <w:vAlign w:val="center"/>
          </w:tcPr>
          <w:p>
            <w:pPr>
              <w:spacing w:line="5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84" w:type="dxa"/>
            <w:vAlign w:val="center"/>
          </w:tcPr>
          <w:p>
            <w:pPr>
              <w:spacing w:line="560" w:lineRule="exact"/>
              <w:jc w:val="center"/>
              <w:rPr>
                <w:rFonts w:ascii="宋体" w:hAnsi="宋体"/>
                <w:szCs w:val="21"/>
              </w:rPr>
            </w:pPr>
            <w:r>
              <w:rPr>
                <w:rFonts w:hint="eastAsia" w:ascii="宋体" w:hAnsi="宋体"/>
                <w:szCs w:val="21"/>
              </w:rPr>
              <w:t>联系人</w:t>
            </w:r>
          </w:p>
        </w:tc>
        <w:tc>
          <w:tcPr>
            <w:tcW w:w="3588" w:type="dxa"/>
            <w:vAlign w:val="center"/>
          </w:tcPr>
          <w:p>
            <w:pPr>
              <w:spacing w:line="560" w:lineRule="exact"/>
              <w:jc w:val="center"/>
              <w:rPr>
                <w:rFonts w:ascii="宋体" w:hAnsi="宋体"/>
                <w:szCs w:val="21"/>
              </w:rPr>
            </w:pPr>
          </w:p>
        </w:tc>
        <w:tc>
          <w:tcPr>
            <w:tcW w:w="1090" w:type="dxa"/>
            <w:vAlign w:val="center"/>
          </w:tcPr>
          <w:p>
            <w:pPr>
              <w:spacing w:line="560" w:lineRule="exact"/>
              <w:jc w:val="center"/>
              <w:rPr>
                <w:rFonts w:ascii="宋体" w:hAnsi="宋体"/>
                <w:szCs w:val="21"/>
              </w:rPr>
            </w:pPr>
            <w:r>
              <w:rPr>
                <w:rFonts w:hint="eastAsia" w:ascii="宋体" w:hAnsi="宋体"/>
                <w:szCs w:val="21"/>
              </w:rPr>
              <w:t>联系方式</w:t>
            </w:r>
          </w:p>
        </w:tc>
        <w:tc>
          <w:tcPr>
            <w:tcW w:w="2693" w:type="dxa"/>
            <w:vAlign w:val="center"/>
          </w:tcPr>
          <w:p>
            <w:pPr>
              <w:spacing w:line="5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84" w:type="dxa"/>
            <w:vAlign w:val="center"/>
          </w:tcPr>
          <w:p>
            <w:pPr>
              <w:spacing w:line="560" w:lineRule="exact"/>
              <w:jc w:val="center"/>
              <w:rPr>
                <w:rFonts w:ascii="宋体" w:hAnsi="宋体"/>
                <w:szCs w:val="21"/>
              </w:rPr>
            </w:pPr>
            <w:r>
              <w:rPr>
                <w:rFonts w:hint="eastAsia" w:ascii="宋体" w:hAnsi="宋体"/>
                <w:szCs w:val="21"/>
              </w:rPr>
              <w:t>许可证编号</w:t>
            </w:r>
          </w:p>
        </w:tc>
        <w:tc>
          <w:tcPr>
            <w:tcW w:w="3588" w:type="dxa"/>
            <w:vAlign w:val="center"/>
          </w:tcPr>
          <w:p>
            <w:pPr>
              <w:spacing w:line="560" w:lineRule="exact"/>
              <w:jc w:val="center"/>
              <w:rPr>
                <w:rFonts w:ascii="宋体" w:hAnsi="宋体"/>
                <w:szCs w:val="21"/>
              </w:rPr>
            </w:pPr>
          </w:p>
        </w:tc>
        <w:tc>
          <w:tcPr>
            <w:tcW w:w="1090" w:type="dxa"/>
            <w:vAlign w:val="center"/>
          </w:tcPr>
          <w:p>
            <w:pPr>
              <w:spacing w:line="560" w:lineRule="exact"/>
              <w:jc w:val="center"/>
              <w:rPr>
                <w:rFonts w:ascii="宋体" w:hAnsi="宋体"/>
                <w:szCs w:val="21"/>
              </w:rPr>
            </w:pPr>
            <w:r>
              <w:rPr>
                <w:rFonts w:hint="eastAsia" w:ascii="宋体" w:hAnsi="宋体"/>
                <w:szCs w:val="21"/>
              </w:rPr>
              <w:t>检查次数</w:t>
            </w:r>
          </w:p>
        </w:tc>
        <w:tc>
          <w:tcPr>
            <w:tcW w:w="2693" w:type="dxa"/>
            <w:vAlign w:val="center"/>
          </w:tcPr>
          <w:p>
            <w:pPr>
              <w:spacing w:line="560" w:lineRule="exact"/>
              <w:jc w:val="center"/>
              <w:rPr>
                <w:rFonts w:ascii="宋体" w:hAnsi="宋体"/>
                <w:szCs w:val="21"/>
              </w:rPr>
            </w:pPr>
            <w:r>
              <w:rPr>
                <w:rFonts w:hint="eastAsia" w:ascii="宋体" w:hAnsi="宋体"/>
                <w:szCs w:val="21"/>
              </w:rPr>
              <w:t>本年度第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8755" w:type="dxa"/>
            <w:gridSpan w:val="4"/>
          </w:tcPr>
          <w:p>
            <w:pPr>
              <w:spacing w:line="560" w:lineRule="exact"/>
              <w:rPr>
                <w:rFonts w:ascii="宋体" w:hAnsi="宋体"/>
                <w:szCs w:val="21"/>
              </w:rPr>
            </w:pPr>
            <w:r>
              <w:rPr>
                <w:rFonts w:hint="eastAsia" w:ascii="宋体" w:hAnsi="宋体"/>
                <w:szCs w:val="21"/>
              </w:rPr>
              <w:t>检查内容：</w:t>
            </w:r>
          </w:p>
          <w:p>
            <w:pPr>
              <w:spacing w:line="560" w:lineRule="exact"/>
              <w:ind w:firstLine="420" w:firstLineChars="200"/>
              <w:rPr>
                <w:rFonts w:ascii="宋体" w:hAnsi="宋体"/>
                <w:szCs w:val="21"/>
              </w:rPr>
            </w:pPr>
            <w:r>
              <w:rPr>
                <w:rFonts w:hint="eastAsia" w:ascii="宋体" w:hAnsi="宋体"/>
                <w:szCs w:val="21"/>
                <w:u w:val="single"/>
              </w:rPr>
              <w:t>（牧野区市监督管理局）</w:t>
            </w:r>
            <w:r>
              <w:rPr>
                <w:rFonts w:ascii="宋体" w:hAnsi="宋体"/>
                <w:szCs w:val="21"/>
              </w:rPr>
              <w:t xml:space="preserve"> </w:t>
            </w:r>
            <w:r>
              <w:rPr>
                <w:rFonts w:hint="eastAsia" w:ascii="宋体" w:hAnsi="宋体"/>
                <w:szCs w:val="21"/>
              </w:rPr>
              <w:t>检查人员根据《中华人民共和国食品安全法》及其实施条例、《食品生产经营日常监督检查管理办法》的规定，于</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日对你单位进行了监督检查。本次监督检查按照表开展，共检查了（</w:t>
            </w:r>
            <w:r>
              <w:rPr>
                <w:rFonts w:ascii="宋体" w:hAnsi="宋体"/>
                <w:szCs w:val="21"/>
              </w:rPr>
              <w:t xml:space="preserve">    </w:t>
            </w:r>
            <w:r>
              <w:rPr>
                <w:rFonts w:hint="eastAsia" w:ascii="宋体" w:hAnsi="宋体"/>
                <w:szCs w:val="21"/>
              </w:rPr>
              <w:t>）项内容；其中：</w:t>
            </w:r>
          </w:p>
          <w:p>
            <w:pPr>
              <w:spacing w:line="560" w:lineRule="exact"/>
              <w:ind w:firstLine="420" w:firstLineChars="200"/>
              <w:rPr>
                <w:rFonts w:ascii="宋体" w:hAnsi="宋体"/>
                <w:szCs w:val="21"/>
              </w:rPr>
            </w:pPr>
            <w:r>
              <w:rPr>
                <w:rFonts w:hint="eastAsia" w:ascii="宋体" w:hAnsi="宋体"/>
                <w:szCs w:val="21"/>
              </w:rPr>
              <w:t>重点项（</w:t>
            </w:r>
            <w:r>
              <w:rPr>
                <w:rFonts w:ascii="宋体" w:hAnsi="宋体"/>
                <w:szCs w:val="21"/>
              </w:rPr>
              <w:t xml:space="preserve">  </w:t>
            </w:r>
            <w:r>
              <w:rPr>
                <w:rFonts w:hint="eastAsia" w:ascii="宋体" w:hAnsi="宋体"/>
                <w:szCs w:val="21"/>
              </w:rPr>
              <w:t>）项，项目序号分别是（</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），发现问题（ </w:t>
            </w:r>
            <w:r>
              <w:rPr>
                <w:rFonts w:ascii="宋体" w:hAnsi="宋体"/>
                <w:szCs w:val="21"/>
              </w:rPr>
              <w:t xml:space="preserve">  </w:t>
            </w:r>
            <w:r>
              <w:rPr>
                <w:rFonts w:hint="eastAsia" w:ascii="宋体" w:hAnsi="宋体"/>
                <w:szCs w:val="21"/>
              </w:rPr>
              <w:t xml:space="preserve">）项，项目序号分别是（                      </w:t>
            </w:r>
            <w:r>
              <w:rPr>
                <w:rFonts w:ascii="宋体" w:hAnsi="宋体"/>
                <w:szCs w:val="21"/>
              </w:rPr>
              <w:t xml:space="preserve">  </w:t>
            </w:r>
            <w:r>
              <w:rPr>
                <w:rFonts w:hint="eastAsia" w:ascii="宋体" w:hAnsi="宋体"/>
                <w:szCs w:val="21"/>
              </w:rPr>
              <w:t>）；</w:t>
            </w:r>
          </w:p>
          <w:p>
            <w:pPr>
              <w:spacing w:line="560" w:lineRule="exact"/>
              <w:ind w:firstLine="420" w:firstLineChars="200"/>
              <w:rPr>
                <w:rFonts w:ascii="宋体" w:hAnsi="宋体"/>
                <w:szCs w:val="21"/>
              </w:rPr>
            </w:pPr>
            <w:r>
              <w:rPr>
                <w:rFonts w:hint="eastAsia" w:ascii="宋体" w:hAnsi="宋体"/>
                <w:szCs w:val="21"/>
              </w:rPr>
              <w:t>一般项（</w:t>
            </w:r>
            <w:r>
              <w:rPr>
                <w:rFonts w:ascii="宋体" w:hAnsi="宋体"/>
                <w:szCs w:val="21"/>
              </w:rPr>
              <w:t xml:space="preserve">  </w:t>
            </w:r>
            <w:r>
              <w:rPr>
                <w:rFonts w:hint="eastAsia" w:ascii="宋体" w:hAnsi="宋体"/>
                <w:szCs w:val="21"/>
              </w:rPr>
              <w:t>）项，项目序号分别是（</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），发现问题（</w:t>
            </w:r>
            <w:r>
              <w:rPr>
                <w:rFonts w:ascii="宋体" w:hAnsi="宋体"/>
                <w:szCs w:val="21"/>
              </w:rPr>
              <w:t xml:space="preserve">  </w:t>
            </w:r>
            <w:r>
              <w:rPr>
                <w:rFonts w:hint="eastAsia" w:ascii="宋体" w:hAnsi="宋体"/>
                <w:szCs w:val="21"/>
              </w:rPr>
              <w:t>）项，项目序号分别是（</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8755" w:type="dxa"/>
            <w:gridSpan w:val="4"/>
          </w:tcPr>
          <w:p>
            <w:pPr>
              <w:spacing w:line="560" w:lineRule="exact"/>
              <w:rPr>
                <w:rFonts w:ascii="宋体"/>
              </w:rPr>
            </w:pPr>
            <w:r>
              <w:rPr>
                <w:rFonts w:hint="eastAsia" w:ascii="宋体" w:hAnsi="宋体"/>
              </w:rPr>
              <w:t>检查结果：</w:t>
            </w:r>
          </w:p>
          <w:p>
            <w:pPr>
              <w:spacing w:line="560" w:lineRule="exact"/>
              <w:rPr>
                <w:rFonts w:ascii="宋体"/>
              </w:rPr>
            </w:pPr>
            <w:r>
              <w:rPr>
                <w:rFonts w:hint="eastAsia" w:ascii="宋体"/>
              </w:rPr>
              <w:t>□</w:t>
            </w:r>
            <w:r>
              <w:rPr>
                <w:rFonts w:hint="eastAsia" w:ascii="宋体" w:hAnsi="宋体"/>
              </w:rPr>
              <w:t>符合</w:t>
            </w:r>
            <w:r>
              <w:rPr>
                <w:rFonts w:ascii="宋体" w:hAnsi="宋体"/>
              </w:rPr>
              <w:t xml:space="preserve">  </w:t>
            </w:r>
            <w:r>
              <w:rPr>
                <w:rFonts w:hint="eastAsia" w:ascii="宋体"/>
              </w:rPr>
              <w:t>□</w:t>
            </w:r>
            <w:r>
              <w:rPr>
                <w:rFonts w:hint="eastAsia" w:ascii="宋体" w:hAnsi="宋体"/>
              </w:rPr>
              <w:t>基本符合</w:t>
            </w:r>
            <w:r>
              <w:rPr>
                <w:rFonts w:ascii="宋体" w:hAnsi="宋体"/>
              </w:rPr>
              <w:t xml:space="preserve">  </w:t>
            </w:r>
            <w:r>
              <w:rPr>
                <w:rFonts w:hint="eastAsia" w:ascii="宋体"/>
              </w:rPr>
              <w:t>□</w:t>
            </w:r>
            <w:r>
              <w:rPr>
                <w:rFonts w:hint="eastAsia" w:ascii="宋体" w:hAnsi="宋体"/>
              </w:rPr>
              <w:t>不符合</w:t>
            </w:r>
          </w:p>
          <w:p>
            <w:pPr>
              <w:spacing w:line="560" w:lineRule="exact"/>
              <w:rPr>
                <w:rFonts w:ascii="宋体"/>
              </w:rPr>
            </w:pPr>
            <w:r>
              <w:rPr>
                <w:rFonts w:hint="eastAsia" w:ascii="宋体" w:hAnsi="宋体"/>
              </w:rPr>
              <w:t>结果处理：</w:t>
            </w:r>
          </w:p>
          <w:p>
            <w:pPr>
              <w:spacing w:line="560" w:lineRule="exact"/>
              <w:rPr>
                <w:rFonts w:ascii="宋体"/>
              </w:rPr>
            </w:pPr>
            <w:r>
              <w:rPr>
                <w:rFonts w:hint="eastAsia" w:ascii="宋体"/>
              </w:rPr>
              <w:t>□</w:t>
            </w:r>
            <w:r>
              <w:rPr>
                <w:rFonts w:hint="eastAsia" w:ascii="宋体" w:hAnsi="宋体"/>
              </w:rPr>
              <w:t>通过</w:t>
            </w:r>
            <w:r>
              <w:rPr>
                <w:rFonts w:ascii="宋体" w:hAnsi="宋体"/>
              </w:rPr>
              <w:t xml:space="preserve">  </w:t>
            </w:r>
            <w:r>
              <w:rPr>
                <w:rFonts w:hint="eastAsia" w:ascii="宋体"/>
              </w:rPr>
              <w:t>□</w:t>
            </w:r>
            <w:r>
              <w:rPr>
                <w:rFonts w:hint="eastAsia" w:ascii="宋体" w:hAnsi="宋体"/>
              </w:rPr>
              <w:t>书面限期整改</w:t>
            </w:r>
            <w:r>
              <w:rPr>
                <w:rFonts w:ascii="宋体" w:hAnsi="宋体"/>
              </w:rPr>
              <w:t xml:space="preserve">  </w:t>
            </w:r>
            <w:r>
              <w:rPr>
                <w:rFonts w:hint="eastAsia" w:ascii="宋体"/>
              </w:rPr>
              <w:t>□</w:t>
            </w:r>
            <w:r>
              <w:rPr>
                <w:rFonts w:hint="eastAsia" w:ascii="宋体" w:hAnsi="宋体"/>
              </w:rPr>
              <w:t>食品生产者立即停止食品生产活动</w:t>
            </w:r>
          </w:p>
          <w:p>
            <w:pPr>
              <w:spacing w:line="560" w:lineRule="exact"/>
              <w:rPr>
                <w:rFonts w:ascii="宋体" w:hAnsi="宋体"/>
                <w:szCs w:val="21"/>
              </w:rPr>
            </w:pPr>
            <w:r>
              <w:rPr>
                <w:rFonts w:hint="eastAsia" w:ascii="宋体" w:hAnsi="宋体"/>
              </w:rPr>
              <w:t>说明（可附页）：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4972" w:type="dxa"/>
            <w:gridSpan w:val="2"/>
          </w:tcPr>
          <w:p>
            <w:pPr>
              <w:spacing w:line="560" w:lineRule="exact"/>
              <w:rPr>
                <w:rFonts w:ascii="宋体"/>
              </w:rPr>
            </w:pPr>
            <w:r>
              <w:rPr>
                <w:rFonts w:hint="eastAsia" w:ascii="宋体" w:hAnsi="宋体"/>
              </w:rPr>
              <w:t>执法人员（签名）：</w:t>
            </w:r>
          </w:p>
          <w:p>
            <w:pPr>
              <w:spacing w:line="560" w:lineRule="exact"/>
              <w:rPr>
                <w:rFonts w:ascii="宋体" w:hAnsi="宋体"/>
                <w:szCs w:val="21"/>
              </w:rPr>
            </w:pPr>
          </w:p>
          <w:p>
            <w:pPr>
              <w:spacing w:line="560" w:lineRule="exact"/>
              <w:ind w:firstLine="2940" w:firstLineChars="1400"/>
              <w:rPr>
                <w:rFonts w:ascii="宋体" w:hAnsi="宋体"/>
                <w:szCs w:val="21"/>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c>
          <w:tcPr>
            <w:tcW w:w="3783" w:type="dxa"/>
            <w:gridSpan w:val="2"/>
          </w:tcPr>
          <w:p>
            <w:pPr>
              <w:spacing w:line="560" w:lineRule="exact"/>
              <w:rPr>
                <w:rFonts w:ascii="宋体"/>
              </w:rPr>
            </w:pPr>
            <w:r>
              <w:rPr>
                <w:rFonts w:hint="eastAsia" w:ascii="宋体" w:hAnsi="宋体"/>
              </w:rPr>
              <w:t>被检查单位意见：</w:t>
            </w:r>
          </w:p>
          <w:p>
            <w:pPr>
              <w:spacing w:line="560" w:lineRule="exact"/>
              <w:rPr>
                <w:rFonts w:ascii="宋体"/>
              </w:rPr>
            </w:pPr>
            <w:r>
              <w:rPr>
                <w:rFonts w:hint="eastAsia" w:ascii="宋体" w:hAnsi="宋体"/>
              </w:rPr>
              <w:t>法人或负责人：</w:t>
            </w:r>
          </w:p>
          <w:p>
            <w:pPr>
              <w:spacing w:line="560" w:lineRule="exact"/>
              <w:ind w:firstLine="1680" w:firstLineChars="800"/>
              <w:rPr>
                <w:rFonts w:ascii="宋体" w:hAnsi="宋体"/>
                <w:szCs w:val="21"/>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日（章）</w:t>
            </w:r>
          </w:p>
        </w:tc>
      </w:tr>
    </w:tbl>
    <w:p>
      <w:pPr>
        <w:spacing w:line="600" w:lineRule="exact"/>
        <w:ind w:right="-34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E7513"/>
    <w:multiLevelType w:val="singleLevel"/>
    <w:tmpl w:val="BA4E7513"/>
    <w:lvl w:ilvl="0" w:tentative="0">
      <w:start w:val="1"/>
      <w:numFmt w:val="chineseCounting"/>
      <w:suff w:val="nothing"/>
      <w:lvlText w:val="%1、"/>
      <w:lvlJc w:val="left"/>
      <w:rPr>
        <w:rFonts w:hint="eastAsia"/>
      </w:rPr>
    </w:lvl>
  </w:abstractNum>
  <w:abstractNum w:abstractNumId="1">
    <w:nsid w:val="6C2969F4"/>
    <w:multiLevelType w:val="singleLevel"/>
    <w:tmpl w:val="6C2969F4"/>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AF"/>
    <w:rsid w:val="000071D1"/>
    <w:rsid w:val="001931FF"/>
    <w:rsid w:val="001F17BD"/>
    <w:rsid w:val="00241034"/>
    <w:rsid w:val="003144A1"/>
    <w:rsid w:val="00324EF4"/>
    <w:rsid w:val="00355BB5"/>
    <w:rsid w:val="00384C0F"/>
    <w:rsid w:val="003B2A55"/>
    <w:rsid w:val="003D560B"/>
    <w:rsid w:val="00423318"/>
    <w:rsid w:val="00493B71"/>
    <w:rsid w:val="004D66B0"/>
    <w:rsid w:val="0053727C"/>
    <w:rsid w:val="00686EC9"/>
    <w:rsid w:val="006B3D88"/>
    <w:rsid w:val="00721A91"/>
    <w:rsid w:val="00901408"/>
    <w:rsid w:val="00921FC5"/>
    <w:rsid w:val="00A065AF"/>
    <w:rsid w:val="00B41C27"/>
    <w:rsid w:val="00B76FC7"/>
    <w:rsid w:val="00C207BD"/>
    <w:rsid w:val="00C27C1F"/>
    <w:rsid w:val="00C56571"/>
    <w:rsid w:val="00C77225"/>
    <w:rsid w:val="00D05592"/>
    <w:rsid w:val="00D2522A"/>
    <w:rsid w:val="00DF2D87"/>
    <w:rsid w:val="00DF7625"/>
    <w:rsid w:val="00E6578B"/>
    <w:rsid w:val="00F5462D"/>
    <w:rsid w:val="0B094C4E"/>
    <w:rsid w:val="114D3D48"/>
    <w:rsid w:val="14D4747C"/>
    <w:rsid w:val="1B5C5469"/>
    <w:rsid w:val="1D712134"/>
    <w:rsid w:val="1D883444"/>
    <w:rsid w:val="1E2944FE"/>
    <w:rsid w:val="1F4043F5"/>
    <w:rsid w:val="20CE40A3"/>
    <w:rsid w:val="233F424A"/>
    <w:rsid w:val="243A034F"/>
    <w:rsid w:val="249661CF"/>
    <w:rsid w:val="2706367D"/>
    <w:rsid w:val="27150E97"/>
    <w:rsid w:val="2B87598F"/>
    <w:rsid w:val="32997FFD"/>
    <w:rsid w:val="3535746B"/>
    <w:rsid w:val="36C405CB"/>
    <w:rsid w:val="39EC4CE3"/>
    <w:rsid w:val="3FEE0F7E"/>
    <w:rsid w:val="45E10666"/>
    <w:rsid w:val="46E71EAD"/>
    <w:rsid w:val="47802E78"/>
    <w:rsid w:val="4B4A1DB8"/>
    <w:rsid w:val="4BF041C4"/>
    <w:rsid w:val="4C640A7A"/>
    <w:rsid w:val="4E4E3EC0"/>
    <w:rsid w:val="4E8156C3"/>
    <w:rsid w:val="506B6E0D"/>
    <w:rsid w:val="51860821"/>
    <w:rsid w:val="554A0062"/>
    <w:rsid w:val="56B41E12"/>
    <w:rsid w:val="56EC079F"/>
    <w:rsid w:val="5D9C6104"/>
    <w:rsid w:val="640C1EC5"/>
    <w:rsid w:val="65CF2563"/>
    <w:rsid w:val="66E16F2D"/>
    <w:rsid w:val="6BA772F7"/>
    <w:rsid w:val="6D421459"/>
    <w:rsid w:val="6FB06215"/>
    <w:rsid w:val="726C3B2C"/>
    <w:rsid w:val="734E473C"/>
    <w:rsid w:val="76933583"/>
    <w:rsid w:val="77CF09F1"/>
    <w:rsid w:val="7DBF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1040</Words>
  <Characters>5933</Characters>
  <Lines>49</Lines>
  <Paragraphs>13</Paragraphs>
  <TotalTime>10</TotalTime>
  <ScaleCrop>false</ScaleCrop>
  <LinksUpToDate>false</LinksUpToDate>
  <CharactersWithSpaces>6960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2021-03-09T02:28:00Z</dcterms:created>
  <dc:creator>微软用户</dc:creator>
  <cp:lastModifiedBy>阿里冰</cp:lastModifiedBy>
  <cp:lastPrinted>2020-04-13T00:10:00Z</cp:lastPrinted>
  <dcterms:modified xsi:type="dcterms:W3CDTF">2021-12-25T08:09:43Z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CE65708BF36D458281D238AF5DE07DAC</vt:lpwstr>
  </property>
</Properties>
</file>