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E9" w:rsidRDefault="003E42E9">
      <w:pPr>
        <w:spacing w:line="560" w:lineRule="exact"/>
        <w:rPr>
          <w:rFonts w:ascii="方正小标宋简体" w:eastAsia="方正小标宋简体"/>
          <w:sz w:val="44"/>
          <w:szCs w:val="44"/>
        </w:rPr>
      </w:pPr>
    </w:p>
    <w:p w:rsidR="003E42E9" w:rsidRDefault="00CD109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关于新乡市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卫滨区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2021年财政决算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和</w:t>
      </w:r>
      <w:proofErr w:type="gramEnd"/>
    </w:p>
    <w:p w:rsidR="003E42E9" w:rsidRDefault="00CD109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2022年上半年财政预算执行情况的报告</w:t>
      </w:r>
    </w:p>
    <w:p w:rsidR="003E42E9" w:rsidRDefault="003E42E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E42E9" w:rsidRDefault="00CD109E">
      <w:pPr>
        <w:pStyle w:val="a9"/>
        <w:spacing w:line="560" w:lineRule="exact"/>
        <w:ind w:firstLine="320"/>
        <w:jc w:val="center"/>
        <w:rPr>
          <w:rFonts w:ascii="楷体" w:eastAsia="楷体" w:hAnsi="楷体" w:cs="楷体"/>
          <w:color w:val="000000"/>
          <w:sz w:val="32"/>
        </w:rPr>
      </w:pPr>
      <w:r>
        <w:rPr>
          <w:rFonts w:ascii="楷体" w:eastAsia="楷体" w:hAnsi="楷体" w:cs="楷体" w:hint="eastAsia"/>
          <w:color w:val="000000"/>
          <w:sz w:val="32"/>
        </w:rPr>
        <w:t>—2022年8月16日在</w:t>
      </w:r>
      <w:proofErr w:type="gramStart"/>
      <w:r>
        <w:rPr>
          <w:rFonts w:ascii="楷体" w:eastAsia="楷体" w:hAnsi="楷体" w:cs="楷体" w:hint="eastAsia"/>
          <w:color w:val="000000"/>
          <w:sz w:val="32"/>
        </w:rPr>
        <w:t>卫滨区</w:t>
      </w:r>
      <w:proofErr w:type="gramEnd"/>
      <w:r>
        <w:rPr>
          <w:rFonts w:ascii="楷体" w:eastAsia="楷体" w:hAnsi="楷体" w:cs="楷体" w:hint="eastAsia"/>
          <w:color w:val="000000"/>
          <w:sz w:val="32"/>
        </w:rPr>
        <w:t>第十五届人民代表大会</w:t>
      </w:r>
    </w:p>
    <w:p w:rsidR="003E42E9" w:rsidRDefault="00CD109E">
      <w:pPr>
        <w:pStyle w:val="a9"/>
        <w:spacing w:line="560" w:lineRule="exact"/>
        <w:ind w:firstLine="320"/>
        <w:jc w:val="center"/>
        <w:rPr>
          <w:rFonts w:ascii="楷体" w:eastAsia="楷体" w:hAnsi="楷体" w:cs="楷体"/>
          <w:color w:val="000000"/>
          <w:sz w:val="32"/>
        </w:rPr>
      </w:pPr>
      <w:r>
        <w:rPr>
          <w:rFonts w:ascii="楷体" w:eastAsia="楷体" w:hAnsi="楷体" w:cs="楷体" w:hint="eastAsia"/>
          <w:color w:val="000000"/>
          <w:sz w:val="32"/>
        </w:rPr>
        <w:t>常务委员会第三次会议上</w:t>
      </w:r>
    </w:p>
    <w:p w:rsidR="003E42E9" w:rsidRDefault="00CD109E">
      <w:pPr>
        <w:pStyle w:val="a9"/>
        <w:spacing w:line="560" w:lineRule="exact"/>
        <w:ind w:firstLine="320"/>
        <w:jc w:val="center"/>
      </w:pPr>
      <w:proofErr w:type="gramStart"/>
      <w:r>
        <w:rPr>
          <w:rFonts w:ascii="楷体" w:eastAsia="楷体" w:hAnsi="楷体" w:cs="楷体" w:hint="eastAsia"/>
          <w:color w:val="000000"/>
          <w:sz w:val="32"/>
        </w:rPr>
        <w:t>卫滨区</w:t>
      </w:r>
      <w:proofErr w:type="gramEnd"/>
      <w:r>
        <w:rPr>
          <w:rFonts w:ascii="楷体" w:eastAsia="楷体" w:hAnsi="楷体" w:cs="楷体" w:hint="eastAsia"/>
          <w:color w:val="000000"/>
          <w:sz w:val="32"/>
        </w:rPr>
        <w:t>政协副主席  财政局党组书记  向卫群</w:t>
      </w:r>
    </w:p>
    <w:p w:rsidR="003E42E9" w:rsidRDefault="003E42E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E42E9" w:rsidRDefault="00CD109E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主任、各位副主任、各位委员：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我受区政府委托，现向区人大常委会报告</w:t>
      </w:r>
      <w:proofErr w:type="gramStart"/>
      <w:r>
        <w:rPr>
          <w:rFonts w:ascii="仿宋_GB2312" w:eastAsia="仿宋_GB2312" w:hint="eastAsia"/>
          <w:sz w:val="32"/>
          <w:szCs w:val="32"/>
        </w:rPr>
        <w:t>卫滨区</w:t>
      </w:r>
      <w:proofErr w:type="gramEnd"/>
      <w:r>
        <w:rPr>
          <w:rFonts w:ascii="仿宋_GB2312" w:eastAsia="仿宋_GB2312" w:hint="eastAsia"/>
          <w:sz w:val="32"/>
          <w:szCs w:val="32"/>
        </w:rPr>
        <w:t>2021年财政决算和2022年上半年财政预算执行情况，请</w:t>
      </w:r>
      <w:proofErr w:type="gramStart"/>
      <w:r>
        <w:rPr>
          <w:rFonts w:ascii="仿宋_GB2312" w:eastAsia="仿宋_GB2312" w:hint="eastAsia"/>
          <w:sz w:val="32"/>
          <w:szCs w:val="32"/>
        </w:rPr>
        <w:t>予审</w:t>
      </w:r>
      <w:proofErr w:type="gramEnd"/>
      <w:r>
        <w:rPr>
          <w:rFonts w:ascii="仿宋_GB2312" w:eastAsia="仿宋_GB2312" w:hint="eastAsia"/>
          <w:sz w:val="32"/>
          <w:szCs w:val="32"/>
        </w:rPr>
        <w:t>议。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一、2021年财政决算情况</w:t>
      </w:r>
    </w:p>
    <w:p w:rsidR="003E42E9" w:rsidRDefault="00CD109E">
      <w:pPr>
        <w:spacing w:line="56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2021年，财政部门全面贯彻区委、区政府的决策部署，认真落实十四届人大六次会议有关决议，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积极作为、开拓创新，</w:t>
      </w:r>
      <w:r>
        <w:rPr>
          <w:rFonts w:ascii="仿宋_GB2312" w:eastAsia="仿宋_GB2312" w:hint="eastAsia"/>
          <w:sz w:val="32"/>
          <w:szCs w:val="32"/>
        </w:rPr>
        <w:t>实现财政改革和发展平稳推进，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切实保障和改善民生，主要指标好于预期，财政运行情况总体平稳。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（一）全区决算情况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一般公共预算收入安排32331万元，调减收入1001万元，调整后一般公共收入预算为31330万元，实际完成31483万元，为调整预算的100.5%，同比增长4.7%。其中：税收收入完成21154万元，同比下降0.7%，占一般公共预算收入比重为67.2%;非税收</w:t>
      </w:r>
      <w:r>
        <w:rPr>
          <w:rFonts w:ascii="仿宋_GB2312" w:eastAsia="仿宋_GB2312" w:hAnsi="ˎ̥" w:hint="eastAsia"/>
          <w:sz w:val="32"/>
          <w:szCs w:val="32"/>
        </w:rPr>
        <w:t>入完成10329</w:t>
      </w:r>
      <w:r>
        <w:rPr>
          <w:rFonts w:ascii="仿宋_GB2312" w:eastAsia="仿宋_GB2312" w:cs="宋体" w:hint="eastAsia"/>
          <w:sz w:val="32"/>
          <w:szCs w:val="32"/>
        </w:rPr>
        <w:t>万元，同比</w:t>
      </w:r>
      <w:r>
        <w:rPr>
          <w:rFonts w:ascii="仿宋_GB2312" w:eastAsia="仿宋_GB2312" w:hint="eastAsia"/>
          <w:sz w:val="32"/>
          <w:szCs w:val="32"/>
        </w:rPr>
        <w:t>增长17.7%，占</w:t>
      </w:r>
      <w:r>
        <w:rPr>
          <w:rFonts w:ascii="仿宋_GB2312" w:eastAsia="仿宋_GB2312" w:hAnsi="ˎ̥" w:hint="eastAsia"/>
          <w:sz w:val="32"/>
          <w:szCs w:val="32"/>
        </w:rPr>
        <w:t>一般公共预算收入比重为</w:t>
      </w:r>
      <w:r>
        <w:rPr>
          <w:rFonts w:ascii="仿宋_GB2312" w:eastAsia="仿宋_GB2312" w:hint="eastAsia"/>
          <w:sz w:val="32"/>
          <w:szCs w:val="32"/>
        </w:rPr>
        <w:lastRenderedPageBreak/>
        <w:t>32.8%。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3E42E9" w:rsidRDefault="00CD109E">
      <w:pPr>
        <w:spacing w:line="560" w:lineRule="exact"/>
        <w:ind w:firstLineChars="200" w:firstLine="640"/>
        <w:rPr>
          <w:rFonts w:ascii="仿宋_GB2312" w:eastAsia="仿宋_GB2312" w:hAnsi="ˎ̥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全区一般公共预算支出完成55240</w:t>
      </w:r>
      <w:r>
        <w:rPr>
          <w:rFonts w:ascii="仿宋_GB2312" w:eastAsia="仿宋_GB2312" w:hAnsi="ˎ̥" w:hint="eastAsia"/>
          <w:sz w:val="32"/>
          <w:szCs w:val="32"/>
        </w:rPr>
        <w:t>万元。年初</w:t>
      </w:r>
      <w:proofErr w:type="gramStart"/>
      <w:r>
        <w:rPr>
          <w:rFonts w:ascii="仿宋_GB2312" w:eastAsia="仿宋_GB2312" w:hAnsi="ˎ̥" w:hint="eastAsia"/>
          <w:sz w:val="32"/>
          <w:szCs w:val="32"/>
        </w:rPr>
        <w:t>各级人</w:t>
      </w:r>
      <w:proofErr w:type="gramEnd"/>
      <w:r>
        <w:rPr>
          <w:rFonts w:ascii="仿宋_GB2312" w:eastAsia="仿宋_GB2312" w:hAnsi="ˎ̥" w:hint="eastAsia"/>
          <w:sz w:val="32"/>
          <w:szCs w:val="32"/>
        </w:rPr>
        <w:t>大会批准的支出预算合计53102万元，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执行中,新增上级补助11007万元，地方政府债券收入</w:t>
      </w:r>
      <w:r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6000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万元，调减支出460万元，一般公共支出预算调整后为</w:t>
      </w:r>
      <w:r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69649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万元，全年实际支出为调整预算的</w:t>
      </w:r>
      <w:r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79.3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%</w:t>
      </w:r>
      <w:r>
        <w:rPr>
          <w:rFonts w:asciiTheme="minorHAnsi" w:eastAsia="仿宋_GB2312" w:hint="eastAsia"/>
          <w:color w:val="000000"/>
          <w:sz w:val="32"/>
        </w:rPr>
        <w:t>（按照《国务院关于进一步深化预算管理制度改革的意见》要求，财政支出核算方式由权责发生制改为收付实现制，造成支出减少，支出进度下降）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区一般公共预算收入31483万元，加上上级各项补助收入44156万元，债务转贷收入7400万元，动用预算稳定调节基金1400万元，上年结余2272万元，调入资金321万元，收入总计87032万元。一般公共预算支出55240万元，上解上级支出14305万元，调出资金371万元，债务还本支出1948万元，安排预算稳定调节基金759万元，支出总计72623万元，收支相抵，一般公共预算滚存结余14409万元，全部结转下年支出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（二）区本级决算情况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区级一般公共收入预算为25830万元，实际完成25970万元，为预算的100.5%，增长6.8%。其中：税收收入完成15641万元，为预算的71.2%，增长0.6%; 非税收入完成10329万元，为预算的268.3%，增长17.7%。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区级一般公共支出预算为49376万元。年度预算执行中，由于新增上级补助10481万元，地方政府债券收入6000万元，一般公共支出预算调整后为65463万元，实际完成52839万元，为调整预算的80.7%。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</w:t>
      </w:r>
      <w:r>
        <w:rPr>
          <w:rFonts w:ascii="仿宋_GB2312" w:eastAsia="仿宋_GB2312" w:hint="eastAsia"/>
          <w:sz w:val="32"/>
          <w:szCs w:val="32"/>
        </w:rPr>
        <w:t>区本级一般公共预算收入25970万元，加上上级补助收入44156万元，债务转贷收入7400万元，上年结余704万元，动用预算稳定调节基金1400万元，平原镇上解收入4858万元，调入资金321万元，收入总计84809万元。一般公共预算支出52839万元，补助平原镇支出1745万元，上解上级支出14305万元，调出资金371万元，债务还本支出1948万元，安排预算稳定调节基金750万元，支出总计71958万元，收支相抵，一般公共预算滚存结余12851万元，全部结转下年支出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/>
          <w:bCs/>
          <w:sz w:val="32"/>
          <w:szCs w:val="32"/>
        </w:rPr>
      </w:pPr>
      <w:r>
        <w:rPr>
          <w:rFonts w:ascii="楷体_GB2312" w:eastAsia="楷体_GB2312" w:hAnsi="楷体" w:hint="eastAsia"/>
          <w:bCs/>
          <w:sz w:val="32"/>
          <w:szCs w:val="32"/>
        </w:rPr>
        <w:t>（三）政府性基金收支平衡情况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</w:t>
      </w:r>
      <w:r>
        <w:rPr>
          <w:rFonts w:ascii="仿宋_GB2312" w:eastAsia="仿宋_GB2312" w:hint="eastAsia"/>
          <w:sz w:val="32"/>
          <w:szCs w:val="32"/>
        </w:rPr>
        <w:t>全区无政府性基金预算收入，上级补助收入</w:t>
      </w:r>
      <w:r>
        <w:rPr>
          <w:rFonts w:ascii="仿宋_GB2312" w:eastAsia="仿宋_GB2312" w:cs="宋体" w:hint="eastAsia"/>
          <w:kern w:val="0"/>
          <w:sz w:val="32"/>
          <w:szCs w:val="32"/>
        </w:rPr>
        <w:t>1213</w:t>
      </w:r>
      <w:r>
        <w:rPr>
          <w:rFonts w:ascii="仿宋_GB2312" w:eastAsia="仿宋_GB2312" w:hint="eastAsia"/>
          <w:sz w:val="32"/>
          <w:szCs w:val="32"/>
        </w:rPr>
        <w:t>万元，上年结余3781万元，调入资金371万元，收入总计5365万元。政府性基金预算支出</w:t>
      </w:r>
      <w:r>
        <w:rPr>
          <w:rFonts w:ascii="仿宋_GB2312" w:eastAsia="仿宋_GB2312" w:cs="宋体" w:hint="eastAsia"/>
          <w:kern w:val="0"/>
          <w:sz w:val="32"/>
          <w:szCs w:val="32"/>
        </w:rPr>
        <w:t>1704</w:t>
      </w:r>
      <w:r>
        <w:rPr>
          <w:rFonts w:ascii="仿宋_GB2312" w:eastAsia="仿宋_GB2312" w:hint="eastAsia"/>
          <w:sz w:val="32"/>
          <w:szCs w:val="32"/>
        </w:rPr>
        <w:t>万元，调出资金321万元，支出总计2025万元，收支相抵，政府性基金滚存结余</w:t>
      </w:r>
      <w:r>
        <w:rPr>
          <w:rFonts w:ascii="仿宋_GB2312" w:eastAsia="仿宋_GB2312" w:cs="宋体" w:hint="eastAsia"/>
          <w:kern w:val="0"/>
          <w:sz w:val="32"/>
          <w:szCs w:val="32"/>
        </w:rPr>
        <w:t>3340</w:t>
      </w:r>
      <w:r>
        <w:rPr>
          <w:rFonts w:ascii="仿宋_GB2312" w:eastAsia="仿宋_GB2312" w:hint="eastAsia"/>
          <w:sz w:val="32"/>
          <w:szCs w:val="32"/>
        </w:rPr>
        <w:t>万元，全部结转下年支出。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/>
          <w:bCs/>
          <w:sz w:val="32"/>
          <w:szCs w:val="32"/>
        </w:rPr>
      </w:pPr>
      <w:r>
        <w:rPr>
          <w:rFonts w:ascii="楷体_GB2312" w:eastAsia="楷体_GB2312" w:hAnsi="楷体" w:hint="eastAsia"/>
          <w:bCs/>
          <w:sz w:val="32"/>
          <w:szCs w:val="32"/>
        </w:rPr>
        <w:t>（四）社保基金收支平衡情况</w:t>
      </w:r>
    </w:p>
    <w:p w:rsidR="003E42E9" w:rsidRDefault="00CD109E">
      <w:pPr>
        <w:adjustRightInd w:val="0"/>
        <w:snapToGrid w:val="0"/>
        <w:spacing w:line="560" w:lineRule="exact"/>
        <w:ind w:firstLineChars="196" w:firstLine="627"/>
        <w:outlineLvl w:val="0"/>
        <w:rPr>
          <w:rFonts w:ascii="仿宋_GB2312" w:eastAsia="仿宋_GB2312" w:hAnsi="文星仿宋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</w:t>
      </w:r>
      <w:r>
        <w:rPr>
          <w:rFonts w:ascii="仿宋_GB2312" w:eastAsia="仿宋_GB2312" w:hAnsi="文星仿宋" w:hint="eastAsia"/>
          <w:sz w:val="32"/>
          <w:szCs w:val="32"/>
        </w:rPr>
        <w:t>区社会保险基金收入1980万元，支出完成1413万元，当年收支结余567万元，年末滚存结余3695万元。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楷体"/>
          <w:bCs/>
          <w:sz w:val="32"/>
          <w:szCs w:val="32"/>
        </w:rPr>
      </w:pPr>
      <w:r>
        <w:rPr>
          <w:rFonts w:ascii="楷体_GB2312" w:eastAsia="楷体_GB2312" w:hAnsi="楷体" w:hint="eastAsia"/>
          <w:bCs/>
          <w:sz w:val="32"/>
          <w:szCs w:val="32"/>
        </w:rPr>
        <w:t>（五）国有资本经营收支平衡情况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</w:t>
      </w:r>
      <w:r>
        <w:rPr>
          <w:rFonts w:ascii="仿宋_GB2312" w:eastAsia="仿宋_GB2312" w:hAnsi="文星仿宋" w:hint="eastAsia"/>
          <w:sz w:val="32"/>
          <w:szCs w:val="32"/>
        </w:rPr>
        <w:t>区国有资本经营收入498万元，支出完成8万元，</w:t>
      </w:r>
      <w:r>
        <w:rPr>
          <w:rFonts w:ascii="仿宋_GB2312" w:eastAsia="仿宋_GB2312" w:hint="eastAsia"/>
          <w:sz w:val="32"/>
          <w:szCs w:val="32"/>
        </w:rPr>
        <w:lastRenderedPageBreak/>
        <w:t>收支相抵，国有资本经营滚存结余</w:t>
      </w:r>
      <w:r>
        <w:rPr>
          <w:rFonts w:ascii="仿宋_GB2312" w:eastAsia="仿宋_GB2312" w:cs="宋体" w:hint="eastAsia"/>
          <w:kern w:val="0"/>
          <w:sz w:val="32"/>
          <w:szCs w:val="32"/>
        </w:rPr>
        <w:t>490</w:t>
      </w:r>
      <w:r>
        <w:rPr>
          <w:rFonts w:ascii="仿宋_GB2312" w:eastAsia="仿宋_GB2312" w:hint="eastAsia"/>
          <w:sz w:val="32"/>
          <w:szCs w:val="32"/>
        </w:rPr>
        <w:t>万元，全部结转下年支出。</w:t>
      </w:r>
    </w:p>
    <w:p w:rsidR="003E42E9" w:rsidRDefault="00CD109E" w:rsidP="0099298F">
      <w:pPr>
        <w:tabs>
          <w:tab w:val="left" w:pos="0"/>
        </w:tabs>
        <w:spacing w:line="560" w:lineRule="exact"/>
        <w:ind w:firstLineChars="199" w:firstLine="637"/>
        <w:rPr>
          <w:rFonts w:ascii="楷体_GB2312" w:eastAsia="楷体_GB2312" w:hAnsi="宋体"/>
          <w:sz w:val="32"/>
          <w:szCs w:val="32"/>
        </w:rPr>
      </w:pPr>
      <w:r>
        <w:rPr>
          <w:rFonts w:ascii="楷体_GB2312" w:eastAsia="楷体_GB2312" w:hAnsi="楷体_GB2312" w:hint="eastAsia"/>
          <w:sz w:val="32"/>
          <w:szCs w:val="32"/>
        </w:rPr>
        <w:t xml:space="preserve">（六）上级转移支付和财力补助情况　</w:t>
      </w:r>
    </w:p>
    <w:p w:rsidR="003E42E9" w:rsidRDefault="00CD109E">
      <w:pPr>
        <w:autoSpaceDN w:val="0"/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2021年，上级对我区转移支付和财力补助44156万元，较上年减少13941万元，同比下降24%（根据任务情况住房保障及污染防治方面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补助较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上年减少8982万元、特殊转移支付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补助较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上年减少6000余万元）。其中：均衡性转移支付和财力补助19362万元，贫困地区转移支付10万元，文化旅游体育与传媒转移支付109万元，公共安全转移支付136万元，教育转移支付2447万元，科学技术转移支付94万元，社会保障和就业转移支付5227万元，卫生健康转移支付3056万元，农林</w:t>
      </w:r>
      <w:proofErr w:type="gramStart"/>
      <w:r>
        <w:rPr>
          <w:rFonts w:ascii="仿宋_GB2312" w:eastAsia="仿宋_GB2312" w:hAnsi="仿宋_GB2312" w:hint="eastAsia"/>
          <w:sz w:val="32"/>
          <w:szCs w:val="32"/>
        </w:rPr>
        <w:t>水转移</w:t>
      </w:r>
      <w:proofErr w:type="gramEnd"/>
      <w:r>
        <w:rPr>
          <w:rFonts w:ascii="仿宋_GB2312" w:eastAsia="仿宋_GB2312" w:hAnsi="仿宋_GB2312" w:hint="eastAsia"/>
          <w:sz w:val="32"/>
          <w:szCs w:val="32"/>
        </w:rPr>
        <w:t>支付648万元，交通运输转移支付98万元，住房保障转移支付2149万元，灾害防治及应急管理转移支付54万元，专项转移支付10766万元。</w:t>
      </w:r>
    </w:p>
    <w:p w:rsidR="003E42E9" w:rsidRDefault="00CD109E">
      <w:pPr>
        <w:autoSpaceDN w:val="0"/>
        <w:spacing w:line="560" w:lineRule="exact"/>
        <w:ind w:firstLineChars="200" w:firstLine="640"/>
        <w:rPr>
          <w:rFonts w:ascii="楷体_GB2312" w:eastAsia="楷体_GB2312" w:hAnsi="仿宋_GB2312"/>
          <w:sz w:val="32"/>
          <w:szCs w:val="32"/>
        </w:rPr>
      </w:pPr>
      <w:r>
        <w:rPr>
          <w:rFonts w:ascii="楷体_GB2312" w:eastAsia="楷体_GB2312" w:hAnsi="仿宋_GB2312" w:hint="eastAsia"/>
          <w:sz w:val="32"/>
          <w:szCs w:val="32"/>
        </w:rPr>
        <w:t>（七）债券资金管理使用情况</w:t>
      </w:r>
    </w:p>
    <w:p w:rsidR="003E42E9" w:rsidRDefault="00CD109E">
      <w:pPr>
        <w:spacing w:line="56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2021年，经我区申报上级下达地方政府债券7400万元。其中：再融资债券1400万元，新增债券6000万元。再融资债券按要求全部用于偿还到期债务，新增债券主要用于农田水利、</w:t>
      </w:r>
      <w:r>
        <w:rPr>
          <w:rFonts w:ascii="仿宋_GB2312" w:eastAsia="仿宋_GB2312" w:hAnsi="仿宋" w:cs="宋体" w:hint="eastAsia"/>
          <w:sz w:val="32"/>
          <w:szCs w:val="32"/>
        </w:rPr>
        <w:t>小街巷维修整治、法院“两庭”建设、雪亮工程、</w:t>
      </w:r>
      <w:proofErr w:type="gramStart"/>
      <w:r>
        <w:rPr>
          <w:rFonts w:ascii="仿宋_GB2312" w:eastAsia="仿宋_GB2312" w:hAnsi="仿宋" w:cs="宋体" w:hint="eastAsia"/>
          <w:sz w:val="32"/>
          <w:szCs w:val="32"/>
        </w:rPr>
        <w:t>西孟河斜</w:t>
      </w:r>
      <w:proofErr w:type="gramEnd"/>
      <w:r>
        <w:rPr>
          <w:rFonts w:ascii="仿宋_GB2312" w:eastAsia="仿宋_GB2312" w:hAnsi="仿宋" w:cs="宋体" w:hint="eastAsia"/>
          <w:sz w:val="32"/>
          <w:szCs w:val="32"/>
        </w:rPr>
        <w:t>沟、卫河清淤</w:t>
      </w:r>
      <w:r>
        <w:rPr>
          <w:rFonts w:ascii="仿宋_GB2312" w:eastAsia="仿宋_GB2312" w:hint="eastAsia"/>
          <w:sz w:val="32"/>
          <w:szCs w:val="32"/>
        </w:rPr>
        <w:t>等重点项目，</w:t>
      </w:r>
      <w:r>
        <w:rPr>
          <w:rFonts w:ascii="仿宋_GB2312" w:eastAsia="仿宋_GB2312" w:hAnsi="仿宋_GB2312" w:hint="eastAsia"/>
          <w:sz w:val="32"/>
          <w:szCs w:val="32"/>
        </w:rPr>
        <w:t>极大缓解了区财政支出压力。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截至年底，区政府债务余额37378万元，较上年增加10278万元。其中：一般债务余额22778万元，专项债务余额14600万元（智能机器人产业园13100万元）。无逾期债务</w:t>
      </w:r>
      <w:r>
        <w:rPr>
          <w:rFonts w:ascii="仿宋_GB2312" w:eastAsia="仿宋_GB2312" w:hint="eastAsia"/>
          <w:bCs/>
          <w:sz w:val="32"/>
          <w:szCs w:val="32"/>
        </w:rPr>
        <w:t>，综合债务率约54%，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政府债务债券率100%，各项债务率均低于预警线，全区债务余额低于省财政厅核定的限额。</w:t>
      </w:r>
      <w:r>
        <w:rPr>
          <w:rFonts w:ascii="仿宋_GB2312" w:eastAsia="仿宋_GB2312" w:hAnsi="仿宋_GB2312" w:hint="eastAsia"/>
          <w:sz w:val="32"/>
          <w:szCs w:val="32"/>
        </w:rPr>
        <w:t>同时，严格落实上级防风险精神，健全债务管理制度，严格控制违规举债，在政府债务规模不断增加的情况下，坚守“增债</w:t>
      </w:r>
      <w:r>
        <w:rPr>
          <w:rFonts w:ascii="仿宋_GB2312" w:eastAsia="仿宋_GB2312" w:hAnsi="仿宋_GB2312" w:hint="eastAsia"/>
          <w:sz w:val="32"/>
          <w:szCs w:val="32"/>
        </w:rPr>
        <w:lastRenderedPageBreak/>
        <w:t>不增风险”的底线。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二、2022年上半年财政预算执行情况</w:t>
      </w:r>
    </w:p>
    <w:p w:rsidR="003E42E9" w:rsidRDefault="00CD109E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cs="宋体"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kern w:val="0"/>
          <w:sz w:val="32"/>
          <w:szCs w:val="32"/>
        </w:rPr>
        <w:t>（一）全区一般公共预算收支情况</w:t>
      </w:r>
    </w:p>
    <w:p w:rsidR="003E42E9" w:rsidRDefault="00CD109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2022年，全区一般公共收入预算为51618万元，上半年完成</w:t>
      </w:r>
      <w:r>
        <w:rPr>
          <w:rFonts w:ascii="仿宋_GB2312" w:eastAsia="仿宋_GB2312" w:hint="eastAsia"/>
          <w:kern w:val="0"/>
          <w:sz w:val="32"/>
          <w:szCs w:val="32"/>
        </w:rPr>
        <w:t>19245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万元，为年预算的37.3%，下降16.8%，同比口径下降2.5%（扣除减税降费因素）。其中：</w:t>
      </w:r>
      <w:r>
        <w:rPr>
          <w:rFonts w:ascii="仿宋_GB2312" w:eastAsia="仿宋_GB2312" w:hint="eastAsia"/>
          <w:sz w:val="32"/>
          <w:szCs w:val="32"/>
        </w:rPr>
        <w:t>税收收入完成14829万元，为年预算的36.8%，下降27.8%，同比口径下降11.5%，占一般公共预算收入比重为77.1%，同口径比重为80.6%；非税收入完成4416万元，为年预算的38.9%，增长69.7%，同比口径增长78.6%，占一般公共预算收入比重为22.9%，同口径比重为19.4%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2022年，全区一般公共支出预算为36724万元，预算执行中，加上提前告知转移支付和专项补助、上年结转以及新增转移支付和专项补助等，调整后支出预算为63916万元，实际支出27902万元，为调整预算的43.7%，同比下降8.6%。</w:t>
      </w:r>
    </w:p>
    <w:p w:rsidR="003E42E9" w:rsidRDefault="00CD109E">
      <w:pPr>
        <w:widowControl/>
        <w:adjustRightInd w:val="0"/>
        <w:snapToGrid w:val="0"/>
        <w:spacing w:line="560" w:lineRule="exact"/>
        <w:ind w:firstLineChars="200" w:firstLine="640"/>
        <w:rPr>
          <w:rFonts w:ascii="楷体_GB2312" w:eastAsia="楷体_GB2312" w:hAnsi="宋体" w:cs="宋体"/>
          <w:bCs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Cs/>
          <w:kern w:val="0"/>
          <w:sz w:val="32"/>
          <w:szCs w:val="32"/>
        </w:rPr>
        <w:t>（二）区本级一般公共预算收支情况</w:t>
      </w:r>
    </w:p>
    <w:p w:rsidR="003E42E9" w:rsidRDefault="00CD109E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2022年，区本级一般公共收入预算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41421万元，上半年完成15946万元，</w:t>
      </w:r>
      <w:r>
        <w:rPr>
          <w:rFonts w:ascii="仿宋_GB2312" w:eastAsia="仿宋_GB2312" w:hint="eastAsia"/>
          <w:sz w:val="32"/>
          <w:szCs w:val="32"/>
        </w:rPr>
        <w:t>为年预算的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38.5%，下降15.9%，同比口径下降2.3%（扣除减税降费因素）。</w:t>
      </w:r>
      <w:r>
        <w:rPr>
          <w:rFonts w:ascii="仿宋_GB2312" w:eastAsia="仿宋_GB2312" w:hint="eastAsia"/>
          <w:sz w:val="32"/>
          <w:szCs w:val="32"/>
        </w:rPr>
        <w:t>其中：税收收入完成11530万元，为年预算的38.4%，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下降26.5%，同比口径下降10.8%，</w:t>
      </w:r>
      <w:r>
        <w:rPr>
          <w:rFonts w:ascii="仿宋_GB2312" w:eastAsia="仿宋_GB2312" w:hint="eastAsia"/>
          <w:sz w:val="32"/>
          <w:szCs w:val="32"/>
        </w:rPr>
        <w:t>占一般公共预算收入比重为72.3%，同口径比重为74.6%；非税收入完成4416万元，为年预算的38.9%，增长69.7%，同比口径增长78.6%，占一般公共预算收入比重为27.7%，同口径比重为25.4%。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2022年，区本级一般公共支出预算为34900万元，上半年预算执行中，加上提前告知转移支付和专项补助、上年结转以及新</w:t>
      </w:r>
      <w:r>
        <w:rPr>
          <w:rFonts w:ascii="仿宋_GB2312" w:eastAsia="仿宋_GB2312" w:hint="eastAsia"/>
          <w:sz w:val="32"/>
          <w:szCs w:val="32"/>
        </w:rPr>
        <w:lastRenderedPageBreak/>
        <w:t>增转移支付和专项补助等，调整后支出预算为61663万元，实际支出26868万元，为调整预算的43.6%，同比下降9.8%（因为财政支出核算方式由权责发生制改为收付实现制，造成今年支出减少同比下降）。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主要支出项目完成情况：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教育支出年初预算安排6571万元，预算执行中，</w:t>
      </w:r>
      <w:r>
        <w:rPr>
          <w:rFonts w:ascii="仿宋_GB2312" w:eastAsia="仿宋_GB2312" w:hAnsi="宋体" w:cs="宋体" w:hint="eastAsia"/>
          <w:sz w:val="32"/>
          <w:szCs w:val="32"/>
        </w:rPr>
        <w:t>加上</w:t>
      </w:r>
      <w:r>
        <w:rPr>
          <w:rFonts w:ascii="仿宋_GB2312" w:eastAsia="仿宋_GB2312" w:hint="eastAsia"/>
          <w:sz w:val="32"/>
          <w:szCs w:val="32"/>
        </w:rPr>
        <w:t>新增转移支付、上级专项补助等，调整后支出预算为10024万元，实际支出3711万元，为调整预算的37%，同比下降41.3%。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科学技术支出年初预算安排142万元，预算执行中，</w:t>
      </w:r>
      <w:r>
        <w:rPr>
          <w:rFonts w:ascii="仿宋_GB2312" w:eastAsia="仿宋_GB2312" w:hAnsi="宋体" w:cs="宋体" w:hint="eastAsia"/>
          <w:sz w:val="32"/>
          <w:szCs w:val="32"/>
        </w:rPr>
        <w:t>加上</w:t>
      </w:r>
      <w:r>
        <w:rPr>
          <w:rFonts w:ascii="仿宋_GB2312" w:eastAsia="仿宋_GB2312" w:hint="eastAsia"/>
          <w:sz w:val="32"/>
          <w:szCs w:val="32"/>
        </w:rPr>
        <w:t>新增转移支付、上级专项补助等，调整后支出预算为495万元，实际支出133万元，为调整预算的26.9%，同比增长24.3%。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农林水事务支出年初预算安排416万元，预算执行中，</w:t>
      </w:r>
      <w:r>
        <w:rPr>
          <w:rFonts w:ascii="仿宋_GB2312" w:eastAsia="仿宋_GB2312" w:hAnsi="宋体" w:cs="宋体" w:hint="eastAsia"/>
          <w:sz w:val="32"/>
          <w:szCs w:val="32"/>
        </w:rPr>
        <w:t>加上</w:t>
      </w:r>
      <w:r>
        <w:rPr>
          <w:rFonts w:ascii="仿宋_GB2312" w:eastAsia="仿宋_GB2312" w:hint="eastAsia"/>
          <w:sz w:val="32"/>
          <w:szCs w:val="32"/>
        </w:rPr>
        <w:t>新增转移支付、上级专项补助等，调整后支出预算为3868万元，实际支出677万元，为调整预算的17.5%，同比增长15.6%。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卫生健康支出年初预算安排4105万元，预算执行中，加上新增转移支付、上级专项补助等，调整后支出预算为6333万元，实际支出2543万元，为调整预算的40.1%，同比下降34.8%。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社会保障和就业支出年初预算安排6589万元，预算执行中，加上新增转移支付、上级专项补助等，调整后支出预算为9385万元，实际支出5177万元，为调整预算的55.2%，同比下降26%。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环境保护支出预算执行中，</w:t>
      </w:r>
      <w:r>
        <w:rPr>
          <w:rFonts w:ascii="仿宋_GB2312" w:eastAsia="仿宋_GB2312" w:hAnsi="宋体" w:cs="宋体" w:hint="eastAsia"/>
          <w:sz w:val="32"/>
          <w:szCs w:val="32"/>
        </w:rPr>
        <w:t>加上</w:t>
      </w:r>
      <w:r>
        <w:rPr>
          <w:rFonts w:ascii="仿宋_GB2312" w:eastAsia="仿宋_GB2312" w:hint="eastAsia"/>
          <w:sz w:val="32"/>
          <w:szCs w:val="32"/>
        </w:rPr>
        <w:t>新增转移支付、上级专项补助等，调整后支出预算为2016万元，实际支出32万元，为调整预算的1.6%，同比下降91.5%。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公共安全支出年初预算安排279万元，预算执行中，</w:t>
      </w:r>
      <w:r>
        <w:rPr>
          <w:rFonts w:ascii="仿宋_GB2312" w:eastAsia="仿宋_GB2312" w:hAnsi="宋体" w:cs="宋体" w:hint="eastAsia"/>
          <w:sz w:val="32"/>
          <w:szCs w:val="32"/>
        </w:rPr>
        <w:t>加上</w:t>
      </w:r>
      <w:r>
        <w:rPr>
          <w:rFonts w:ascii="仿宋_GB2312" w:eastAsia="仿宋_GB2312" w:hint="eastAsia"/>
          <w:sz w:val="32"/>
          <w:szCs w:val="32"/>
        </w:rPr>
        <w:t>新</w:t>
      </w:r>
      <w:r>
        <w:rPr>
          <w:rFonts w:ascii="仿宋_GB2312" w:eastAsia="仿宋_GB2312" w:hint="eastAsia"/>
          <w:sz w:val="32"/>
          <w:szCs w:val="32"/>
        </w:rPr>
        <w:lastRenderedPageBreak/>
        <w:t>增转移支付、上级专项补助等，调整后支出预算为373万元，实际支出135万元，为调整预算的36.2%，同比下降88.9%。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一般公共服务支出年初预算安排12</w:t>
      </w:r>
      <w:r w:rsidR="0099298F">
        <w:rPr>
          <w:rFonts w:ascii="仿宋_GB2312" w:eastAsia="仿宋_GB2312" w:hint="eastAsia"/>
          <w:sz w:val="32"/>
          <w:szCs w:val="32"/>
        </w:rPr>
        <w:t>611</w:t>
      </w:r>
      <w:r>
        <w:rPr>
          <w:rFonts w:ascii="仿宋_GB2312" w:eastAsia="仿宋_GB2312" w:hint="eastAsia"/>
          <w:sz w:val="32"/>
          <w:szCs w:val="32"/>
        </w:rPr>
        <w:t>万元，预算执行中，</w:t>
      </w:r>
      <w:r>
        <w:rPr>
          <w:rFonts w:ascii="仿宋_GB2312" w:eastAsia="仿宋_GB2312" w:hAnsi="宋体" w:cs="宋体" w:hint="eastAsia"/>
          <w:sz w:val="32"/>
          <w:szCs w:val="32"/>
        </w:rPr>
        <w:t>加上</w:t>
      </w:r>
      <w:r>
        <w:rPr>
          <w:rFonts w:ascii="仿宋_GB2312" w:eastAsia="仿宋_GB2312" w:hint="eastAsia"/>
          <w:sz w:val="32"/>
          <w:szCs w:val="32"/>
        </w:rPr>
        <w:t>新增转移支付、上级专项补助等，调整后支出预算为13922万元，实际支出12415万元，为调整预算的8</w:t>
      </w:r>
      <w:r w:rsidR="0099298F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.2%，同比增长99.3%。</w:t>
      </w:r>
    </w:p>
    <w:p w:rsidR="003E42E9" w:rsidRDefault="00CD109E">
      <w:pPr>
        <w:adjustRightInd w:val="0"/>
        <w:snapToGrid w:val="0"/>
        <w:spacing w:line="560" w:lineRule="exact"/>
        <w:ind w:firstLineChars="200" w:firstLine="640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（三）基金收支情况</w:t>
      </w:r>
    </w:p>
    <w:p w:rsidR="003E42E9" w:rsidRDefault="00CD109E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2022年，基金支出预算为50万元（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调入资金</w:t>
      </w:r>
      <w:r>
        <w:rPr>
          <w:rFonts w:ascii="仿宋_GB2312" w:eastAsia="仿宋_GB2312" w:hint="eastAsia"/>
          <w:sz w:val="32"/>
          <w:szCs w:val="32"/>
        </w:rPr>
        <w:t>），上半年预算执行中，加上新增上级补助405万元、上年结转3340万元，调整后支出预算为3795万元，实际支出168万元，为调整预算的4.4%，同比下降95.7%</w:t>
      </w:r>
      <w:r>
        <w:rPr>
          <w:rFonts w:asciiTheme="minorHAnsi" w:eastAsia="仿宋_GB2312" w:hint="eastAsia"/>
          <w:color w:val="000000"/>
          <w:sz w:val="32"/>
        </w:rPr>
        <w:t>（因为财政支出核算方式由权责发生制改为收付实现制，造成今年支出减少同比下降</w:t>
      </w:r>
      <w:r>
        <w:rPr>
          <w:rFonts w:ascii="仿宋_GB2312" w:eastAsia="仿宋_GB2312" w:hint="eastAsia"/>
          <w:sz w:val="32"/>
          <w:szCs w:val="32"/>
        </w:rPr>
        <w:t>）。</w:t>
      </w:r>
    </w:p>
    <w:p w:rsidR="003E42E9" w:rsidRDefault="00CD109E">
      <w:pPr>
        <w:widowControl/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三、2022年上半年财政预算执行中采取的主要措施</w:t>
      </w:r>
    </w:p>
    <w:p w:rsidR="003E42E9" w:rsidRDefault="00CD109E">
      <w:pPr>
        <w:pStyle w:val="a8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仿宋_GB2312" w:eastAsia="仿宋_GB2312" w:hAnsi="Times New Roman" w:cs="仿宋_GB2312"/>
          <w:sz w:val="32"/>
          <w:szCs w:val="32"/>
        </w:rPr>
      </w:pPr>
      <w:r>
        <w:rPr>
          <w:rFonts w:ascii="仿宋_GB2312" w:eastAsia="仿宋_GB2312" w:hAnsi="Times New Roman" w:cs="仿宋_GB2312" w:hint="eastAsia"/>
          <w:sz w:val="32"/>
          <w:szCs w:val="32"/>
        </w:rPr>
        <w:t>上半年，财政部门紧紧围绕区委全会、区委经济工作会议精神和区</w:t>
      </w:r>
      <w:proofErr w:type="gramStart"/>
      <w:r>
        <w:rPr>
          <w:rFonts w:ascii="仿宋_GB2312" w:eastAsia="仿宋_GB2312" w:hAnsi="Times New Roman" w:cs="仿宋_GB2312" w:hint="eastAsia"/>
          <w:sz w:val="32"/>
          <w:szCs w:val="32"/>
        </w:rPr>
        <w:t>人大决议</w:t>
      </w:r>
      <w:proofErr w:type="gramEnd"/>
      <w:r>
        <w:rPr>
          <w:rFonts w:ascii="仿宋_GB2312" w:eastAsia="仿宋_GB2312" w:hAnsi="Times New Roman" w:cs="仿宋_GB2312" w:hint="eastAsia"/>
          <w:sz w:val="32"/>
          <w:szCs w:val="32"/>
        </w:rPr>
        <w:t>要求及批复的预算，全面落实“疫情要防住、经济要稳住、发展要安全”的要求，以强烈的责任感和高效的执行力，保持经济运行在合理区间，实现财政各项工作平稳有序推进。</w:t>
      </w:r>
    </w:p>
    <w:p w:rsidR="003E42E9" w:rsidRDefault="00CD109E">
      <w:pPr>
        <w:pStyle w:val="a8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（一）大力培植财源税源，夯实经济发展基础</w:t>
      </w:r>
    </w:p>
    <w:p w:rsidR="003E42E9" w:rsidRDefault="00CD109E">
      <w:pPr>
        <w:pStyle w:val="a8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楷体_GB2312" w:eastAsia="楷体_GB2312"/>
          <w:bCs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按照“以日保月，以月保季，以季保年”的工作思路，在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严格落实好组合式减税降费等支持政策和切实助力中小微企业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纾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困解难的</w:t>
      </w:r>
      <w:r>
        <w:rPr>
          <w:rFonts w:ascii="仿宋_GB2312" w:eastAsia="仿宋_GB2312" w:cs="仿宋_GB2312" w:hint="eastAsia"/>
          <w:sz w:val="32"/>
          <w:szCs w:val="32"/>
        </w:rPr>
        <w:t>前提下，</w:t>
      </w:r>
      <w:r>
        <w:rPr>
          <w:rFonts w:ascii="仿宋_GB2312" w:eastAsia="仿宋_GB2312" w:hint="eastAsia"/>
          <w:sz w:val="32"/>
          <w:szCs w:val="32"/>
        </w:rPr>
        <w:t>加大与收入征缴部门的协调力度，积极组织税务部门和非税收入征管职能部门抓收入征管。建立三项制度、两个台账，完善工作机制。</w:t>
      </w:r>
      <w:r>
        <w:rPr>
          <w:rFonts w:ascii="仿宋_GB2312" w:eastAsia="仿宋_GB2312" w:cs="仿宋_GB2312" w:hint="eastAsia"/>
          <w:sz w:val="32"/>
          <w:szCs w:val="32"/>
        </w:rPr>
        <w:t>通过抓营商环境稳固税源，抓项目建设培植税源，抓非税收入足额入库等措施，努力挖潜增收。</w:t>
      </w:r>
    </w:p>
    <w:p w:rsidR="003E42E9" w:rsidRDefault="00CD109E">
      <w:pPr>
        <w:pStyle w:val="a8"/>
        <w:adjustRightInd w:val="0"/>
        <w:snapToGrid w:val="0"/>
        <w:spacing w:beforeAutospacing="0" w:afterAutospacing="0" w:line="560" w:lineRule="exact"/>
        <w:ind w:firstLine="640"/>
        <w:jc w:val="both"/>
        <w:rPr>
          <w:rFonts w:ascii="楷体_GB2312" w:eastAsia="楷体_GB2312" w:hAnsi="Times New Roman" w:cs="仿宋_GB2312"/>
          <w:sz w:val="32"/>
          <w:szCs w:val="32"/>
        </w:rPr>
      </w:pPr>
      <w:r>
        <w:rPr>
          <w:rFonts w:ascii="楷体_GB2312" w:eastAsia="楷体_GB2312" w:hAnsi="Times New Roman" w:cs="仿宋_GB2312" w:hint="eastAsia"/>
          <w:sz w:val="32"/>
          <w:szCs w:val="32"/>
        </w:rPr>
        <w:t>（二）</w:t>
      </w:r>
      <w:r>
        <w:rPr>
          <w:rFonts w:ascii="楷体_GB2312" w:eastAsia="楷体_GB2312" w:hAnsi="Times New Roman" w:cs="仿宋_GB2312"/>
          <w:sz w:val="32"/>
          <w:szCs w:val="32"/>
        </w:rPr>
        <w:t>精细统筹</w:t>
      </w:r>
      <w:r>
        <w:rPr>
          <w:rFonts w:ascii="楷体_GB2312" w:eastAsia="楷体_GB2312" w:hAnsi="Times New Roman" w:cs="仿宋_GB2312" w:hint="eastAsia"/>
          <w:sz w:val="32"/>
          <w:szCs w:val="32"/>
        </w:rPr>
        <w:t>可用</w:t>
      </w:r>
      <w:r>
        <w:rPr>
          <w:rFonts w:ascii="楷体_GB2312" w:eastAsia="楷体_GB2312" w:hAnsi="Times New Roman" w:cs="仿宋_GB2312"/>
          <w:sz w:val="32"/>
          <w:szCs w:val="32"/>
        </w:rPr>
        <w:t>财力</w:t>
      </w:r>
      <w:r>
        <w:rPr>
          <w:rFonts w:ascii="楷体_GB2312" w:eastAsia="楷体_GB2312" w:hAnsi="Times New Roman" w:cs="仿宋_GB2312" w:hint="eastAsia"/>
          <w:sz w:val="32"/>
          <w:szCs w:val="32"/>
        </w:rPr>
        <w:t>，兜</w:t>
      </w:r>
      <w:proofErr w:type="gramStart"/>
      <w:r>
        <w:rPr>
          <w:rFonts w:ascii="楷体_GB2312" w:eastAsia="楷体_GB2312" w:hAnsi="Times New Roman" w:cs="仿宋_GB2312" w:hint="eastAsia"/>
          <w:sz w:val="32"/>
          <w:szCs w:val="32"/>
        </w:rPr>
        <w:t>牢兜实“三保”</w:t>
      </w:r>
      <w:proofErr w:type="gramEnd"/>
      <w:r>
        <w:rPr>
          <w:rFonts w:ascii="楷体_GB2312" w:eastAsia="楷体_GB2312" w:hAnsi="Times New Roman" w:cs="仿宋_GB2312" w:hint="eastAsia"/>
          <w:sz w:val="32"/>
          <w:szCs w:val="32"/>
        </w:rPr>
        <w:t>底线</w:t>
      </w:r>
    </w:p>
    <w:p w:rsidR="003E42E9" w:rsidRDefault="00CD109E">
      <w:pPr>
        <w:pStyle w:val="p0"/>
        <w:snapToGrid w:val="0"/>
        <w:spacing w:line="560" w:lineRule="exact"/>
        <w:ind w:firstLineChars="196" w:firstLine="627"/>
        <w:rPr>
          <w:rFonts w:asci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通过统筹各项财政资金安排预算，加大争取上级资金力度，及时调整支出结构等措施，坚持“三保”支出在财政支出中的优先顺序，坚决兜住“三保”底线。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在财力异常紧张的情况下，统筹上级转移支付和自有财力，做好调资经费预算安排，兑现人均普涨300元工资政策，确保干部职工正常工资按月发放，保障全区干部职工的切身利益。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cs="仿宋_GB2312" w:hint="eastAsia"/>
          <w:sz w:val="32"/>
          <w:szCs w:val="32"/>
        </w:rPr>
        <w:t>集中财力保障各项民生投入。</w:t>
      </w:r>
      <w:r>
        <w:rPr>
          <w:rFonts w:ascii="仿宋_GB2312" w:eastAsia="仿宋_GB2312" w:hint="eastAsia"/>
          <w:sz w:val="32"/>
          <w:szCs w:val="32"/>
        </w:rPr>
        <w:t>全</w:t>
      </w:r>
      <w:r>
        <w:rPr>
          <w:rFonts w:ascii="仿宋_GB2312" w:eastAsia="仿宋_GB2312" w:hAnsi="Tahoma" w:cs="Tahoma" w:hint="eastAsia"/>
          <w:sz w:val="32"/>
          <w:szCs w:val="32"/>
        </w:rPr>
        <w:t>区教育、科技、医疗、社保、住房等民生资金投入1.4亿元，占全区一般公共预算支出比重为51.9%，疫情防控、灾后重建等各项民生应保尽保。</w:t>
      </w:r>
      <w:r>
        <w:rPr>
          <w:rFonts w:ascii="仿宋_GB2312" w:eastAsia="仿宋_GB2312" w:hAnsi="Tahoma" w:cs="Tahoma" w:hint="eastAsia"/>
          <w:b/>
          <w:sz w:val="32"/>
          <w:szCs w:val="32"/>
        </w:rPr>
        <w:t>三是</w:t>
      </w:r>
      <w:r>
        <w:rPr>
          <w:rFonts w:ascii="仿宋_GB2312" w:eastAsia="仿宋_GB2312" w:hAnsi="Tahoma" w:cs="Tahoma" w:hint="eastAsia"/>
          <w:sz w:val="32"/>
          <w:szCs w:val="32"/>
        </w:rPr>
        <w:t>做好巩固拓展脱贫攻坚成果同乡村振兴有效衔接。严格落实“四个不摘”要求，过渡期内保持财政支持政策总体稳定，合理安排财政投入规模，持续加大产业项目投入。上半年，共投入衔接资金71.1万元，其中投入水鲜园奶牛养殖场产业扶贫项目70.2万元，投入雨露计划0.9万元。</w:t>
      </w:r>
      <w:r>
        <w:rPr>
          <w:rFonts w:ascii="仿宋_GB2312" w:eastAsia="仿宋_GB2312" w:cs="仿宋_GB2312" w:hint="eastAsia"/>
          <w:b/>
          <w:bCs/>
          <w:sz w:val="32"/>
          <w:szCs w:val="32"/>
          <w:lang w:val="zh-CN"/>
        </w:rPr>
        <w:t>四是</w:t>
      </w:r>
      <w:r>
        <w:rPr>
          <w:rFonts w:ascii="仿宋_GB2312" w:eastAsia="仿宋_GB2312" w:cs="仿宋_GB2312" w:hint="eastAsia"/>
          <w:bCs/>
          <w:sz w:val="32"/>
          <w:szCs w:val="32"/>
          <w:lang w:val="zh-CN"/>
        </w:rPr>
        <w:t>统筹资金保障重点项目。投入老旧小区改造、棚户区改造资金</w:t>
      </w:r>
      <w:r>
        <w:rPr>
          <w:rFonts w:ascii="仿宋_GB2312" w:eastAsia="仿宋_GB2312" w:cs="仿宋_GB2312"/>
          <w:bCs/>
          <w:sz w:val="32"/>
          <w:szCs w:val="32"/>
          <w:lang w:val="zh-CN"/>
        </w:rPr>
        <w:t>2150</w:t>
      </w:r>
      <w:r>
        <w:rPr>
          <w:rFonts w:ascii="仿宋_GB2312" w:eastAsia="仿宋_GB2312" w:cs="仿宋_GB2312" w:hint="eastAsia"/>
          <w:bCs/>
          <w:sz w:val="32"/>
          <w:szCs w:val="32"/>
          <w:lang w:val="zh-CN"/>
        </w:rPr>
        <w:t>万元，确保重点民生政策落到实处；投入环卫、百</w:t>
      </w:r>
      <w:proofErr w:type="gramStart"/>
      <w:r>
        <w:rPr>
          <w:rFonts w:ascii="仿宋_GB2312" w:eastAsia="仿宋_GB2312" w:cs="仿宋_GB2312" w:hint="eastAsia"/>
          <w:bCs/>
          <w:sz w:val="32"/>
          <w:szCs w:val="32"/>
          <w:lang w:val="zh-CN"/>
        </w:rPr>
        <w:t>城提质资金</w:t>
      </w:r>
      <w:proofErr w:type="gramEnd"/>
      <w:r>
        <w:rPr>
          <w:rFonts w:ascii="仿宋_GB2312" w:eastAsia="仿宋_GB2312" w:cs="仿宋_GB2312"/>
          <w:bCs/>
          <w:sz w:val="32"/>
          <w:szCs w:val="32"/>
          <w:lang w:val="zh-CN"/>
        </w:rPr>
        <w:t>975</w:t>
      </w:r>
      <w:r>
        <w:rPr>
          <w:rFonts w:ascii="仿宋_GB2312" w:eastAsia="仿宋_GB2312" w:cs="仿宋_GB2312" w:hint="eastAsia"/>
          <w:bCs/>
          <w:sz w:val="32"/>
          <w:szCs w:val="32"/>
          <w:lang w:val="zh-CN"/>
        </w:rPr>
        <w:t>万元，为提升城市形象和生活环境起到了积极作用。</w:t>
      </w:r>
      <w:r>
        <w:rPr>
          <w:rFonts w:ascii="仿宋_GB2312" w:eastAsia="仿宋_GB2312" w:hint="eastAsia"/>
          <w:b/>
          <w:sz w:val="32"/>
          <w:szCs w:val="32"/>
          <w:lang w:val="zh-CN"/>
        </w:rPr>
        <w:t>五是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深入开展“万人助万企”活动，</w:t>
      </w:r>
      <w:r>
        <w:rPr>
          <w:rFonts w:ascii="仿宋_GB2312" w:eastAsia="仿宋_GB2312" w:hAnsi="宋体" w:hint="eastAsia"/>
          <w:sz w:val="32"/>
          <w:szCs w:val="32"/>
        </w:rPr>
        <w:t>进一步优化营商环境，</w:t>
      </w:r>
      <w:r>
        <w:rPr>
          <w:rFonts w:ascii="仿宋_GB2312" w:eastAsia="仿宋_GB2312" w:hAnsi="楷体_GB2312" w:cs="楷体_GB2312" w:hint="eastAsia"/>
          <w:bCs/>
          <w:sz w:val="32"/>
          <w:szCs w:val="32"/>
        </w:rPr>
        <w:t>筹措资金兑现惠</w:t>
      </w:r>
      <w:proofErr w:type="gramStart"/>
      <w:r>
        <w:rPr>
          <w:rFonts w:ascii="仿宋_GB2312" w:eastAsia="仿宋_GB2312" w:hAnsi="楷体_GB2312" w:cs="楷体_GB2312" w:hint="eastAsia"/>
          <w:bCs/>
          <w:sz w:val="32"/>
          <w:szCs w:val="32"/>
        </w:rPr>
        <w:t>企奖补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470万元，最大程度帮助企业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纾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困解难。</w:t>
      </w:r>
    </w:p>
    <w:p w:rsidR="003E42E9" w:rsidRDefault="00CD109E">
      <w:pPr>
        <w:autoSpaceDE w:val="0"/>
        <w:autoSpaceDN w:val="0"/>
        <w:adjustRightInd w:val="0"/>
        <w:snapToGrid w:val="0"/>
        <w:spacing w:line="560" w:lineRule="exact"/>
        <w:ind w:firstLineChars="200" w:firstLine="640"/>
        <w:jc w:val="left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Ansi="宋体" w:cs="宋体" w:hint="eastAsia"/>
          <w:bCs/>
          <w:sz w:val="32"/>
          <w:szCs w:val="32"/>
        </w:rPr>
        <w:t>（三）</w:t>
      </w:r>
      <w:r>
        <w:rPr>
          <w:rFonts w:ascii="楷体_GB2312" w:eastAsia="楷体_GB2312" w:hint="eastAsia"/>
          <w:color w:val="000000"/>
          <w:kern w:val="0"/>
          <w:sz w:val="32"/>
          <w:szCs w:val="32"/>
        </w:rPr>
        <w:t>推进</w:t>
      </w:r>
      <w:r>
        <w:rPr>
          <w:rFonts w:ascii="楷体_GB2312" w:eastAsia="楷体_GB2312" w:hAnsi="ˎ̥" w:cs="宋体" w:hint="eastAsia"/>
          <w:bCs/>
          <w:color w:val="000000"/>
          <w:kern w:val="0"/>
          <w:sz w:val="32"/>
          <w:szCs w:val="32"/>
        </w:rPr>
        <w:t>财税体制改革，提高理财用财水平</w:t>
      </w:r>
    </w:p>
    <w:p w:rsidR="003E42E9" w:rsidRDefault="00CD109E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color w:val="000000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int="eastAsia"/>
          <w:sz w:val="32"/>
          <w:szCs w:val="32"/>
        </w:rPr>
        <w:t>深化财税体制改革。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认真落实区政府《关于深化区与镇办财政管理体制改革的意见》，确保新旧体制无缝对接。</w:t>
      </w:r>
      <w:r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强化部门预算管理。进一步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加速预算管理一体化推广应用，推动将资产、债务、绩效、政府采购等按照一体化管理要求融入预算管理主体流程，</w:t>
      </w:r>
      <w:r>
        <w:rPr>
          <w:rFonts w:ascii="仿宋_GB2312" w:eastAsia="仿宋_GB2312" w:hint="eastAsia"/>
          <w:sz w:val="32"/>
          <w:szCs w:val="32"/>
        </w:rPr>
        <w:t>提升预算管理水平。</w:t>
      </w:r>
      <w:r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全面推进预决算公开。进</w:t>
      </w:r>
      <w:r>
        <w:rPr>
          <w:rFonts w:ascii="仿宋_GB2312" w:eastAsia="仿宋_GB2312" w:hint="eastAsia"/>
          <w:sz w:val="32"/>
          <w:szCs w:val="32"/>
        </w:rPr>
        <w:lastRenderedPageBreak/>
        <w:t>一步完善预决算公开的范围和明细程度，提高财政资金分配和使用透明度，除涉密部门外全区各预算单位全部实现预决算信息公开。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四是</w:t>
      </w:r>
      <w:r>
        <w:rPr>
          <w:rFonts w:ascii="仿宋_GB2312" w:eastAsia="仿宋_GB2312" w:hint="eastAsia"/>
          <w:bCs/>
          <w:kern w:val="0"/>
          <w:sz w:val="32"/>
          <w:szCs w:val="32"/>
        </w:rPr>
        <w:t>深化国库集中支付改革。积极开展预算执行动态监控，控制大额现金支付，提高公务卡使用效率，规范公务支出行为。上半年，动态监控资金18785笔31650万元，拒付资金170笔371万元。公务卡累计开卡1271张，刷卡结算4367笔1219万元。</w:t>
      </w:r>
      <w:r>
        <w:rPr>
          <w:rFonts w:ascii="仿宋_GB2312" w:eastAsia="仿宋_GB2312" w:hint="eastAsia"/>
          <w:bCs/>
          <w:sz w:val="32"/>
          <w:szCs w:val="32"/>
        </w:rPr>
        <w:t>同时，持续</w:t>
      </w:r>
      <w:r>
        <w:rPr>
          <w:rFonts w:ascii="仿宋_GB2312" w:eastAsia="仿宋_GB2312" w:hint="eastAsia"/>
          <w:bCs/>
          <w:kern w:val="0"/>
          <w:sz w:val="32"/>
          <w:szCs w:val="32"/>
        </w:rPr>
        <w:t>推进</w:t>
      </w:r>
      <w:r>
        <w:rPr>
          <w:rFonts w:ascii="仿宋_GB2312" w:eastAsia="仿宋_GB2312" w:hint="eastAsia"/>
          <w:bCs/>
          <w:sz w:val="32"/>
          <w:szCs w:val="32"/>
        </w:rPr>
        <w:t>电子支付改革，细化监控规则，全范围动态监控资金支付，逐步实现电子清算，简化工作流程，缩短预算单位资金支付办理时间，提高工作效率。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五</w:t>
      </w:r>
      <w:r>
        <w:rPr>
          <w:rFonts w:ascii="仿宋_GB2312" w:eastAsia="仿宋_GB2312" w:hint="eastAsia"/>
          <w:b/>
          <w:bCs/>
          <w:sz w:val="32"/>
          <w:szCs w:val="32"/>
        </w:rPr>
        <w:t>是</w:t>
      </w:r>
      <w:r>
        <w:rPr>
          <w:rFonts w:ascii="仿宋_GB2312" w:eastAsia="仿宋_GB2312" w:hint="eastAsia"/>
          <w:sz w:val="32"/>
          <w:szCs w:val="32"/>
        </w:rPr>
        <w:t>加强政府采购和投资评审管理。开通政府采购网上商城，简化政府采购和投资评审程序，提高采购效率。上半年，共审批采购项目114项6230万元，节约资金214万元，节约率3.4%；完善评审工作流程，节约使用财政资金，共评审政府投资项目4项1630万元，审</w:t>
      </w:r>
      <w:proofErr w:type="gramStart"/>
      <w:r>
        <w:rPr>
          <w:rFonts w:ascii="仿宋_GB2312" w:eastAsia="仿宋_GB2312" w:hint="eastAsia"/>
          <w:sz w:val="32"/>
          <w:szCs w:val="32"/>
        </w:rPr>
        <w:t>减资金</w:t>
      </w:r>
      <w:proofErr w:type="gramEnd"/>
      <w:r>
        <w:rPr>
          <w:rFonts w:ascii="仿宋_GB2312" w:eastAsia="仿宋_GB2312" w:hint="eastAsia"/>
          <w:sz w:val="32"/>
          <w:szCs w:val="32"/>
        </w:rPr>
        <w:t>127万元，审减率7.8%。</w:t>
      </w:r>
      <w:r>
        <w:rPr>
          <w:rFonts w:ascii="仿宋_GB2312" w:eastAsia="仿宋_GB2312" w:hint="eastAsia"/>
          <w:b/>
          <w:sz w:val="32"/>
          <w:szCs w:val="32"/>
          <w:lang w:val="zh-CN"/>
        </w:rPr>
        <w:t>六是</w:t>
      </w:r>
      <w:r>
        <w:rPr>
          <w:rFonts w:ascii="仿宋_GB2312" w:eastAsia="仿宋_GB2312" w:hint="eastAsia"/>
          <w:sz w:val="32"/>
          <w:szCs w:val="32"/>
          <w:lang w:val="zh-CN"/>
        </w:rPr>
        <w:t>落实中央直达资金监管工作。上半年支付中央直达资金7061万元，支出进度54.9%，确保直达资金及时足额惠企利民。</w:t>
      </w:r>
      <w:r>
        <w:rPr>
          <w:rFonts w:ascii="仿宋_GB2312" w:eastAsia="仿宋_GB2312" w:hint="eastAsia"/>
          <w:b/>
          <w:bCs/>
          <w:sz w:val="32"/>
          <w:szCs w:val="32"/>
          <w:lang w:val="zh-CN"/>
        </w:rPr>
        <w:t>七是</w:t>
      </w:r>
      <w:r>
        <w:rPr>
          <w:rFonts w:ascii="仿宋_GB2312" w:eastAsia="仿宋_GB2312" w:hint="eastAsia"/>
          <w:sz w:val="32"/>
          <w:szCs w:val="32"/>
          <w:lang w:val="zh-CN"/>
        </w:rPr>
        <w:t>落实过“紧日子”政策要求。</w:t>
      </w:r>
      <w:r>
        <w:rPr>
          <w:rFonts w:asciiTheme="minorHAnsi" w:eastAsia="仿宋_GB2312" w:cs="Calibri" w:hint="eastAsia"/>
          <w:sz w:val="32"/>
          <w:szCs w:val="32"/>
        </w:rPr>
        <w:t>坚持“紧日子保基本、调结构保战略”，通过压减一般性支出，严控“三公”经费支出等措施，切实做到“八严控</w:t>
      </w:r>
      <w:proofErr w:type="gramStart"/>
      <w:r>
        <w:rPr>
          <w:rFonts w:asciiTheme="minorHAnsi" w:eastAsia="仿宋_GB2312" w:cs="Calibri" w:hint="eastAsia"/>
          <w:sz w:val="32"/>
          <w:szCs w:val="32"/>
        </w:rPr>
        <w:t>一</w:t>
      </w:r>
      <w:proofErr w:type="gramEnd"/>
      <w:r>
        <w:rPr>
          <w:rFonts w:asciiTheme="minorHAnsi" w:eastAsia="仿宋_GB2312" w:cs="Calibri" w:hint="eastAsia"/>
          <w:sz w:val="32"/>
          <w:szCs w:val="32"/>
        </w:rPr>
        <w:t>制止”。强化预算约束和绩效管理，提高财政资金配置效率和支出使用效果。</w:t>
      </w:r>
      <w:r>
        <w:rPr>
          <w:rFonts w:ascii="仿宋_GB2312" w:eastAsia="仿宋_GB2312" w:hint="eastAsia"/>
          <w:sz w:val="32"/>
          <w:szCs w:val="32"/>
          <w:lang w:val="zh-CN"/>
        </w:rPr>
        <w:t>上半年，我区“三公”经费支出50万元，同比下降19.7%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3E42E9" w:rsidRDefault="00CD109E">
      <w:pPr>
        <w:pStyle w:val="p0"/>
        <w:adjustRightInd w:val="0"/>
        <w:snapToGrid w:val="0"/>
        <w:spacing w:line="560" w:lineRule="exact"/>
        <w:ind w:firstLine="627"/>
        <w:rPr>
          <w:rFonts w:ascii="楷体_GB2312" w:eastAsia="楷体_GB2312"/>
          <w:bCs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（四）</w:t>
      </w:r>
      <w:r>
        <w:rPr>
          <w:rFonts w:ascii="楷体_GB2312" w:eastAsia="楷体_GB2312" w:hAnsi="宋体" w:cs="宋体"/>
          <w:bCs/>
          <w:sz w:val="32"/>
          <w:szCs w:val="32"/>
        </w:rPr>
        <w:t>强化财政监督，有效规范财经秩序</w:t>
      </w:r>
    </w:p>
    <w:p w:rsidR="003E42E9" w:rsidRDefault="00CD109E">
      <w:pPr>
        <w:pStyle w:val="p0"/>
        <w:adjustRightInd w:val="0"/>
        <w:snapToGrid w:val="0"/>
        <w:spacing w:line="560" w:lineRule="exact"/>
        <w:ind w:firstLineChars="196" w:firstLine="630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b/>
          <w:bCs/>
          <w:kern w:val="2"/>
          <w:sz w:val="32"/>
          <w:szCs w:val="32"/>
          <w:lang w:val="zh-CN"/>
        </w:rPr>
        <w:t>一是</w:t>
      </w:r>
      <w:r>
        <w:rPr>
          <w:rFonts w:ascii="仿宋_GB2312" w:eastAsia="仿宋_GB2312" w:hAnsi="黑体" w:cs="黑体" w:hint="eastAsia"/>
          <w:sz w:val="32"/>
          <w:szCs w:val="32"/>
        </w:rPr>
        <w:t>加强财政系统内部控制建设。推进政府债务、衔接资金、直达资金、“一卡通”等监控平台系统运行，进一步发挥财政监督职能。</w:t>
      </w:r>
      <w:r>
        <w:rPr>
          <w:rFonts w:ascii="仿宋_GB2312" w:eastAsia="仿宋_GB2312" w:hAnsi="黑体" w:cs="黑体" w:hint="eastAsia"/>
          <w:b/>
          <w:sz w:val="32"/>
          <w:szCs w:val="32"/>
        </w:rPr>
        <w:t>二</w:t>
      </w:r>
      <w:r>
        <w:rPr>
          <w:rFonts w:ascii="仿宋_GB2312" w:eastAsia="仿宋_GB2312" w:hAnsi="黑体" w:cs="黑体" w:hint="eastAsia"/>
          <w:b/>
          <w:bCs/>
          <w:sz w:val="32"/>
          <w:szCs w:val="32"/>
        </w:rPr>
        <w:t>是</w:t>
      </w:r>
      <w:r>
        <w:rPr>
          <w:rFonts w:ascii="仿宋_GB2312" w:eastAsia="仿宋_GB2312" w:hAnsi="宋体" w:hint="eastAsia"/>
          <w:sz w:val="32"/>
          <w:szCs w:val="32"/>
        </w:rPr>
        <w:t>严肃财经纪律，规范财经行为。开展地方财经秩序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专项整治行动，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聚焦贯彻落实减税降费政策、政府过紧日子、加强基层“三保”保障、规范国库管理、加强资产管理、防范债务风险等六项重点任务，进一步严肃财经纪律，维护财经秩序。</w:t>
      </w:r>
      <w:r>
        <w:rPr>
          <w:rFonts w:ascii="仿宋_GB2312" w:eastAsia="仿宋_GB2312" w:hAnsi="黑体" w:cs="黑体" w:hint="eastAsia"/>
          <w:b/>
          <w:sz w:val="32"/>
          <w:szCs w:val="32"/>
        </w:rPr>
        <w:t>三是</w:t>
      </w:r>
      <w:r>
        <w:rPr>
          <w:rFonts w:ascii="仿宋_GB2312" w:eastAsia="仿宋_GB2312" w:hAnsi="仿宋" w:hint="eastAsia"/>
          <w:sz w:val="32"/>
          <w:szCs w:val="32"/>
        </w:rPr>
        <w:t>加强地方政府债务管理。积极防范化解地方政府隐性债务风险，</w:t>
      </w:r>
      <w:r>
        <w:rPr>
          <w:rFonts w:ascii="仿宋_GB2312" w:eastAsia="仿宋_GB2312" w:hint="eastAsia"/>
          <w:bCs/>
          <w:sz w:val="32"/>
          <w:szCs w:val="32"/>
        </w:rPr>
        <w:t>完善政府性债务动态监控机制和违法违规融资举债联合防控机制，严控违法违规举债担保。积极争取债券资金，</w:t>
      </w:r>
      <w:r>
        <w:rPr>
          <w:rFonts w:ascii="仿宋_GB2312" w:eastAsia="仿宋_GB2312" w:hint="eastAsia"/>
          <w:sz w:val="32"/>
          <w:szCs w:val="32"/>
        </w:rPr>
        <w:t>抢抓国家加大基础设施投资的政策机遇，全力做好高端装备产业园项目债券资金争取工作。</w:t>
      </w:r>
    </w:p>
    <w:p w:rsidR="003E42E9" w:rsidRDefault="00CD109E">
      <w:pPr>
        <w:widowControl/>
        <w:snapToGrid w:val="0"/>
        <w:spacing w:line="560" w:lineRule="exact"/>
        <w:ind w:firstLine="627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四、当前财政运行面临的主要问题</w:t>
      </w:r>
    </w:p>
    <w:p w:rsidR="003E42E9" w:rsidRDefault="00CD109E">
      <w:pPr>
        <w:pStyle w:val="p0"/>
        <w:adjustRightInd w:val="0"/>
        <w:snapToGrid w:val="0"/>
        <w:spacing w:line="560" w:lineRule="exact"/>
        <w:ind w:firstLineChars="200" w:firstLine="640"/>
        <w:rPr>
          <w:rFonts w:ascii="楷体_GB2312" w:eastAsia="楷体_GB2312" w:cs="楷体_GB2312"/>
          <w:kern w:val="2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（一）</w:t>
      </w:r>
      <w:r>
        <w:rPr>
          <w:rFonts w:ascii="楷体_GB2312" w:eastAsia="楷体_GB2312" w:cs="楷体_GB2312" w:hint="eastAsia"/>
          <w:kern w:val="2"/>
          <w:sz w:val="32"/>
          <w:szCs w:val="32"/>
        </w:rPr>
        <w:t>挖潜增收十分艰难</w:t>
      </w:r>
    </w:p>
    <w:p w:rsidR="003E42E9" w:rsidRDefault="00CD109E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受</w:t>
      </w:r>
      <w:bookmarkStart w:id="0" w:name="baidusnap1"/>
      <w:bookmarkEnd w:id="0"/>
      <w:r>
        <w:rPr>
          <w:rFonts w:ascii="仿宋_GB2312" w:eastAsia="仿宋_GB2312" w:hint="eastAsia"/>
          <w:bCs/>
          <w:sz w:val="32"/>
          <w:szCs w:val="32"/>
        </w:rPr>
        <w:t>疫情反复、组合式退税减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费政策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等因素相互交织影响，财政收入锐减。上半年，区级税收下降5420万元，其中增值税留抵退税3500万元、中小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微企业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缓缴税款减收1580万元、“六税两费”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扩围减收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340万元。</w:t>
      </w:r>
      <w:r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重点支撑性税源基础薄弱，缺乏大的支柱性、持续性、带动能力强的税源，工业税收</w:t>
      </w:r>
      <w:proofErr w:type="gramStart"/>
      <w:r>
        <w:rPr>
          <w:rFonts w:ascii="仿宋_GB2312" w:eastAsia="仿宋_GB2312" w:hint="eastAsia"/>
          <w:sz w:val="32"/>
          <w:szCs w:val="32"/>
        </w:rPr>
        <w:t>占比较</w:t>
      </w:r>
      <w:proofErr w:type="gramEnd"/>
      <w:r>
        <w:rPr>
          <w:rFonts w:ascii="仿宋_GB2312" w:eastAsia="仿宋_GB2312" w:hint="eastAsia"/>
          <w:sz w:val="32"/>
          <w:szCs w:val="32"/>
        </w:rPr>
        <w:t>小，纳税100</w:t>
      </w:r>
      <w:r w:rsidR="005A49B8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万元以上的企业仅有2家，纳税500万元以上的企业仅有3家。</w:t>
      </w:r>
      <w:r>
        <w:rPr>
          <w:rFonts w:ascii="仿宋_GB2312" w:eastAsia="仿宋_GB2312" w:hint="eastAsia"/>
          <w:b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落地、投产、达效项目少，项目建设滞后或缓慢，导致缺乏新的税源增长点，财政收入增长乏力。上半年，新增10万元以上纳税企业仅4家，其中工业企业3家、商业企业1家。</w:t>
      </w:r>
    </w:p>
    <w:p w:rsidR="003E42E9" w:rsidRDefault="00CD109E">
      <w:pPr>
        <w:widowControl/>
        <w:adjustRightInd w:val="0"/>
        <w:snapToGrid w:val="0"/>
        <w:spacing w:line="560" w:lineRule="exact"/>
        <w:ind w:firstLine="627"/>
        <w:rPr>
          <w:rFonts w:ascii="楷体_GB2312" w:eastAsia="楷体_GB2312" w:cs="楷体_GB2312"/>
          <w:b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t>（二）</w:t>
      </w:r>
      <w:r>
        <w:rPr>
          <w:rFonts w:ascii="楷体_GB2312" w:eastAsia="楷体_GB2312" w:cs="楷体_GB2312" w:hint="eastAsia"/>
          <w:sz w:val="32"/>
          <w:szCs w:val="32"/>
        </w:rPr>
        <w:t>收支矛盾更加突出</w:t>
      </w:r>
    </w:p>
    <w:p w:rsidR="003E42E9" w:rsidRDefault="00CD109E">
      <w:pPr>
        <w:pStyle w:val="p0"/>
        <w:spacing w:line="56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我区财政收入总量不高，但刚性支出增长较快，财政收支平衡压力巨大。如社保、医疗、教育等民生支出提</w:t>
      </w:r>
      <w:proofErr w:type="gramStart"/>
      <w:r>
        <w:rPr>
          <w:rFonts w:ascii="仿宋_GB2312" w:eastAsia="仿宋_GB2312" w:hAnsi="Calibri" w:cs="宋体" w:hint="eastAsia"/>
          <w:sz w:val="32"/>
          <w:szCs w:val="32"/>
        </w:rPr>
        <w:t>标扩面</w:t>
      </w:r>
      <w:proofErr w:type="gramEnd"/>
      <w:r>
        <w:rPr>
          <w:rFonts w:ascii="仿宋_GB2312" w:eastAsia="仿宋_GB2312" w:hAnsi="Calibri" w:cs="宋体" w:hint="eastAsia"/>
          <w:sz w:val="32"/>
          <w:szCs w:val="32"/>
        </w:rPr>
        <w:t>，防汛救灾及灾后重建、疫情防控、文明城市创建等重大刚性支出都需要投入大量财力予以保障，导致收支矛盾异常严峻。</w:t>
      </w:r>
    </w:p>
    <w:p w:rsidR="003E42E9" w:rsidRDefault="00CD109E">
      <w:pPr>
        <w:widowControl/>
        <w:snapToGrid w:val="0"/>
        <w:spacing w:line="560" w:lineRule="exact"/>
        <w:ind w:firstLine="627"/>
        <w:rPr>
          <w:rFonts w:ascii="楷体_GB2312" w:eastAsia="楷体_GB2312" w:hAnsi="宋体" w:cs="宋体"/>
          <w:sz w:val="32"/>
          <w:szCs w:val="32"/>
        </w:rPr>
      </w:pPr>
      <w:r>
        <w:rPr>
          <w:rFonts w:ascii="楷体_GB2312" w:eastAsia="楷体_GB2312" w:hAnsi="宋体" w:cs="宋体" w:hint="eastAsia"/>
          <w:sz w:val="32"/>
          <w:szCs w:val="32"/>
        </w:rPr>
        <w:lastRenderedPageBreak/>
        <w:t>（三）财政改革任务艰巨</w:t>
      </w:r>
    </w:p>
    <w:p w:rsidR="003E42E9" w:rsidRDefault="00CD109E">
      <w:pPr>
        <w:pStyle w:val="p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仿宋_GB2312" w:eastAsia="仿宋_GB2312" w:hAnsi="Calibri" w:cs="宋体" w:hint="eastAsia"/>
          <w:sz w:val="32"/>
          <w:szCs w:val="32"/>
        </w:rPr>
        <w:t>财政职能作用尚未充分发挥，产业政策精准性不够、部分资产资源未能有效盘活统筹。政府投资项目资金需求较多，财政和金融缺乏有效融合，亟需拓展多元化融资渠道。预算基础管理薄弱，项目库建设效果不佳，财政资金使用效益不高。财政支出结构不尽合理，财政绩效管理工作有待加强，财政体制机制改革还需进一步深化。</w:t>
      </w:r>
    </w:p>
    <w:p w:rsidR="003E42E9" w:rsidRDefault="00CD109E">
      <w:pPr>
        <w:widowControl/>
        <w:snapToGrid w:val="0"/>
        <w:spacing w:line="560" w:lineRule="exact"/>
        <w:ind w:firstLine="627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五、下半年财政工作的主要措施</w:t>
      </w:r>
    </w:p>
    <w:p w:rsidR="003E42E9" w:rsidRDefault="00CD109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" w:cs="仿宋" w:hint="eastAsia"/>
          <w:bCs/>
          <w:sz w:val="32"/>
          <w:szCs w:val="32"/>
        </w:rPr>
        <w:t>（一）党建引领聚合力</w:t>
      </w:r>
      <w:r>
        <w:rPr>
          <w:rFonts w:ascii="楷体_GB2312" w:eastAsia="楷体_GB2312" w:hAnsi="仿宋" w:cs="仿宋" w:hint="eastAsia"/>
          <w:sz w:val="32"/>
          <w:szCs w:val="32"/>
        </w:rPr>
        <w:t>，多</w:t>
      </w:r>
      <w:proofErr w:type="gramStart"/>
      <w:r>
        <w:rPr>
          <w:rFonts w:ascii="楷体_GB2312" w:eastAsia="楷体_GB2312" w:hAnsi="仿宋" w:cs="仿宋" w:hint="eastAsia"/>
          <w:sz w:val="32"/>
          <w:szCs w:val="32"/>
        </w:rPr>
        <w:t>措并举强素能</w:t>
      </w:r>
      <w:proofErr w:type="gramEnd"/>
      <w:r>
        <w:rPr>
          <w:rFonts w:ascii="楷体_GB2312" w:eastAsia="楷体_GB2312" w:hAnsi="仿宋" w:cs="仿宋" w:hint="eastAsia"/>
          <w:sz w:val="32"/>
          <w:szCs w:val="32"/>
        </w:rPr>
        <w:t>。</w:t>
      </w:r>
      <w:r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int="eastAsia"/>
          <w:bCs/>
          <w:sz w:val="32"/>
          <w:szCs w:val="32"/>
        </w:rPr>
        <w:t>落实主体责任，以高质量党建引领财政高质量发展。始终坚持党建总揽，全面落实新时代党的建设总要求，激励和引导财政党员干部立足本职岗位，勇于担当、甘于奉献。</w:t>
      </w:r>
      <w:r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bCs/>
          <w:sz w:val="32"/>
          <w:szCs w:val="32"/>
        </w:rPr>
        <w:t>提升业务能力，</w:t>
      </w:r>
      <w:r>
        <w:rPr>
          <w:rFonts w:ascii="仿宋_GB2312" w:eastAsia="仿宋_GB2312"/>
          <w:bCs/>
          <w:sz w:val="32"/>
          <w:szCs w:val="32"/>
        </w:rPr>
        <w:t>打造高素质专业化干部队伍</w:t>
      </w:r>
      <w:r>
        <w:rPr>
          <w:rFonts w:ascii="仿宋_GB2312" w:eastAsia="仿宋_GB2312" w:hint="eastAsia"/>
          <w:bCs/>
          <w:sz w:val="32"/>
          <w:szCs w:val="32"/>
        </w:rPr>
        <w:t>。严格落实“13710”工作制度，坚持“马路办公”“马上办理”一线工作法，</w:t>
      </w:r>
      <w:r>
        <w:rPr>
          <w:rFonts w:ascii="仿宋_GB2312" w:eastAsia="仿宋_GB2312"/>
          <w:bCs/>
          <w:sz w:val="32"/>
          <w:szCs w:val="32"/>
        </w:rPr>
        <w:t>组织开展有针对性教育培训，提升财政干部和财会从业人员应对新形势、新任务、新要求的能力。</w:t>
      </w:r>
      <w:r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bCs/>
          <w:sz w:val="32"/>
          <w:szCs w:val="32"/>
        </w:rPr>
        <w:t>深入开展</w:t>
      </w:r>
      <w:r>
        <w:rPr>
          <w:rFonts w:ascii="仿宋_GB2312" w:eastAsia="仿宋_GB2312"/>
          <w:bCs/>
          <w:sz w:val="32"/>
          <w:szCs w:val="32"/>
        </w:rPr>
        <w:t>“</w:t>
      </w:r>
      <w:r>
        <w:rPr>
          <w:rFonts w:ascii="仿宋_GB2312" w:eastAsia="仿宋_GB2312" w:hint="eastAsia"/>
          <w:bCs/>
          <w:sz w:val="32"/>
          <w:szCs w:val="32"/>
        </w:rPr>
        <w:t>能力作风建设年</w:t>
      </w:r>
      <w:r>
        <w:rPr>
          <w:rFonts w:ascii="仿宋_GB2312" w:eastAsia="仿宋_GB2312"/>
          <w:bCs/>
          <w:sz w:val="32"/>
          <w:szCs w:val="32"/>
        </w:rPr>
        <w:t>”</w:t>
      </w:r>
      <w:r>
        <w:rPr>
          <w:rFonts w:ascii="仿宋_GB2312" w:eastAsia="仿宋_GB2312" w:hint="eastAsia"/>
          <w:bCs/>
          <w:sz w:val="32"/>
          <w:szCs w:val="32"/>
        </w:rPr>
        <w:t>和“作风</w:t>
      </w:r>
      <w:bookmarkStart w:id="1" w:name="_GoBack"/>
      <w:bookmarkEnd w:id="1"/>
      <w:r>
        <w:rPr>
          <w:rFonts w:ascii="仿宋_GB2312" w:eastAsia="仿宋_GB2312" w:hint="eastAsia"/>
          <w:bCs/>
          <w:sz w:val="32"/>
          <w:szCs w:val="32"/>
        </w:rPr>
        <w:t>纪律大整顿”活动，</w:t>
      </w:r>
      <w:r>
        <w:rPr>
          <w:rFonts w:ascii="仿宋_GB2312" w:eastAsia="仿宋_GB2312" w:hAnsi="仿宋_GB2312" w:cs="仿宋_GB2312" w:hint="eastAsia"/>
          <w:sz w:val="32"/>
          <w:szCs w:val="32"/>
        </w:rPr>
        <w:t>大力弘扬勤政、廉洁、务实、高效的优良作风，不断提高服务质量、办事效率和服务水平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3E42E9" w:rsidRDefault="00CD109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（二）综合治税堵漏洞，深入挖潜促增收。</w:t>
      </w:r>
      <w:r>
        <w:rPr>
          <w:rFonts w:ascii="仿宋_GB2312" w:eastAsia="仿宋_GB2312" w:hint="eastAsia"/>
          <w:b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加强缓税政策到期后税收征管。通过核查、评估、对比等方式，确保应征尽征，足额征收。</w:t>
      </w:r>
      <w:r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深入开展耕地占用税清查工作。重点开展违法占地、临时用地耕地占用税管理。</w:t>
      </w:r>
      <w:r>
        <w:rPr>
          <w:rFonts w:ascii="仿宋_GB2312" w:eastAsia="仿宋_GB2312" w:hint="eastAsia"/>
          <w:b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加强房产、城镇土地使用税管理。重点针对“占而不缴、缴而不足”单位开展核查，确保房产税、城镇土地使用税足额征收。</w:t>
      </w:r>
      <w:r>
        <w:rPr>
          <w:rFonts w:ascii="仿宋_GB2312" w:eastAsia="仿宋_GB2312" w:hint="eastAsia"/>
          <w:b/>
          <w:sz w:val="32"/>
          <w:szCs w:val="32"/>
        </w:rPr>
        <w:t>四是</w:t>
      </w:r>
      <w:r>
        <w:rPr>
          <w:rFonts w:ascii="仿宋_GB2312" w:eastAsia="仿宋_GB2312" w:hint="eastAsia"/>
          <w:sz w:val="32"/>
          <w:szCs w:val="32"/>
        </w:rPr>
        <w:t>加强水资源税、环境</w:t>
      </w:r>
      <w:r>
        <w:rPr>
          <w:rFonts w:ascii="仿宋_GB2312" w:eastAsia="仿宋_GB2312" w:hint="eastAsia"/>
          <w:sz w:val="32"/>
          <w:szCs w:val="32"/>
        </w:rPr>
        <w:lastRenderedPageBreak/>
        <w:t>保护税管理。按照“小税种、大税源”思路，防止水资源税收流失。依法对应税大气污染物，水污染物，固体废物，工业噪声排放的单位深入排查。</w:t>
      </w:r>
      <w:r>
        <w:rPr>
          <w:rFonts w:ascii="仿宋_GB2312" w:eastAsia="仿宋_GB2312" w:hint="eastAsia"/>
          <w:b/>
          <w:sz w:val="32"/>
          <w:szCs w:val="32"/>
        </w:rPr>
        <w:t>五是</w:t>
      </w:r>
      <w:r>
        <w:rPr>
          <w:rFonts w:ascii="仿宋_GB2312" w:eastAsia="仿宋_GB2312" w:hint="eastAsia"/>
          <w:sz w:val="32"/>
          <w:szCs w:val="32"/>
        </w:rPr>
        <w:t>加强非税收入征管。建立非税收</w:t>
      </w:r>
      <w:proofErr w:type="gramStart"/>
      <w:r>
        <w:rPr>
          <w:rFonts w:ascii="仿宋_GB2312" w:eastAsia="仿宋_GB2312" w:hint="eastAsia"/>
          <w:sz w:val="32"/>
          <w:szCs w:val="32"/>
        </w:rPr>
        <w:t>入目标</w:t>
      </w:r>
      <w:proofErr w:type="gramEnd"/>
      <w:r>
        <w:rPr>
          <w:rFonts w:ascii="仿宋_GB2312" w:eastAsia="仿宋_GB2312" w:hint="eastAsia"/>
          <w:sz w:val="32"/>
          <w:szCs w:val="32"/>
        </w:rPr>
        <w:t>考核机制，增强非税收入征管部门征缴意识。</w:t>
      </w:r>
    </w:p>
    <w:p w:rsidR="003E42E9" w:rsidRDefault="00CD109E">
      <w:pPr>
        <w:spacing w:line="56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  <w:lang w:val="zh-CN"/>
        </w:rPr>
      </w:pPr>
      <w:r>
        <w:rPr>
          <w:rFonts w:ascii="楷体_GB2312" w:eastAsia="楷体_GB2312" w:hint="eastAsia"/>
          <w:bCs/>
          <w:sz w:val="32"/>
          <w:szCs w:val="32"/>
        </w:rPr>
        <w:t>（三）贯彻</w:t>
      </w:r>
      <w:proofErr w:type="gramStart"/>
      <w:r>
        <w:rPr>
          <w:rFonts w:ascii="楷体_GB2312" w:eastAsia="楷体_GB2312" w:hint="eastAsia"/>
          <w:bCs/>
          <w:sz w:val="32"/>
          <w:szCs w:val="32"/>
        </w:rPr>
        <w:t>政策抓</w:t>
      </w:r>
      <w:proofErr w:type="gramEnd"/>
      <w:r>
        <w:rPr>
          <w:rFonts w:ascii="楷体_GB2312" w:eastAsia="楷体_GB2312" w:hint="eastAsia"/>
          <w:bCs/>
          <w:sz w:val="32"/>
          <w:szCs w:val="32"/>
        </w:rPr>
        <w:t>落实，统筹调度保民生。</w:t>
      </w:r>
      <w:r>
        <w:rPr>
          <w:rFonts w:ascii="仿宋_GB2312" w:eastAsia="仿宋_GB2312" w:hint="eastAsia"/>
          <w:bCs/>
          <w:sz w:val="32"/>
          <w:szCs w:val="32"/>
        </w:rPr>
        <w:t>聚焦群众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急难愁盼问题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，全力保障和改善民生。围绕市委“十大目标”、实施“十大行动”，推进“141015工程”，开展“6+10”行动计划，推动经济社会高质量发展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。</w:t>
      </w:r>
      <w:r>
        <w:rPr>
          <w:rFonts w:ascii="仿宋_GB2312" w:eastAsia="仿宋_GB2312" w:hAnsi="仿宋" w:cs="仿宋" w:hint="eastAsia"/>
          <w:b/>
          <w:sz w:val="32"/>
          <w:szCs w:val="32"/>
        </w:rPr>
        <w:t>一是</w:t>
      </w:r>
      <w:r>
        <w:rPr>
          <w:rFonts w:ascii="仿宋_GB2312" w:eastAsia="仿宋_GB2312" w:hAnsi="仿宋" w:cs="仿宋" w:hint="eastAsia"/>
          <w:bCs/>
          <w:sz w:val="32"/>
          <w:szCs w:val="32"/>
        </w:rPr>
        <w:t>积极争取上级财力支持，弥补短收，保障“基本民生、工资、运转”支出需求。</w:t>
      </w:r>
      <w:r>
        <w:rPr>
          <w:rFonts w:ascii="仿宋_GB2312" w:eastAsia="仿宋_GB2312" w:hAnsi="仿宋" w:cs="仿宋" w:hint="eastAsia"/>
          <w:b/>
          <w:sz w:val="32"/>
          <w:szCs w:val="32"/>
        </w:rPr>
        <w:t>二是</w:t>
      </w:r>
      <w:r>
        <w:rPr>
          <w:rFonts w:ascii="仿宋_GB2312" w:eastAsia="仿宋_GB2312" w:hAnsi="仿宋" w:cs="仿宋" w:hint="eastAsia"/>
          <w:sz w:val="32"/>
          <w:szCs w:val="32"/>
        </w:rPr>
        <w:t>加强直达资金监管。</w:t>
      </w:r>
      <w:r>
        <w:rPr>
          <w:rFonts w:ascii="仿宋_GB2312" w:eastAsia="仿宋_GB2312" w:hAnsi="仿宋" w:cs="仿宋" w:hint="eastAsia"/>
          <w:bCs/>
          <w:sz w:val="32"/>
          <w:szCs w:val="32"/>
        </w:rPr>
        <w:t>加快直达资金支付进度，</w:t>
      </w:r>
      <w:r>
        <w:rPr>
          <w:rFonts w:ascii="仿宋_GB2312" w:eastAsia="仿宋_GB2312" w:hAnsi="仿宋" w:cs="仿宋" w:hint="eastAsia"/>
          <w:sz w:val="32"/>
          <w:szCs w:val="32"/>
        </w:rPr>
        <w:t>采取定期分析、上门会商等方式</w:t>
      </w:r>
      <w:r>
        <w:rPr>
          <w:rFonts w:ascii="仿宋_GB2312" w:eastAsia="仿宋_GB2312" w:hint="eastAsia"/>
          <w:sz w:val="32"/>
          <w:szCs w:val="32"/>
        </w:rPr>
        <w:t>提高资金分配下达速度和拨付效率，</w:t>
      </w:r>
      <w:r>
        <w:rPr>
          <w:rFonts w:ascii="仿宋_GB2312" w:eastAsia="仿宋_GB2312" w:hAnsi="仿宋" w:cs="仿宋" w:hint="eastAsia"/>
          <w:bCs/>
          <w:sz w:val="32"/>
          <w:szCs w:val="32"/>
        </w:rPr>
        <w:t>确保直达资金直接惠企利民。</w:t>
      </w:r>
      <w:r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把惠民惠农财政补贴资金“一卡通”打造成为群众的“连心卡”，从根本上解决补贴发放一人多卡、不及时不精准问题，确保惠民惠农政策落地见效。</w:t>
      </w:r>
      <w:r>
        <w:rPr>
          <w:rFonts w:ascii="仿宋_GB2312" w:eastAsia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Ansi="楷体_GB2312" w:cs="楷体_GB2312" w:hint="eastAsia"/>
          <w:bCs/>
          <w:sz w:val="32"/>
          <w:szCs w:val="32"/>
          <w:lang w:val="zh-CN"/>
        </w:rPr>
        <w:t>做好防汛救灾和疫情防控资金保障。</w:t>
      </w:r>
      <w:r>
        <w:rPr>
          <w:rFonts w:ascii="仿宋_GB2312" w:eastAsia="仿宋_GB2312" w:hAnsi="仿宋_GB2312" w:cs="仿宋_GB2312" w:hint="eastAsia"/>
          <w:sz w:val="32"/>
          <w:szCs w:val="32"/>
        </w:rPr>
        <w:t>积极向上级争取资金政策支持、接收各类捐款，统筹调剂各类资金，全力保障防汛救灾及灾后恢复重建、疫情防控资金需要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3E42E9" w:rsidRDefault="00CD109E">
      <w:pPr>
        <w:overflowPunct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Cs/>
          <w:sz w:val="32"/>
          <w:szCs w:val="32"/>
        </w:rPr>
        <w:t>（四）加强监管守底线，严控增量防风险。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严格遵循“严控增量、清理存量、化解风险、确保平稳”的原则，发挥政府举债积极作用，依法依规管好政府债务。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强化执纪监督，建立健全常规性监督检查和问责机制。</w:t>
      </w:r>
      <w:r>
        <w:rPr>
          <w:rFonts w:ascii="仿宋_GB2312" w:eastAsia="仿宋_GB2312" w:hAnsi="宋体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坚</w:t>
      </w:r>
      <w:r w:rsidR="00067AC7">
        <w:rPr>
          <w:rFonts w:ascii="仿宋_GB2312" w:eastAsia="仿宋_GB2312" w:hint="eastAsia"/>
          <w:sz w:val="32"/>
          <w:szCs w:val="32"/>
        </w:rPr>
        <w:t>守</w:t>
      </w:r>
      <w:r>
        <w:rPr>
          <w:rFonts w:ascii="仿宋_GB2312" w:eastAsia="仿宋_GB2312" w:hint="eastAsia"/>
          <w:sz w:val="32"/>
          <w:szCs w:val="32"/>
        </w:rPr>
        <w:t>底线，把防风险摆在更加突出位置，统筹发展和安全、当前和长远。提高财政可持续能力，加强政府债务和中长期支出事项管理，牢牢守住不发生系统性风险的底线。</w:t>
      </w:r>
    </w:p>
    <w:p w:rsidR="003E42E9" w:rsidRDefault="00CD109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int="eastAsia"/>
          <w:bCs/>
          <w:kern w:val="0"/>
          <w:sz w:val="32"/>
          <w:szCs w:val="32"/>
        </w:rPr>
        <w:t>（五）深化改革重规范，强化服务提效能。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强化管理，</w:t>
      </w:r>
      <w:r>
        <w:rPr>
          <w:rFonts w:ascii="仿宋_GB2312" w:eastAsia="仿宋_GB2312" w:hint="eastAsia"/>
          <w:sz w:val="32"/>
          <w:szCs w:val="32"/>
        </w:rPr>
        <w:lastRenderedPageBreak/>
        <w:t>硬化约束。</w:t>
      </w:r>
      <w:r>
        <w:rPr>
          <w:rFonts w:ascii="仿宋_GB2312" w:eastAsia="仿宋_GB2312" w:hAnsi="宋体" w:hint="eastAsia"/>
          <w:sz w:val="32"/>
          <w:szCs w:val="32"/>
        </w:rPr>
        <w:t>强化预算法定意识，严</w:t>
      </w:r>
      <w:r>
        <w:rPr>
          <w:rFonts w:ascii="仿宋_GB2312" w:eastAsia="仿宋_GB2312" w:hint="eastAsia"/>
          <w:sz w:val="32"/>
          <w:szCs w:val="32"/>
        </w:rPr>
        <w:t>格按照预算法等有关规定编制和执行预算，着力提升制度执行力，维护法律的权威性和制度的刚性约束力；严格执行预算管理一体化业务规范，夯实预算基础管理；以信息化推进预算管理现代化，加强预算管理各项制度的系统集成、协同高效，提高预算管理规范化、科学化、标准化水平和预算透明度。</w:t>
      </w:r>
      <w:r>
        <w:rPr>
          <w:rFonts w:ascii="仿宋_GB2312" w:eastAsia="仿宋_GB2312" w:hint="eastAsia"/>
          <w:b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讲求绩效，提高效益。全面实施预算绩效管理，推进预算与绩效管理深度融合，实行预算编制、执行和监督全过程绩效管理，强化事前绩效评估，增强项目立项和预算安排的科学性；加强绩效监控和评价结果运用，大力削减或取消低效无效支出，着力提高财政资源配置效率和使用效益。</w:t>
      </w:r>
      <w:r>
        <w:rPr>
          <w:rFonts w:ascii="仿宋_GB2312" w:eastAsia="仿宋_GB2312" w:hint="eastAsia"/>
          <w:b/>
          <w:sz w:val="32"/>
          <w:szCs w:val="32"/>
        </w:rPr>
        <w:t>三是</w:t>
      </w:r>
      <w:r>
        <w:rPr>
          <w:rFonts w:ascii="仿宋_GB2312" w:eastAsia="仿宋_GB2312" w:hAnsi="宋体" w:hint="eastAsia"/>
          <w:sz w:val="32"/>
          <w:szCs w:val="32"/>
        </w:rPr>
        <w:t>继续开展财政监督检查。积极做好会计信息质量检查，利用各种监控平台系统，及时纠正违规财务行为，规范财经纪律，发挥财政监督在推动廉政建设、执行财经纪律中的积极作用。</w:t>
      </w:r>
    </w:p>
    <w:p w:rsidR="003E42E9" w:rsidRDefault="00CD109E" w:rsidP="0099298F">
      <w:pPr>
        <w:overflowPunct w:val="0"/>
        <w:adjustRightInd w:val="0"/>
        <w:snapToGrid w:val="0"/>
        <w:spacing w:line="560" w:lineRule="exact"/>
        <w:ind w:firstLineChars="218" w:firstLine="698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主任、各位副主任、各位委员，2022年财政改革发展任务艰巨，责任重大，我们将深入贯彻习近平新时代中国特色社会主义思想，在区委的正确领导下，在区人大、区政协和社会各界的监督、支持下，坚定信心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、真抓实干，克难攻坚，</w:t>
      </w:r>
      <w:r>
        <w:rPr>
          <w:rFonts w:ascii="仿宋_GB2312" w:eastAsia="仿宋_GB2312" w:hAnsi="宋体" w:cs="宋体" w:hint="eastAsia"/>
          <w:sz w:val="32"/>
          <w:szCs w:val="32"/>
        </w:rPr>
        <w:t>圆满完成全年财政收支预算和各项财政工作任务，以优异成绩迎接党的二十大胜利召开！</w:t>
      </w:r>
    </w:p>
    <w:p w:rsidR="003E42E9" w:rsidRDefault="00CD109E">
      <w:pPr>
        <w:overflowPunct w:val="0"/>
        <w:adjustRightInd w:val="0"/>
        <w:snapToGrid w:val="0"/>
        <w:spacing w:line="560" w:lineRule="exac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 </w:t>
      </w:r>
    </w:p>
    <w:sectPr w:rsidR="003E42E9" w:rsidSect="003E42E9">
      <w:headerReference w:type="default" r:id="rId7"/>
      <w:footerReference w:type="even" r:id="rId8"/>
      <w:footerReference w:type="default" r:id="rId9"/>
      <w:pgSz w:w="11906" w:h="16838"/>
      <w:pgMar w:top="1588" w:right="1418" w:bottom="1588" w:left="1418" w:header="851" w:footer="992" w:gutter="0"/>
      <w:pgNumType w:fmt="numberInDash"/>
      <w:cols w:space="720"/>
      <w:docGrid w:type="lines" w:linePitch="61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E3B" w:rsidRDefault="00716E3B" w:rsidP="003E42E9">
      <w:r>
        <w:separator/>
      </w:r>
    </w:p>
  </w:endnote>
  <w:endnote w:type="continuationSeparator" w:id="0">
    <w:p w:rsidR="00716E3B" w:rsidRDefault="00716E3B" w:rsidP="003E4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文星仿宋">
    <w:altName w:val="宋体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E9" w:rsidRDefault="00972F20">
    <w:pPr>
      <w:pStyle w:val="a6"/>
      <w:framePr w:wrap="around" w:vAnchor="text" w:hAnchor="margin" w:xAlign="outside" w:y="1"/>
      <w:rPr>
        <w:rStyle w:val="ab"/>
      </w:rPr>
    </w:pPr>
    <w:r>
      <w:fldChar w:fldCharType="begin"/>
    </w:r>
    <w:r w:rsidR="00CD109E">
      <w:rPr>
        <w:rStyle w:val="ab"/>
      </w:rPr>
      <w:instrText xml:space="preserve">PAGE  </w:instrText>
    </w:r>
    <w:r>
      <w:fldChar w:fldCharType="separate"/>
    </w:r>
    <w:r w:rsidR="00CD109E">
      <w:rPr>
        <w:rStyle w:val="ab"/>
      </w:rPr>
      <w:t>- 1 -</w:t>
    </w:r>
    <w:r>
      <w:fldChar w:fldCharType="end"/>
    </w:r>
  </w:p>
  <w:p w:rsidR="003E42E9" w:rsidRDefault="003E42E9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E9" w:rsidRDefault="00972F20">
    <w:pPr>
      <w:pStyle w:val="a6"/>
      <w:framePr w:wrap="around" w:vAnchor="text" w:hAnchor="margin" w:xAlign="outside" w:y="1"/>
      <w:rPr>
        <w:rStyle w:val="ab"/>
        <w:rFonts w:ascii="楷体_GB2312" w:eastAsia="楷体_GB2312"/>
        <w:sz w:val="24"/>
        <w:szCs w:val="24"/>
      </w:rPr>
    </w:pPr>
    <w:r>
      <w:rPr>
        <w:rFonts w:ascii="楷体_GB2312" w:eastAsia="楷体_GB2312" w:hint="eastAsia"/>
        <w:sz w:val="24"/>
        <w:szCs w:val="24"/>
      </w:rPr>
      <w:fldChar w:fldCharType="begin"/>
    </w:r>
    <w:r w:rsidR="00CD109E">
      <w:rPr>
        <w:rStyle w:val="ab"/>
        <w:rFonts w:ascii="楷体_GB2312" w:eastAsia="楷体_GB2312" w:hint="eastAsia"/>
        <w:sz w:val="24"/>
        <w:szCs w:val="24"/>
      </w:rPr>
      <w:instrText xml:space="preserve">PAGE  </w:instrText>
    </w:r>
    <w:r>
      <w:rPr>
        <w:rFonts w:ascii="楷体_GB2312" w:eastAsia="楷体_GB2312" w:hint="eastAsia"/>
        <w:sz w:val="24"/>
        <w:szCs w:val="24"/>
      </w:rPr>
      <w:fldChar w:fldCharType="separate"/>
    </w:r>
    <w:r w:rsidR="005A49B8">
      <w:rPr>
        <w:rStyle w:val="ab"/>
        <w:rFonts w:ascii="楷体_GB2312" w:eastAsia="楷体_GB2312"/>
        <w:noProof/>
        <w:sz w:val="24"/>
        <w:szCs w:val="24"/>
      </w:rPr>
      <w:t>- 10 -</w:t>
    </w:r>
    <w:r>
      <w:rPr>
        <w:rFonts w:ascii="楷体_GB2312" w:eastAsia="楷体_GB2312" w:hint="eastAsia"/>
        <w:sz w:val="24"/>
        <w:szCs w:val="24"/>
      </w:rPr>
      <w:fldChar w:fldCharType="end"/>
    </w:r>
  </w:p>
  <w:p w:rsidR="003E42E9" w:rsidRDefault="003E42E9">
    <w:pPr>
      <w:pStyle w:val="a6"/>
      <w:ind w:right="360" w:firstLine="360"/>
    </w:pPr>
  </w:p>
  <w:p w:rsidR="003E42E9" w:rsidRDefault="003E42E9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E3B" w:rsidRDefault="00716E3B" w:rsidP="003E42E9">
      <w:r>
        <w:separator/>
      </w:r>
    </w:p>
  </w:footnote>
  <w:footnote w:type="continuationSeparator" w:id="0">
    <w:p w:rsidR="00716E3B" w:rsidRDefault="00716E3B" w:rsidP="003E42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2E9" w:rsidRDefault="003E42E9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305"/>
  <w:noPunctuationKerning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YmZkNGYwODUyZTZmYzMyNjkwNmEwODBkNDEyZWExNjMifQ=="/>
  </w:docVars>
  <w:rsids>
    <w:rsidRoot w:val="00172A27"/>
    <w:rsid w:val="00010FF7"/>
    <w:rsid w:val="0001129D"/>
    <w:rsid w:val="00016615"/>
    <w:rsid w:val="00017EBB"/>
    <w:rsid w:val="00020B87"/>
    <w:rsid w:val="00023FB0"/>
    <w:rsid w:val="00025ABB"/>
    <w:rsid w:val="00032825"/>
    <w:rsid w:val="00035829"/>
    <w:rsid w:val="00041290"/>
    <w:rsid w:val="00052421"/>
    <w:rsid w:val="00052C71"/>
    <w:rsid w:val="00053197"/>
    <w:rsid w:val="00054F33"/>
    <w:rsid w:val="000570D0"/>
    <w:rsid w:val="0005787D"/>
    <w:rsid w:val="00067AC7"/>
    <w:rsid w:val="00072A57"/>
    <w:rsid w:val="0008289F"/>
    <w:rsid w:val="0008482E"/>
    <w:rsid w:val="000975D5"/>
    <w:rsid w:val="000A0724"/>
    <w:rsid w:val="000A325B"/>
    <w:rsid w:val="000A3B78"/>
    <w:rsid w:val="000A773F"/>
    <w:rsid w:val="000A7A4D"/>
    <w:rsid w:val="000B3806"/>
    <w:rsid w:val="000C09DB"/>
    <w:rsid w:val="000C0DDC"/>
    <w:rsid w:val="000C74AF"/>
    <w:rsid w:val="000D07CA"/>
    <w:rsid w:val="000D57DA"/>
    <w:rsid w:val="000E0644"/>
    <w:rsid w:val="000E3055"/>
    <w:rsid w:val="000E73E2"/>
    <w:rsid w:val="000F1A50"/>
    <w:rsid w:val="000F3C40"/>
    <w:rsid w:val="000F6AD4"/>
    <w:rsid w:val="000F7A6A"/>
    <w:rsid w:val="0010071A"/>
    <w:rsid w:val="00101782"/>
    <w:rsid w:val="00104539"/>
    <w:rsid w:val="00106B44"/>
    <w:rsid w:val="0011320D"/>
    <w:rsid w:val="00113FC2"/>
    <w:rsid w:val="00120DC1"/>
    <w:rsid w:val="00125326"/>
    <w:rsid w:val="001276D4"/>
    <w:rsid w:val="0013520C"/>
    <w:rsid w:val="00147A4A"/>
    <w:rsid w:val="001533B0"/>
    <w:rsid w:val="0015698D"/>
    <w:rsid w:val="00160E60"/>
    <w:rsid w:val="001617F4"/>
    <w:rsid w:val="00163FCD"/>
    <w:rsid w:val="00172A27"/>
    <w:rsid w:val="00172F64"/>
    <w:rsid w:val="00177770"/>
    <w:rsid w:val="0018371E"/>
    <w:rsid w:val="001845DB"/>
    <w:rsid w:val="001A1244"/>
    <w:rsid w:val="001A79C7"/>
    <w:rsid w:val="001B37A8"/>
    <w:rsid w:val="001B3C6F"/>
    <w:rsid w:val="001C0D20"/>
    <w:rsid w:val="001C35C6"/>
    <w:rsid w:val="001C3732"/>
    <w:rsid w:val="001C5FB4"/>
    <w:rsid w:val="001D0D89"/>
    <w:rsid w:val="001D1A16"/>
    <w:rsid w:val="001D582E"/>
    <w:rsid w:val="001D5B83"/>
    <w:rsid w:val="001E00B2"/>
    <w:rsid w:val="001E090F"/>
    <w:rsid w:val="001F1B4B"/>
    <w:rsid w:val="001F5F4C"/>
    <w:rsid w:val="001F68B1"/>
    <w:rsid w:val="00205047"/>
    <w:rsid w:val="002219A1"/>
    <w:rsid w:val="00227D95"/>
    <w:rsid w:val="00233493"/>
    <w:rsid w:val="00236939"/>
    <w:rsid w:val="00250ACD"/>
    <w:rsid w:val="002543D4"/>
    <w:rsid w:val="00263385"/>
    <w:rsid w:val="00266D67"/>
    <w:rsid w:val="002718FF"/>
    <w:rsid w:val="002854AA"/>
    <w:rsid w:val="00292E8E"/>
    <w:rsid w:val="002975C3"/>
    <w:rsid w:val="00297A57"/>
    <w:rsid w:val="002A153E"/>
    <w:rsid w:val="002B4F84"/>
    <w:rsid w:val="002B5AB7"/>
    <w:rsid w:val="002B77AB"/>
    <w:rsid w:val="002C073C"/>
    <w:rsid w:val="002C3E6F"/>
    <w:rsid w:val="002C4824"/>
    <w:rsid w:val="002C6222"/>
    <w:rsid w:val="002C7004"/>
    <w:rsid w:val="002E73EA"/>
    <w:rsid w:val="002F4065"/>
    <w:rsid w:val="002F4A58"/>
    <w:rsid w:val="00300B05"/>
    <w:rsid w:val="00306B6D"/>
    <w:rsid w:val="00310610"/>
    <w:rsid w:val="00311685"/>
    <w:rsid w:val="00313B2F"/>
    <w:rsid w:val="0032208A"/>
    <w:rsid w:val="00323596"/>
    <w:rsid w:val="0032439C"/>
    <w:rsid w:val="003316B9"/>
    <w:rsid w:val="003344E9"/>
    <w:rsid w:val="00344020"/>
    <w:rsid w:val="00361A18"/>
    <w:rsid w:val="003656AB"/>
    <w:rsid w:val="00367200"/>
    <w:rsid w:val="00374535"/>
    <w:rsid w:val="00376255"/>
    <w:rsid w:val="00382C36"/>
    <w:rsid w:val="00385085"/>
    <w:rsid w:val="00385180"/>
    <w:rsid w:val="003862D3"/>
    <w:rsid w:val="00394D1E"/>
    <w:rsid w:val="00394FB5"/>
    <w:rsid w:val="00395C71"/>
    <w:rsid w:val="003A1F07"/>
    <w:rsid w:val="003A49F1"/>
    <w:rsid w:val="003A5E10"/>
    <w:rsid w:val="003A7686"/>
    <w:rsid w:val="003B2ED8"/>
    <w:rsid w:val="003C5289"/>
    <w:rsid w:val="003D094C"/>
    <w:rsid w:val="003D352B"/>
    <w:rsid w:val="003D3CE9"/>
    <w:rsid w:val="003E0B07"/>
    <w:rsid w:val="003E42E9"/>
    <w:rsid w:val="00400EDD"/>
    <w:rsid w:val="0042367E"/>
    <w:rsid w:val="00423DB4"/>
    <w:rsid w:val="004258A3"/>
    <w:rsid w:val="00431001"/>
    <w:rsid w:val="0044328F"/>
    <w:rsid w:val="0045175B"/>
    <w:rsid w:val="00455CBA"/>
    <w:rsid w:val="00456B10"/>
    <w:rsid w:val="00456C9F"/>
    <w:rsid w:val="00460C43"/>
    <w:rsid w:val="004652CC"/>
    <w:rsid w:val="00465565"/>
    <w:rsid w:val="00466D9B"/>
    <w:rsid w:val="0047585B"/>
    <w:rsid w:val="004817A8"/>
    <w:rsid w:val="00483ED2"/>
    <w:rsid w:val="00484D1A"/>
    <w:rsid w:val="004872A4"/>
    <w:rsid w:val="00487FEE"/>
    <w:rsid w:val="004A2482"/>
    <w:rsid w:val="004B0055"/>
    <w:rsid w:val="004B03F1"/>
    <w:rsid w:val="004B2CF6"/>
    <w:rsid w:val="004B4B3E"/>
    <w:rsid w:val="004B5239"/>
    <w:rsid w:val="004C569C"/>
    <w:rsid w:val="004D23D1"/>
    <w:rsid w:val="004D658E"/>
    <w:rsid w:val="004E1ECD"/>
    <w:rsid w:val="004E1FD3"/>
    <w:rsid w:val="004E22E1"/>
    <w:rsid w:val="004E407C"/>
    <w:rsid w:val="004E5CCE"/>
    <w:rsid w:val="004F25D8"/>
    <w:rsid w:val="004F64EC"/>
    <w:rsid w:val="004F6EDB"/>
    <w:rsid w:val="0051201D"/>
    <w:rsid w:val="00513104"/>
    <w:rsid w:val="005147F8"/>
    <w:rsid w:val="00523EB8"/>
    <w:rsid w:val="005409E2"/>
    <w:rsid w:val="00550C45"/>
    <w:rsid w:val="0056149D"/>
    <w:rsid w:val="005657C4"/>
    <w:rsid w:val="005714F2"/>
    <w:rsid w:val="00572947"/>
    <w:rsid w:val="0058311E"/>
    <w:rsid w:val="00584670"/>
    <w:rsid w:val="005868F2"/>
    <w:rsid w:val="005870F6"/>
    <w:rsid w:val="00592005"/>
    <w:rsid w:val="00596653"/>
    <w:rsid w:val="005A109B"/>
    <w:rsid w:val="005A2547"/>
    <w:rsid w:val="005A44FD"/>
    <w:rsid w:val="005A49B8"/>
    <w:rsid w:val="005A62E2"/>
    <w:rsid w:val="005C3B7A"/>
    <w:rsid w:val="005C4229"/>
    <w:rsid w:val="005C5F10"/>
    <w:rsid w:val="005D3AF9"/>
    <w:rsid w:val="005D68AF"/>
    <w:rsid w:val="005E063A"/>
    <w:rsid w:val="005E5516"/>
    <w:rsid w:val="00601B7F"/>
    <w:rsid w:val="006066DE"/>
    <w:rsid w:val="00613CA8"/>
    <w:rsid w:val="00614BA4"/>
    <w:rsid w:val="00617E39"/>
    <w:rsid w:val="00630994"/>
    <w:rsid w:val="006330E2"/>
    <w:rsid w:val="00640A59"/>
    <w:rsid w:val="0065456C"/>
    <w:rsid w:val="00656477"/>
    <w:rsid w:val="006612A4"/>
    <w:rsid w:val="00666AE9"/>
    <w:rsid w:val="00666FFD"/>
    <w:rsid w:val="00671BE9"/>
    <w:rsid w:val="00671D5E"/>
    <w:rsid w:val="006836FB"/>
    <w:rsid w:val="00684837"/>
    <w:rsid w:val="006860E4"/>
    <w:rsid w:val="006870FB"/>
    <w:rsid w:val="006871B6"/>
    <w:rsid w:val="00693F9E"/>
    <w:rsid w:val="0069581A"/>
    <w:rsid w:val="006A401A"/>
    <w:rsid w:val="006A5489"/>
    <w:rsid w:val="006A572F"/>
    <w:rsid w:val="006A7F03"/>
    <w:rsid w:val="006B2C16"/>
    <w:rsid w:val="006D5B3E"/>
    <w:rsid w:val="006E4414"/>
    <w:rsid w:val="006E4A73"/>
    <w:rsid w:val="006E7CE0"/>
    <w:rsid w:val="006F2204"/>
    <w:rsid w:val="00701357"/>
    <w:rsid w:val="0071229A"/>
    <w:rsid w:val="00716E3B"/>
    <w:rsid w:val="00720076"/>
    <w:rsid w:val="00742D1D"/>
    <w:rsid w:val="0075654A"/>
    <w:rsid w:val="00763CDB"/>
    <w:rsid w:val="00764868"/>
    <w:rsid w:val="00767A31"/>
    <w:rsid w:val="0077094D"/>
    <w:rsid w:val="00780A3B"/>
    <w:rsid w:val="007835E6"/>
    <w:rsid w:val="0079379A"/>
    <w:rsid w:val="007A77AB"/>
    <w:rsid w:val="007B1D09"/>
    <w:rsid w:val="007B6540"/>
    <w:rsid w:val="007B797E"/>
    <w:rsid w:val="007C0559"/>
    <w:rsid w:val="007C1EDD"/>
    <w:rsid w:val="007C2CAB"/>
    <w:rsid w:val="007D0AD2"/>
    <w:rsid w:val="007D107A"/>
    <w:rsid w:val="007E578A"/>
    <w:rsid w:val="007F21F2"/>
    <w:rsid w:val="00802432"/>
    <w:rsid w:val="0080281E"/>
    <w:rsid w:val="00807405"/>
    <w:rsid w:val="00811652"/>
    <w:rsid w:val="00827B88"/>
    <w:rsid w:val="00831F72"/>
    <w:rsid w:val="0083241C"/>
    <w:rsid w:val="0083498E"/>
    <w:rsid w:val="00840A58"/>
    <w:rsid w:val="00841B5A"/>
    <w:rsid w:val="00845155"/>
    <w:rsid w:val="00845B6C"/>
    <w:rsid w:val="00845BDE"/>
    <w:rsid w:val="00845BF7"/>
    <w:rsid w:val="00852BBB"/>
    <w:rsid w:val="00854A2B"/>
    <w:rsid w:val="008577E3"/>
    <w:rsid w:val="0086062A"/>
    <w:rsid w:val="008618D5"/>
    <w:rsid w:val="00877ED6"/>
    <w:rsid w:val="0088274F"/>
    <w:rsid w:val="00884949"/>
    <w:rsid w:val="00887988"/>
    <w:rsid w:val="008939C0"/>
    <w:rsid w:val="00897463"/>
    <w:rsid w:val="00897A20"/>
    <w:rsid w:val="008A3017"/>
    <w:rsid w:val="008A5D76"/>
    <w:rsid w:val="008A6EC1"/>
    <w:rsid w:val="008B612E"/>
    <w:rsid w:val="008C163C"/>
    <w:rsid w:val="008C2207"/>
    <w:rsid w:val="008D464E"/>
    <w:rsid w:val="008F1B7E"/>
    <w:rsid w:val="008F1C34"/>
    <w:rsid w:val="008F3BBD"/>
    <w:rsid w:val="00913D89"/>
    <w:rsid w:val="00916444"/>
    <w:rsid w:val="00920656"/>
    <w:rsid w:val="00920C6A"/>
    <w:rsid w:val="009216DB"/>
    <w:rsid w:val="009345DA"/>
    <w:rsid w:val="009436A3"/>
    <w:rsid w:val="0094442A"/>
    <w:rsid w:val="00946F43"/>
    <w:rsid w:val="00955E8C"/>
    <w:rsid w:val="00957F1D"/>
    <w:rsid w:val="00972F20"/>
    <w:rsid w:val="00974550"/>
    <w:rsid w:val="00976536"/>
    <w:rsid w:val="00981534"/>
    <w:rsid w:val="00981E80"/>
    <w:rsid w:val="00985225"/>
    <w:rsid w:val="00987899"/>
    <w:rsid w:val="00987CEC"/>
    <w:rsid w:val="00990AAC"/>
    <w:rsid w:val="00990E18"/>
    <w:rsid w:val="0099298F"/>
    <w:rsid w:val="00992F85"/>
    <w:rsid w:val="009A607A"/>
    <w:rsid w:val="009A690E"/>
    <w:rsid w:val="009B54B4"/>
    <w:rsid w:val="009B5530"/>
    <w:rsid w:val="009C1E3E"/>
    <w:rsid w:val="009C3D99"/>
    <w:rsid w:val="009D15DC"/>
    <w:rsid w:val="009D4AD5"/>
    <w:rsid w:val="009E46A7"/>
    <w:rsid w:val="009F367D"/>
    <w:rsid w:val="009F5996"/>
    <w:rsid w:val="00A00D06"/>
    <w:rsid w:val="00A01D04"/>
    <w:rsid w:val="00A022FC"/>
    <w:rsid w:val="00A03AC0"/>
    <w:rsid w:val="00A05692"/>
    <w:rsid w:val="00A10AB6"/>
    <w:rsid w:val="00A1177E"/>
    <w:rsid w:val="00A12488"/>
    <w:rsid w:val="00A1555B"/>
    <w:rsid w:val="00A17160"/>
    <w:rsid w:val="00A22D76"/>
    <w:rsid w:val="00A263AB"/>
    <w:rsid w:val="00A43C58"/>
    <w:rsid w:val="00A45CAF"/>
    <w:rsid w:val="00A5247B"/>
    <w:rsid w:val="00A53C2D"/>
    <w:rsid w:val="00A5623E"/>
    <w:rsid w:val="00A57668"/>
    <w:rsid w:val="00A803FE"/>
    <w:rsid w:val="00A84D58"/>
    <w:rsid w:val="00A87143"/>
    <w:rsid w:val="00A87C7E"/>
    <w:rsid w:val="00A903A5"/>
    <w:rsid w:val="00A904B8"/>
    <w:rsid w:val="00AB072B"/>
    <w:rsid w:val="00AB5B8F"/>
    <w:rsid w:val="00AB66B4"/>
    <w:rsid w:val="00AB7214"/>
    <w:rsid w:val="00AC42E4"/>
    <w:rsid w:val="00AC5F79"/>
    <w:rsid w:val="00AD3726"/>
    <w:rsid w:val="00AD6113"/>
    <w:rsid w:val="00AE052B"/>
    <w:rsid w:val="00AE1AF2"/>
    <w:rsid w:val="00AE6542"/>
    <w:rsid w:val="00AF0A24"/>
    <w:rsid w:val="00AF2D17"/>
    <w:rsid w:val="00AF4FF3"/>
    <w:rsid w:val="00AF7A99"/>
    <w:rsid w:val="00B00B4E"/>
    <w:rsid w:val="00B00B95"/>
    <w:rsid w:val="00B07A54"/>
    <w:rsid w:val="00B11601"/>
    <w:rsid w:val="00B12E58"/>
    <w:rsid w:val="00B20956"/>
    <w:rsid w:val="00B210B3"/>
    <w:rsid w:val="00B220E6"/>
    <w:rsid w:val="00B2569B"/>
    <w:rsid w:val="00B32AAB"/>
    <w:rsid w:val="00B40E16"/>
    <w:rsid w:val="00B42C33"/>
    <w:rsid w:val="00B470E0"/>
    <w:rsid w:val="00B50448"/>
    <w:rsid w:val="00B50F1C"/>
    <w:rsid w:val="00B52348"/>
    <w:rsid w:val="00B54B3C"/>
    <w:rsid w:val="00B62739"/>
    <w:rsid w:val="00B62E90"/>
    <w:rsid w:val="00B733EF"/>
    <w:rsid w:val="00B74EC4"/>
    <w:rsid w:val="00B865DE"/>
    <w:rsid w:val="00B91859"/>
    <w:rsid w:val="00B957E7"/>
    <w:rsid w:val="00BA3F63"/>
    <w:rsid w:val="00BA509F"/>
    <w:rsid w:val="00BA5AAB"/>
    <w:rsid w:val="00BB1BE2"/>
    <w:rsid w:val="00BB572E"/>
    <w:rsid w:val="00BB6774"/>
    <w:rsid w:val="00BB753A"/>
    <w:rsid w:val="00BB7FCE"/>
    <w:rsid w:val="00BC5CDF"/>
    <w:rsid w:val="00BE422A"/>
    <w:rsid w:val="00BE53EF"/>
    <w:rsid w:val="00BF7898"/>
    <w:rsid w:val="00C01B9F"/>
    <w:rsid w:val="00C02E18"/>
    <w:rsid w:val="00C06517"/>
    <w:rsid w:val="00C108B4"/>
    <w:rsid w:val="00C112D3"/>
    <w:rsid w:val="00C135E3"/>
    <w:rsid w:val="00C16892"/>
    <w:rsid w:val="00C26578"/>
    <w:rsid w:val="00C310B9"/>
    <w:rsid w:val="00C338DE"/>
    <w:rsid w:val="00C36675"/>
    <w:rsid w:val="00C41FDA"/>
    <w:rsid w:val="00C4371E"/>
    <w:rsid w:val="00C4573A"/>
    <w:rsid w:val="00C47D6C"/>
    <w:rsid w:val="00C50B20"/>
    <w:rsid w:val="00C56042"/>
    <w:rsid w:val="00C57E88"/>
    <w:rsid w:val="00C620A8"/>
    <w:rsid w:val="00C669B3"/>
    <w:rsid w:val="00C86562"/>
    <w:rsid w:val="00C92B66"/>
    <w:rsid w:val="00C92D4C"/>
    <w:rsid w:val="00CA266A"/>
    <w:rsid w:val="00CA5DA4"/>
    <w:rsid w:val="00CB724F"/>
    <w:rsid w:val="00CD0684"/>
    <w:rsid w:val="00CD109E"/>
    <w:rsid w:val="00CE1F10"/>
    <w:rsid w:val="00CE6D77"/>
    <w:rsid w:val="00CF05A2"/>
    <w:rsid w:val="00D041BC"/>
    <w:rsid w:val="00D04B0E"/>
    <w:rsid w:val="00D0579A"/>
    <w:rsid w:val="00D06613"/>
    <w:rsid w:val="00D12097"/>
    <w:rsid w:val="00D141C1"/>
    <w:rsid w:val="00D14384"/>
    <w:rsid w:val="00D151DF"/>
    <w:rsid w:val="00D16356"/>
    <w:rsid w:val="00D33168"/>
    <w:rsid w:val="00D354D3"/>
    <w:rsid w:val="00D50384"/>
    <w:rsid w:val="00D6029A"/>
    <w:rsid w:val="00D61E44"/>
    <w:rsid w:val="00D64FE6"/>
    <w:rsid w:val="00D721E1"/>
    <w:rsid w:val="00D743BC"/>
    <w:rsid w:val="00D774EC"/>
    <w:rsid w:val="00D87C35"/>
    <w:rsid w:val="00D91FEB"/>
    <w:rsid w:val="00D925D2"/>
    <w:rsid w:val="00D92B01"/>
    <w:rsid w:val="00DA3F1D"/>
    <w:rsid w:val="00DB2454"/>
    <w:rsid w:val="00DC0932"/>
    <w:rsid w:val="00DC24C5"/>
    <w:rsid w:val="00DC6498"/>
    <w:rsid w:val="00DD353B"/>
    <w:rsid w:val="00DD6A1D"/>
    <w:rsid w:val="00DE360A"/>
    <w:rsid w:val="00DE6886"/>
    <w:rsid w:val="00E01265"/>
    <w:rsid w:val="00E1419C"/>
    <w:rsid w:val="00E2096D"/>
    <w:rsid w:val="00E30B40"/>
    <w:rsid w:val="00E37488"/>
    <w:rsid w:val="00E45B4E"/>
    <w:rsid w:val="00E4600A"/>
    <w:rsid w:val="00E476CE"/>
    <w:rsid w:val="00E55063"/>
    <w:rsid w:val="00E560B0"/>
    <w:rsid w:val="00E6277E"/>
    <w:rsid w:val="00E63EBC"/>
    <w:rsid w:val="00E65107"/>
    <w:rsid w:val="00E657F9"/>
    <w:rsid w:val="00E73FDA"/>
    <w:rsid w:val="00E756FD"/>
    <w:rsid w:val="00E82FCF"/>
    <w:rsid w:val="00E87606"/>
    <w:rsid w:val="00E95C23"/>
    <w:rsid w:val="00E97B02"/>
    <w:rsid w:val="00EA06A7"/>
    <w:rsid w:val="00EA1A19"/>
    <w:rsid w:val="00EB5CA8"/>
    <w:rsid w:val="00EC1156"/>
    <w:rsid w:val="00EC26BE"/>
    <w:rsid w:val="00EC7099"/>
    <w:rsid w:val="00ED21CB"/>
    <w:rsid w:val="00ED3C6E"/>
    <w:rsid w:val="00EE4EC2"/>
    <w:rsid w:val="00EF16DE"/>
    <w:rsid w:val="00EF6CB1"/>
    <w:rsid w:val="00F04F78"/>
    <w:rsid w:val="00F103E1"/>
    <w:rsid w:val="00F106F9"/>
    <w:rsid w:val="00F15510"/>
    <w:rsid w:val="00F20E6A"/>
    <w:rsid w:val="00F2382F"/>
    <w:rsid w:val="00F24533"/>
    <w:rsid w:val="00F2522A"/>
    <w:rsid w:val="00F27F4B"/>
    <w:rsid w:val="00F33B2D"/>
    <w:rsid w:val="00F35957"/>
    <w:rsid w:val="00F361C4"/>
    <w:rsid w:val="00F406DF"/>
    <w:rsid w:val="00F41B0D"/>
    <w:rsid w:val="00F46997"/>
    <w:rsid w:val="00F51AC5"/>
    <w:rsid w:val="00F547A5"/>
    <w:rsid w:val="00F602EF"/>
    <w:rsid w:val="00F60868"/>
    <w:rsid w:val="00F62A15"/>
    <w:rsid w:val="00F818B1"/>
    <w:rsid w:val="00F82831"/>
    <w:rsid w:val="00F93D0A"/>
    <w:rsid w:val="00F94ACE"/>
    <w:rsid w:val="00F96963"/>
    <w:rsid w:val="00F97A3A"/>
    <w:rsid w:val="00FA08F6"/>
    <w:rsid w:val="00FA66C8"/>
    <w:rsid w:val="00FA7B1E"/>
    <w:rsid w:val="00FB7247"/>
    <w:rsid w:val="00FC4179"/>
    <w:rsid w:val="00FD2FEC"/>
    <w:rsid w:val="00FD4306"/>
    <w:rsid w:val="00FD761E"/>
    <w:rsid w:val="00FD7F7C"/>
    <w:rsid w:val="00FE3C6A"/>
    <w:rsid w:val="00FE40E0"/>
    <w:rsid w:val="080D119D"/>
    <w:rsid w:val="0A2853CD"/>
    <w:rsid w:val="0C06164D"/>
    <w:rsid w:val="0F064FF1"/>
    <w:rsid w:val="123D04AB"/>
    <w:rsid w:val="13331762"/>
    <w:rsid w:val="17106AC0"/>
    <w:rsid w:val="1CF449F4"/>
    <w:rsid w:val="1E5E3505"/>
    <w:rsid w:val="23E95023"/>
    <w:rsid w:val="29191FA1"/>
    <w:rsid w:val="2F2921FA"/>
    <w:rsid w:val="315E25DB"/>
    <w:rsid w:val="399576D7"/>
    <w:rsid w:val="3E1D4C0E"/>
    <w:rsid w:val="40597BF5"/>
    <w:rsid w:val="437B0B84"/>
    <w:rsid w:val="466E14C0"/>
    <w:rsid w:val="49E07D41"/>
    <w:rsid w:val="50030FB5"/>
    <w:rsid w:val="51C35AC3"/>
    <w:rsid w:val="57F23426"/>
    <w:rsid w:val="5DA8083C"/>
    <w:rsid w:val="5E4E3634"/>
    <w:rsid w:val="60A823A1"/>
    <w:rsid w:val="648F636D"/>
    <w:rsid w:val="65787202"/>
    <w:rsid w:val="693C45D9"/>
    <w:rsid w:val="6A0D7FF3"/>
    <w:rsid w:val="74877867"/>
    <w:rsid w:val="7842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E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E42E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E42E9"/>
    <w:pPr>
      <w:spacing w:after="120"/>
    </w:pPr>
  </w:style>
  <w:style w:type="paragraph" w:styleId="a4">
    <w:name w:val="Body Text Indent"/>
    <w:basedOn w:val="a"/>
    <w:rsid w:val="003E42E9"/>
    <w:pPr>
      <w:ind w:firstLineChars="200" w:firstLine="630"/>
    </w:pPr>
    <w:rPr>
      <w:rFonts w:ascii="宋体"/>
      <w:b/>
      <w:bCs/>
      <w:sz w:val="32"/>
      <w:szCs w:val="32"/>
    </w:rPr>
  </w:style>
  <w:style w:type="paragraph" w:styleId="a5">
    <w:name w:val="Balloon Text"/>
    <w:basedOn w:val="a"/>
    <w:semiHidden/>
    <w:rsid w:val="003E42E9"/>
    <w:rPr>
      <w:sz w:val="18"/>
      <w:szCs w:val="18"/>
    </w:rPr>
  </w:style>
  <w:style w:type="paragraph" w:styleId="a6">
    <w:name w:val="footer"/>
    <w:basedOn w:val="a"/>
    <w:rsid w:val="003E4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3E4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3E42E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ody Text First Indent"/>
    <w:basedOn w:val="a3"/>
    <w:link w:val="Char0"/>
    <w:rsid w:val="003E42E9"/>
    <w:pPr>
      <w:ind w:firstLineChars="100" w:firstLine="420"/>
    </w:pPr>
  </w:style>
  <w:style w:type="character" w:styleId="aa">
    <w:name w:val="Strong"/>
    <w:qFormat/>
    <w:rsid w:val="003E42E9"/>
    <w:rPr>
      <w:b/>
      <w:bCs/>
    </w:rPr>
  </w:style>
  <w:style w:type="character" w:styleId="ab">
    <w:name w:val="page number"/>
    <w:basedOn w:val="a0"/>
    <w:rsid w:val="003E42E9"/>
  </w:style>
  <w:style w:type="character" w:styleId="ac">
    <w:name w:val="Emphasis"/>
    <w:basedOn w:val="a0"/>
    <w:qFormat/>
    <w:rsid w:val="003E42E9"/>
    <w:rPr>
      <w:i/>
    </w:rPr>
  </w:style>
  <w:style w:type="paragraph" w:customStyle="1" w:styleId="CharCharCharCharCharCharCharCharCharChar">
    <w:name w:val="Char Char Char Char Char Char Char Char Char Char"/>
    <w:basedOn w:val="a"/>
    <w:rsid w:val="003E42E9"/>
    <w:rPr>
      <w:szCs w:val="21"/>
    </w:rPr>
  </w:style>
  <w:style w:type="paragraph" w:customStyle="1" w:styleId="CharCharCharChar">
    <w:name w:val="Char Char Char Char"/>
    <w:basedOn w:val="a"/>
    <w:rsid w:val="003E42E9"/>
    <w:pPr>
      <w:widowControl/>
      <w:spacing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d">
    <w:name w:val="List Paragraph"/>
    <w:basedOn w:val="a"/>
    <w:qFormat/>
    <w:rsid w:val="003E42E9"/>
    <w:pPr>
      <w:ind w:firstLineChars="200" w:firstLine="420"/>
    </w:pPr>
  </w:style>
  <w:style w:type="paragraph" w:customStyle="1" w:styleId="Char1">
    <w:name w:val="Char1"/>
    <w:basedOn w:val="a"/>
    <w:rsid w:val="003E42E9"/>
    <w:rPr>
      <w:szCs w:val="21"/>
    </w:rPr>
  </w:style>
  <w:style w:type="paragraph" w:customStyle="1" w:styleId="CharCharChar">
    <w:name w:val="Char Char Char"/>
    <w:basedOn w:val="a"/>
    <w:unhideWhenUsed/>
    <w:rsid w:val="003E42E9"/>
    <w:pPr>
      <w:spacing w:line="436" w:lineRule="exact"/>
      <w:ind w:left="357"/>
      <w:jc w:val="left"/>
      <w:outlineLvl w:val="3"/>
    </w:pPr>
    <w:rPr>
      <w:rFonts w:hint="eastAsia"/>
    </w:rPr>
  </w:style>
  <w:style w:type="paragraph" w:customStyle="1" w:styleId="p16">
    <w:name w:val="p16"/>
    <w:basedOn w:val="a"/>
    <w:unhideWhenUsed/>
    <w:rsid w:val="003E42E9"/>
    <w:pPr>
      <w:widowControl/>
      <w:jc w:val="left"/>
    </w:pPr>
    <w:rPr>
      <w:rFonts w:ascii="宋体" w:hAnsi="宋体" w:hint="eastAsia"/>
      <w:sz w:val="24"/>
    </w:rPr>
  </w:style>
  <w:style w:type="paragraph" w:customStyle="1" w:styleId="Style1">
    <w:name w:val="_Style 1"/>
    <w:basedOn w:val="a"/>
    <w:rsid w:val="003E42E9"/>
    <w:rPr>
      <w:szCs w:val="20"/>
    </w:rPr>
  </w:style>
  <w:style w:type="paragraph" w:customStyle="1" w:styleId="Char11">
    <w:name w:val="Char11"/>
    <w:basedOn w:val="a"/>
    <w:rsid w:val="003E42E9"/>
    <w:rPr>
      <w:szCs w:val="21"/>
    </w:rPr>
  </w:style>
  <w:style w:type="paragraph" w:customStyle="1" w:styleId="p0">
    <w:name w:val="p0"/>
    <w:basedOn w:val="a"/>
    <w:rsid w:val="003E42E9"/>
    <w:pPr>
      <w:widowControl/>
    </w:pPr>
    <w:rPr>
      <w:kern w:val="0"/>
      <w:szCs w:val="21"/>
    </w:rPr>
  </w:style>
  <w:style w:type="character" w:customStyle="1" w:styleId="Char">
    <w:name w:val="正文文本 Char"/>
    <w:basedOn w:val="a0"/>
    <w:link w:val="a3"/>
    <w:rsid w:val="003E42E9"/>
    <w:rPr>
      <w:kern w:val="2"/>
      <w:sz w:val="21"/>
      <w:szCs w:val="24"/>
    </w:rPr>
  </w:style>
  <w:style w:type="character" w:customStyle="1" w:styleId="Char0">
    <w:name w:val="正文首行缩进 Char"/>
    <w:basedOn w:val="Char"/>
    <w:link w:val="a9"/>
    <w:rsid w:val="003E42E9"/>
  </w:style>
  <w:style w:type="character" w:customStyle="1" w:styleId="1Char">
    <w:name w:val="标题 1 Char"/>
    <w:basedOn w:val="a0"/>
    <w:link w:val="1"/>
    <w:uiPriority w:val="9"/>
    <w:rsid w:val="003E42E9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F77B0-F9BC-4CEB-91D9-967E0A91C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1214</Words>
  <Characters>6921</Characters>
  <Application>Microsoft Office Word</Application>
  <DocSecurity>0</DocSecurity>
  <Lines>57</Lines>
  <Paragraphs>16</Paragraphs>
  <ScaleCrop>false</ScaleCrop>
  <Company>www.ftpdown.com</Company>
  <LinksUpToDate>false</LinksUpToDate>
  <CharactersWithSpaces>8119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卫滨区2006年上半年财政工作情况汇报</dc:title>
  <dc:creator>FtpDown</dc:creator>
  <cp:lastModifiedBy>AutoBVT</cp:lastModifiedBy>
  <cp:revision>395</cp:revision>
  <cp:lastPrinted>2022-08-12T06:25:00Z</cp:lastPrinted>
  <dcterms:created xsi:type="dcterms:W3CDTF">2018-07-30T07:31:00Z</dcterms:created>
  <dcterms:modified xsi:type="dcterms:W3CDTF">2022-08-17T01:31:00Z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FD40CF59814E4151A2E7B7E317543335</vt:lpwstr>
  </property>
</Properties>
</file>