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val="en-US" w:eastAsia="zh-CN"/>
        </w:rPr>
      </w:pPr>
      <w:r>
        <w:rPr>
          <w:rStyle w:val="10"/>
          <w:rFonts w:hint="eastAsia" w:ascii="仿宋" w:hAnsi="仿宋" w:eastAsia="仿宋" w:cs="仿宋"/>
          <w:b/>
          <w:bCs/>
          <w:sz w:val="30"/>
          <w:szCs w:val="30"/>
        </w:rPr>
        <w:t>关于拟</w:t>
      </w:r>
      <w:r>
        <w:rPr>
          <w:rStyle w:val="10"/>
          <w:rFonts w:hint="eastAsia" w:ascii="仿宋" w:hAnsi="仿宋" w:eastAsia="仿宋" w:cs="仿宋"/>
          <w:b/>
          <w:bCs/>
          <w:sz w:val="30"/>
          <w:szCs w:val="30"/>
          <w:lang w:eastAsia="zh-CN"/>
        </w:rPr>
        <w:t>对</w:t>
      </w:r>
      <w:r>
        <w:rPr>
          <w:rFonts w:hint="eastAsia" w:ascii="仿宋" w:hAnsi="仿宋" w:eastAsia="仿宋" w:cs="仿宋"/>
          <w:b/>
          <w:bCs/>
          <w:sz w:val="30"/>
          <w:szCs w:val="30"/>
          <w:lang w:val="en-US" w:eastAsia="zh-CN"/>
        </w:rPr>
        <w:t>新乡市维晶钢化玻璃有限公司年产35万平方米钢化玻璃项目</w:t>
      </w:r>
    </w:p>
    <w:p>
      <w:pPr>
        <w:jc w:val="center"/>
        <w:rPr>
          <w:rStyle w:val="10"/>
          <w:rFonts w:hint="eastAsia" w:ascii="仿宋" w:hAnsi="仿宋" w:eastAsia="仿宋" w:cs="仿宋"/>
          <w:b/>
          <w:bCs/>
          <w:sz w:val="30"/>
          <w:szCs w:val="30"/>
        </w:rPr>
      </w:pPr>
      <w:r>
        <w:rPr>
          <w:rStyle w:val="10"/>
          <w:rFonts w:hint="eastAsia" w:ascii="仿宋" w:hAnsi="仿宋" w:eastAsia="仿宋" w:cs="仿宋"/>
          <w:b/>
          <w:bCs/>
          <w:sz w:val="30"/>
          <w:szCs w:val="30"/>
        </w:rPr>
        <w:t>环境影响评价文件作出审批意见的公示</w:t>
      </w:r>
    </w:p>
    <w:p>
      <w:pPr>
        <w:widowControl/>
        <w:snapToGrid w:val="0"/>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根据建设项目环境影响评价审批程序的有关规定，经审议，我局拟对项目环境影响评价文件作出审批意见。为保证审批意见的严肃性和公正性，现将各建设项目环境影响评价文件的基本情况予以公示。如有异议，请在自本公告发布之日起3个工作日内反馈我局环评科。</w:t>
      </w:r>
    </w:p>
    <w:p>
      <w:pPr>
        <w:widowControl/>
        <w:spacing w:line="330" w:lineRule="atLeast"/>
        <w:jc w:val="left"/>
        <w:rPr>
          <w:rFonts w:hint="eastAsia" w:ascii="仿宋" w:hAnsi="仿宋" w:eastAsia="仿宋" w:cs="仿宋"/>
          <w:kern w:val="0"/>
          <w:sz w:val="28"/>
          <w:szCs w:val="28"/>
        </w:rPr>
      </w:pPr>
      <w:r>
        <w:rPr>
          <w:rFonts w:hint="eastAsia" w:ascii="仿宋" w:hAnsi="仿宋" w:eastAsia="仿宋" w:cs="仿宋"/>
          <w:kern w:val="0"/>
          <w:sz w:val="28"/>
          <w:szCs w:val="28"/>
        </w:rPr>
        <w:t>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电话和传真：</w:t>
      </w:r>
      <w:r>
        <w:rPr>
          <w:rFonts w:hint="eastAsia" w:ascii="仿宋" w:hAnsi="仿宋" w:eastAsia="仿宋" w:cs="仿宋"/>
          <w:sz w:val="28"/>
          <w:szCs w:val="28"/>
        </w:rPr>
        <w:t>0373-2644110</w:t>
      </w:r>
    </w:p>
    <w:p>
      <w:pPr>
        <w:widowControl/>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通讯地址：</w:t>
      </w:r>
      <w:r>
        <w:rPr>
          <w:rFonts w:hint="eastAsia" w:ascii="仿宋" w:hAnsi="仿宋" w:eastAsia="仿宋" w:cs="仿宋"/>
          <w:sz w:val="28"/>
          <w:szCs w:val="28"/>
        </w:rPr>
        <w:t>新乡市人民路 138 号</w:t>
      </w:r>
      <w:r>
        <w:rPr>
          <w:rFonts w:hint="eastAsia" w:ascii="仿宋" w:hAnsi="仿宋" w:eastAsia="仿宋" w:cs="仿宋"/>
          <w:sz w:val="28"/>
          <w:szCs w:val="28"/>
          <w:lang w:val="en-US" w:eastAsia="zh-CN"/>
        </w:rPr>
        <w:t>(</w:t>
      </w:r>
      <w:r>
        <w:rPr>
          <w:rFonts w:hint="eastAsia" w:ascii="仿宋" w:hAnsi="仿宋" w:eastAsia="仿宋" w:cs="仿宋"/>
          <w:kern w:val="0"/>
          <w:sz w:val="28"/>
          <w:szCs w:val="28"/>
        </w:rPr>
        <w:t>邮编453000）</w:t>
      </w:r>
    </w:p>
    <w:p>
      <w:pPr>
        <w:widowControl/>
        <w:snapToGrid w:val="0"/>
        <w:spacing w:before="75" w:after="75"/>
        <w:ind w:firstLine="560" w:firstLineChars="200"/>
        <w:jc w:val="left"/>
        <w:rPr>
          <w:rFonts w:hint="eastAsia" w:ascii="仿宋" w:hAnsi="仿宋" w:eastAsia="仿宋" w:cs="仿宋"/>
          <w:kern w:val="0"/>
          <w:sz w:val="28"/>
          <w:szCs w:val="28"/>
        </w:rPr>
      </w:pPr>
      <w:r>
        <w:rPr>
          <w:rFonts w:hint="eastAsia" w:ascii="仿宋" w:hAnsi="仿宋" w:eastAsia="仿宋" w:cs="仿宋"/>
          <w:color w:val="262626"/>
          <w:kern w:val="0"/>
          <w:sz w:val="28"/>
          <w:szCs w:val="28"/>
        </w:rPr>
        <w:t>听证告知：依据《中华人民共和国行政许可法》，自公示起五日内申请人、有重大利益关系的利害关系人可对以下拟作出的建设项目环境影响评价文件批复决定要求听证。</w:t>
      </w:r>
    </w:p>
    <w:p>
      <w:pPr>
        <w:widowControl/>
        <w:spacing w:before="100" w:beforeAutospacing="1" w:after="100" w:afterAutospacing="1" w:line="240" w:lineRule="atLeast"/>
        <w:jc w:val="center"/>
        <w:rPr>
          <w:rFonts w:hint="eastAsia" w:ascii="仿宋" w:hAnsi="仿宋" w:eastAsia="仿宋" w:cs="仿宋"/>
          <w:kern w:val="0"/>
          <w:sz w:val="24"/>
        </w:rPr>
      </w:pPr>
      <w:r>
        <w:rPr>
          <w:rFonts w:hint="eastAsia" w:ascii="仿宋" w:hAnsi="仿宋" w:eastAsia="仿宋" w:cs="仿宋"/>
          <w:kern w:val="0"/>
          <w:sz w:val="24"/>
        </w:rPr>
        <w:t>一、拟审批的建设项目环境影响报告书（表）</w:t>
      </w:r>
    </w:p>
    <w:tbl>
      <w:tblPr>
        <w:tblStyle w:val="7"/>
        <w:tblW w:w="135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889"/>
        <w:gridCol w:w="1134"/>
        <w:gridCol w:w="1307"/>
        <w:gridCol w:w="1190"/>
        <w:gridCol w:w="1117"/>
        <w:gridCol w:w="1772"/>
        <w:gridCol w:w="5132"/>
        <w:gridCol w:w="9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1" w:hRule="atLeast"/>
          <w:jc w:val="center"/>
        </w:trPr>
        <w:tc>
          <w:tcPr>
            <w:tcW w:w="889"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序号</w:t>
            </w:r>
          </w:p>
        </w:tc>
        <w:tc>
          <w:tcPr>
            <w:tcW w:w="1134"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建设单位</w:t>
            </w:r>
          </w:p>
        </w:tc>
        <w:tc>
          <w:tcPr>
            <w:tcW w:w="1307"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项目名称</w:t>
            </w:r>
          </w:p>
        </w:tc>
        <w:tc>
          <w:tcPr>
            <w:tcW w:w="1190"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建设地点</w:t>
            </w:r>
          </w:p>
        </w:tc>
        <w:tc>
          <w:tcPr>
            <w:tcW w:w="1117"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环境影响评价机构</w:t>
            </w:r>
          </w:p>
        </w:tc>
        <w:tc>
          <w:tcPr>
            <w:tcW w:w="1772"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建设项目概况</w:t>
            </w:r>
          </w:p>
        </w:tc>
        <w:tc>
          <w:tcPr>
            <w:tcW w:w="5132" w:type="dxa"/>
            <w:noWrap w:val="0"/>
            <w:vAlign w:val="center"/>
          </w:tcPr>
          <w:p>
            <w:pPr>
              <w:pStyle w:val="6"/>
              <w:jc w:val="center"/>
              <w:rPr>
                <w:rFonts w:hint="eastAsia" w:ascii="仿宋" w:hAnsi="仿宋" w:eastAsia="仿宋" w:cs="仿宋"/>
              </w:rPr>
            </w:pPr>
            <w:r>
              <w:rPr>
                <w:rStyle w:val="10"/>
                <w:rFonts w:hint="eastAsia" w:ascii="仿宋" w:hAnsi="仿宋" w:eastAsia="仿宋" w:cs="仿宋"/>
              </w:rPr>
              <w:t>主要环境影响及预防或减轻不良环境影响的对策和措施</w:t>
            </w:r>
          </w:p>
        </w:tc>
        <w:tc>
          <w:tcPr>
            <w:tcW w:w="983"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公众参与情况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80" w:hRule="atLeast"/>
          <w:jc w:val="center"/>
        </w:trPr>
        <w:tc>
          <w:tcPr>
            <w:tcW w:w="889"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color w:val="2A2A2A"/>
                <w:szCs w:val="21"/>
              </w:rPr>
            </w:pPr>
            <w:r>
              <w:rPr>
                <w:rFonts w:hint="eastAsia" w:ascii="仿宋" w:hAnsi="仿宋" w:eastAsia="仿宋" w:cs="仿宋"/>
                <w:color w:val="2A2A2A"/>
                <w:szCs w:val="21"/>
              </w:rPr>
              <w:t>1</w:t>
            </w:r>
          </w:p>
        </w:tc>
        <w:tc>
          <w:tcPr>
            <w:tcW w:w="1134"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_GB2312" w:hAnsi="仿宋_GB2312" w:eastAsia="仿宋_GB2312" w:cs="仿宋_GB2312"/>
                <w:b w:val="0"/>
                <w:bCs w:val="0"/>
                <w:sz w:val="24"/>
                <w:szCs w:val="24"/>
                <w:lang w:val="en-US" w:eastAsia="zh-CN"/>
              </w:rPr>
              <w:t>新乡市维晶钢化玻璃有限公司</w:t>
            </w:r>
          </w:p>
        </w:tc>
        <w:tc>
          <w:tcPr>
            <w:tcW w:w="1307"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_GB2312" w:hAnsi="仿宋_GB2312" w:eastAsia="仿宋_GB2312" w:cs="仿宋_GB2312"/>
                <w:b w:val="0"/>
                <w:bCs w:val="0"/>
                <w:sz w:val="24"/>
                <w:szCs w:val="24"/>
                <w:lang w:val="en-US" w:eastAsia="zh-CN"/>
              </w:rPr>
              <w:t>年产35万平方米钢化玻璃项目</w:t>
            </w:r>
          </w:p>
        </w:tc>
        <w:tc>
          <w:tcPr>
            <w:tcW w:w="1190"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_GB2312" w:hAnsi="仿宋_GB2312" w:eastAsia="仿宋_GB2312" w:cs="仿宋_GB2312"/>
                <w:b w:val="0"/>
                <w:bCs w:val="0"/>
                <w:sz w:val="24"/>
                <w:szCs w:val="24"/>
                <w:lang w:val="en-US" w:eastAsia="zh-CN"/>
              </w:rPr>
              <w:t>新乡市卫滨区黄河大道十五里堡北100米</w:t>
            </w:r>
          </w:p>
        </w:tc>
        <w:tc>
          <w:tcPr>
            <w:tcW w:w="1117"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_GB2312" w:hAnsi="仿宋_GB2312" w:eastAsia="仿宋_GB2312" w:cs="仿宋_GB2312"/>
                <w:b w:val="0"/>
                <w:bCs w:val="0"/>
                <w:sz w:val="24"/>
                <w:szCs w:val="24"/>
                <w:lang w:val="en-US" w:eastAsia="zh-CN"/>
              </w:rPr>
              <w:t>河南中信环保科技有限公司</w:t>
            </w:r>
          </w:p>
        </w:tc>
        <w:tc>
          <w:tcPr>
            <w:tcW w:w="1772" w:type="dxa"/>
            <w:tcBorders>
              <w:top w:val="single" w:color="auto" w:sz="4" w:space="0"/>
              <w:bottom w:val="single" w:color="auto" w:sz="4" w:space="0"/>
            </w:tcBorders>
            <w:noWrap w:val="0"/>
            <w:vAlign w:val="top"/>
          </w:tcPr>
          <w:p>
            <w:pPr>
              <w:jc w:val="both"/>
              <w:rPr>
                <w:rFonts w:hint="eastAsia" w:ascii="仿宋" w:hAnsi="仿宋" w:eastAsia="仿宋" w:cs="仿宋"/>
                <w:color w:val="2A2A2A"/>
                <w:kern w:val="0"/>
                <w:sz w:val="24"/>
                <w:szCs w:val="24"/>
                <w:lang w:val="en-US" w:eastAsia="zh-CN"/>
              </w:rPr>
            </w:pPr>
            <w:r>
              <w:rPr>
                <w:rFonts w:hint="eastAsia" w:ascii="仿宋" w:hAnsi="仿宋" w:eastAsia="仿宋" w:cs="仿宋"/>
                <w:color w:val="2A2A2A"/>
                <w:kern w:val="0"/>
                <w:sz w:val="24"/>
                <w:szCs w:val="24"/>
                <w:lang w:val="en-US" w:eastAsia="zh-CN"/>
              </w:rPr>
              <w:t>项目总投资800万元，在新乡市</w:t>
            </w:r>
            <w:r>
              <w:rPr>
                <w:rFonts w:hint="eastAsia" w:ascii="仿宋_GB2312" w:hAnsi="仿宋_GB2312" w:eastAsia="仿宋_GB2312" w:cs="仿宋_GB2312"/>
                <w:b w:val="0"/>
                <w:bCs w:val="0"/>
                <w:sz w:val="24"/>
                <w:szCs w:val="24"/>
                <w:lang w:val="en-US" w:eastAsia="zh-CN"/>
              </w:rPr>
              <w:t>卫滨区黄河大道十五里堡北100米</w:t>
            </w:r>
            <w:r>
              <w:rPr>
                <w:rFonts w:hint="eastAsia" w:ascii="仿宋" w:hAnsi="仿宋" w:eastAsia="仿宋" w:cs="仿宋"/>
                <w:color w:val="2A2A2A"/>
                <w:kern w:val="0"/>
                <w:sz w:val="24"/>
                <w:szCs w:val="24"/>
                <w:lang w:val="en-US" w:eastAsia="zh-CN"/>
              </w:rPr>
              <w:t>建设项目</w:t>
            </w:r>
          </w:p>
          <w:p>
            <w:pPr>
              <w:widowControl/>
              <w:spacing w:line="330" w:lineRule="atLeast"/>
              <w:jc w:val="left"/>
              <w:rPr>
                <w:rFonts w:hint="eastAsia" w:ascii="仿宋" w:hAnsi="仿宋" w:eastAsia="仿宋" w:cs="仿宋"/>
                <w:b w:val="0"/>
                <w:bCs w:val="0"/>
                <w:color w:val="2A2A2A"/>
                <w:sz w:val="24"/>
                <w:szCs w:val="24"/>
                <w:lang w:val="en-US" w:eastAsia="zh-CN"/>
              </w:rPr>
            </w:pPr>
          </w:p>
        </w:tc>
        <w:tc>
          <w:tcPr>
            <w:tcW w:w="5132"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53" w:lineRule="auto"/>
              <w:jc w:val="both"/>
              <w:textAlignment w:val="auto"/>
              <w:outlineLvl w:val="9"/>
              <w:rPr>
                <w:rFonts w:hint="eastAsia" w:ascii="仿宋" w:hAnsi="仿宋" w:eastAsia="仿宋" w:cs="仿宋"/>
                <w:b w:val="0"/>
                <w:bCs w:val="0"/>
                <w:color w:val="2A2A2A"/>
                <w:sz w:val="24"/>
                <w:szCs w:val="24"/>
                <w:lang w:val="zh-CN" w:eastAsia="zh-CN"/>
              </w:rPr>
            </w:pPr>
            <w:r>
              <w:rPr>
                <w:rFonts w:hint="eastAsia" w:ascii="仿宋" w:hAnsi="仿宋" w:eastAsia="仿宋" w:cs="仿宋"/>
                <w:b w:val="0"/>
                <w:bCs w:val="0"/>
                <w:color w:val="2A2A2A"/>
                <w:sz w:val="24"/>
                <w:szCs w:val="24"/>
                <w:lang w:val="en-US" w:eastAsia="zh-CN"/>
              </w:rPr>
              <w:t>1、废水：本</w:t>
            </w:r>
            <w:r>
              <w:rPr>
                <w:rFonts w:hint="eastAsia" w:ascii="仿宋" w:hAnsi="仿宋" w:eastAsia="仿宋" w:cs="仿宋"/>
                <w:b w:val="0"/>
                <w:bCs w:val="0"/>
                <w:color w:val="2A2A2A"/>
                <w:sz w:val="24"/>
                <w:szCs w:val="24"/>
                <w:lang w:val="zh-CN" w:eastAsia="zh-CN"/>
              </w:rPr>
              <w:t>项目</w:t>
            </w:r>
            <w:r>
              <w:rPr>
                <w:rFonts w:hint="eastAsia" w:ascii="仿宋" w:hAnsi="仿宋" w:eastAsia="仿宋" w:cs="仿宋"/>
                <w:b w:val="0"/>
                <w:bCs w:val="0"/>
                <w:color w:val="2A2A2A"/>
                <w:sz w:val="24"/>
                <w:szCs w:val="24"/>
                <w:lang w:val="en-US" w:eastAsia="zh-CN"/>
              </w:rPr>
              <w:t>磨边、钻孔、清洗工序产生的废水经三级沉淀池沉淀后循环使用不外排；</w:t>
            </w:r>
            <w:r>
              <w:rPr>
                <w:rFonts w:hint="eastAsia" w:ascii="仿宋" w:hAnsi="仿宋" w:eastAsia="仿宋" w:cs="仿宋"/>
                <w:b w:val="0"/>
                <w:bCs w:val="0"/>
                <w:color w:val="2A2A2A"/>
                <w:sz w:val="24"/>
                <w:szCs w:val="24"/>
                <w:lang w:val="zh-CN" w:eastAsia="zh-CN"/>
              </w:rPr>
              <w:t>生活污水经化粪池处理后</w:t>
            </w:r>
            <w:r>
              <w:rPr>
                <w:rFonts w:hint="eastAsia" w:ascii="仿宋" w:hAnsi="仿宋" w:eastAsia="仿宋" w:cs="仿宋"/>
                <w:b w:val="0"/>
                <w:bCs w:val="0"/>
                <w:color w:val="2A2A2A"/>
                <w:sz w:val="24"/>
                <w:szCs w:val="24"/>
                <w:lang w:val="en-US" w:eastAsia="zh-CN"/>
              </w:rPr>
              <w:t>进贾屯污水处理厂处理</w:t>
            </w:r>
            <w:r>
              <w:rPr>
                <w:rFonts w:hint="eastAsia" w:ascii="仿宋" w:hAnsi="仿宋" w:eastAsia="仿宋" w:cs="仿宋"/>
                <w:b w:val="0"/>
                <w:bCs w:val="0"/>
                <w:color w:val="2A2A2A"/>
                <w:sz w:val="24"/>
                <w:szCs w:val="24"/>
                <w:lang w:val="zh-CN" w:eastAsia="zh-CN"/>
              </w:rPr>
              <w:t>。</w:t>
            </w:r>
          </w:p>
          <w:p>
            <w:pPr>
              <w:widowControl/>
              <w:numPr>
                <w:numId w:val="0"/>
              </w:numPr>
              <w:spacing w:line="330" w:lineRule="atLeast"/>
              <w:jc w:val="left"/>
              <w:rPr>
                <w:rFonts w:hint="eastAsia" w:ascii="仿宋" w:hAnsi="仿宋" w:eastAsia="仿宋" w:cs="仿宋"/>
                <w:b w:val="0"/>
                <w:bCs w:val="0"/>
                <w:color w:val="2A2A2A"/>
                <w:sz w:val="24"/>
                <w:szCs w:val="24"/>
                <w:lang w:val="en-US" w:eastAsia="zh-CN"/>
              </w:rPr>
            </w:pP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53" w:lineRule="auto"/>
              <w:jc w:val="both"/>
              <w:textAlignment w:val="auto"/>
              <w:outlineLvl w:val="9"/>
              <w:rPr>
                <w:rFonts w:hint="eastAsia" w:ascii="仿宋" w:hAnsi="仿宋" w:eastAsia="仿宋" w:cs="仿宋"/>
                <w:b w:val="0"/>
                <w:bCs w:val="0"/>
                <w:color w:val="2A2A2A"/>
                <w:sz w:val="24"/>
                <w:szCs w:val="24"/>
                <w:lang w:val="en-US" w:eastAsia="zh-CN"/>
              </w:rPr>
            </w:pPr>
            <w:r>
              <w:rPr>
                <w:rFonts w:hint="eastAsia" w:ascii="仿宋" w:hAnsi="仿宋" w:eastAsia="仿宋" w:cs="仿宋"/>
                <w:color w:val="2A2A2A"/>
                <w:kern w:val="0"/>
                <w:sz w:val="24"/>
                <w:szCs w:val="24"/>
                <w:lang w:val="en-US" w:eastAsia="zh-CN"/>
              </w:rPr>
              <w:t>2、废气</w:t>
            </w:r>
            <w:r>
              <w:rPr>
                <w:rFonts w:hint="eastAsia" w:ascii="仿宋" w:hAnsi="仿宋" w:eastAsia="仿宋" w:cs="仿宋"/>
                <w:b w:val="0"/>
                <w:bCs w:val="0"/>
                <w:color w:val="2A2A2A"/>
                <w:sz w:val="24"/>
                <w:szCs w:val="24"/>
                <w:lang w:val="en-US" w:eastAsia="zh-CN"/>
              </w:rPr>
              <w:t>：本项目不涉及生产废气。</w:t>
            </w:r>
          </w:p>
          <w:p>
            <w:pPr>
              <w:keepNext w:val="0"/>
              <w:keepLines w:val="0"/>
              <w:pageBreakBefore w:val="0"/>
              <w:widowControl w:val="0"/>
              <w:kinsoku/>
              <w:wordWrap/>
              <w:overflowPunct/>
              <w:topLinePunct w:val="0"/>
              <w:autoSpaceDE/>
              <w:autoSpaceDN/>
              <w:bidi w:val="0"/>
              <w:adjustRightInd/>
              <w:snapToGrid/>
              <w:spacing w:line="353" w:lineRule="auto"/>
              <w:jc w:val="both"/>
              <w:textAlignment w:val="auto"/>
              <w:outlineLvl w:val="9"/>
              <w:rPr>
                <w:rFonts w:hint="eastAsia" w:ascii="仿宋" w:hAnsi="仿宋" w:eastAsia="仿宋" w:cs="仿宋"/>
                <w:b w:val="0"/>
                <w:bCs w:val="0"/>
                <w:color w:val="2A2A2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53" w:lineRule="auto"/>
              <w:jc w:val="both"/>
              <w:textAlignment w:val="auto"/>
              <w:outlineLvl w:val="9"/>
              <w:rPr>
                <w:rFonts w:hint="default"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3、固废：</w:t>
            </w:r>
            <w:r>
              <w:rPr>
                <w:rFonts w:hint="default" w:ascii="仿宋" w:hAnsi="仿宋" w:eastAsia="仿宋" w:cs="仿宋"/>
                <w:b w:val="0"/>
                <w:bCs w:val="0"/>
                <w:color w:val="2A2A2A"/>
                <w:sz w:val="24"/>
                <w:szCs w:val="24"/>
                <w:lang w:val="zh-CN" w:eastAsia="zh-CN"/>
              </w:rPr>
              <w:t>本项目</w:t>
            </w:r>
            <w:r>
              <w:rPr>
                <w:rFonts w:hint="eastAsia" w:ascii="仿宋" w:hAnsi="仿宋" w:eastAsia="仿宋" w:cs="仿宋"/>
                <w:b w:val="0"/>
                <w:bCs w:val="0"/>
                <w:color w:val="2A2A2A"/>
                <w:sz w:val="24"/>
                <w:szCs w:val="24"/>
                <w:lang w:val="zh-CN" w:eastAsia="zh-CN"/>
              </w:rPr>
              <w:t>固废</w:t>
            </w:r>
            <w:r>
              <w:rPr>
                <w:rFonts w:hint="eastAsia" w:ascii="仿宋" w:hAnsi="仿宋" w:eastAsia="仿宋" w:cs="仿宋"/>
                <w:b w:val="0"/>
                <w:bCs w:val="0"/>
                <w:color w:val="2A2A2A"/>
                <w:sz w:val="24"/>
                <w:szCs w:val="24"/>
                <w:lang w:val="en-US" w:eastAsia="zh-CN"/>
              </w:rPr>
              <w:t>本主要包括生活垃圾、玻璃边角料及不合格产品、沉淀池清理出的玻璃粉渣、废包装材料，分类集中收集后暂存在一般固废间，定期外售。</w:t>
            </w:r>
            <w:r>
              <w:rPr>
                <w:rFonts w:hint="eastAsia" w:ascii="仿宋" w:hAnsi="仿宋" w:eastAsia="仿宋" w:cs="仿宋"/>
                <w:b w:val="0"/>
                <w:bCs w:val="0"/>
                <w:color w:val="2A2A2A"/>
                <w:sz w:val="24"/>
                <w:szCs w:val="24"/>
                <w:lang w:val="zh-CN" w:eastAsia="zh-CN"/>
              </w:rPr>
              <w:t>执行</w:t>
            </w:r>
            <w:r>
              <w:rPr>
                <w:rFonts w:hint="default" w:ascii="仿宋" w:hAnsi="仿宋" w:eastAsia="仿宋" w:cs="仿宋"/>
                <w:b w:val="0"/>
                <w:bCs w:val="0"/>
                <w:color w:val="2A2A2A"/>
                <w:sz w:val="24"/>
                <w:szCs w:val="24"/>
                <w:lang w:val="en-US" w:eastAsia="zh-CN"/>
              </w:rPr>
              <w:t>《一般工业固体废物贮存和填埋污染控制标准》（GB 18599-2020）</w:t>
            </w:r>
            <w:r>
              <w:rPr>
                <w:rFonts w:hint="eastAsia" w:ascii="仿宋" w:hAnsi="仿宋" w:eastAsia="仿宋" w:cs="仿宋"/>
                <w:b w:val="0"/>
                <w:bCs w:val="0"/>
                <w:color w:val="2A2A2A"/>
                <w:sz w:val="24"/>
                <w:szCs w:val="24"/>
                <w:lang w:val="en-US" w:eastAsia="zh-CN"/>
              </w:rPr>
              <w:t>要求</w:t>
            </w:r>
            <w:r>
              <w:rPr>
                <w:rFonts w:hint="default" w:ascii="仿宋" w:hAnsi="仿宋" w:eastAsia="仿宋" w:cs="仿宋"/>
                <w:b w:val="0"/>
                <w:bCs w:val="0"/>
                <w:color w:val="2A2A2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53" w:lineRule="auto"/>
              <w:jc w:val="both"/>
              <w:textAlignment w:val="auto"/>
              <w:outlineLvl w:val="9"/>
              <w:rPr>
                <w:rFonts w:hint="eastAsia" w:ascii="仿宋" w:hAnsi="仿宋" w:eastAsia="仿宋" w:cs="仿宋"/>
                <w:b w:val="0"/>
                <w:bCs w:val="0"/>
                <w:color w:val="2A2A2A"/>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53" w:lineRule="auto"/>
              <w:jc w:val="both"/>
              <w:textAlignment w:val="auto"/>
              <w:outlineLvl w:val="9"/>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4、噪声：主要为设备运行时产生的噪声，</w:t>
            </w:r>
            <w:r>
              <w:rPr>
                <w:rFonts w:hint="eastAsia" w:ascii="仿宋" w:hAnsi="仿宋" w:eastAsia="仿宋" w:cs="仿宋"/>
                <w:b w:val="0"/>
                <w:bCs w:val="0"/>
                <w:color w:val="2A2A2A"/>
                <w:sz w:val="24"/>
                <w:szCs w:val="24"/>
                <w:lang w:val="en-US" w:eastAsia="zh-CN"/>
              </w:rPr>
              <w:t>噪声排放执行</w:t>
            </w:r>
            <w:r>
              <w:rPr>
                <w:rFonts w:hint="default" w:ascii="仿宋" w:hAnsi="仿宋" w:eastAsia="仿宋" w:cs="仿宋"/>
                <w:b w:val="0"/>
                <w:bCs w:val="0"/>
                <w:color w:val="2A2A2A"/>
                <w:sz w:val="24"/>
                <w:szCs w:val="24"/>
                <w:lang w:val="en-US" w:eastAsia="zh-CN"/>
              </w:rPr>
              <w:t>《工业企业厂界环境噪声排放标准》（GB12348-2008）中的</w:t>
            </w:r>
            <w:r>
              <w:rPr>
                <w:rFonts w:hint="eastAsia" w:ascii="仿宋" w:hAnsi="仿宋" w:eastAsia="仿宋" w:cs="仿宋"/>
                <w:b w:val="0"/>
                <w:bCs w:val="0"/>
                <w:color w:val="2A2A2A"/>
                <w:sz w:val="24"/>
                <w:szCs w:val="24"/>
                <w:lang w:val="en-US" w:eastAsia="zh-CN"/>
              </w:rPr>
              <w:t>2</w:t>
            </w:r>
            <w:r>
              <w:rPr>
                <w:rFonts w:hint="default" w:ascii="仿宋" w:hAnsi="仿宋" w:eastAsia="仿宋" w:cs="仿宋"/>
                <w:b w:val="0"/>
                <w:bCs w:val="0"/>
                <w:color w:val="2A2A2A"/>
                <w:sz w:val="24"/>
                <w:szCs w:val="24"/>
                <w:lang w:val="en-US" w:eastAsia="zh-CN"/>
              </w:rPr>
              <w:t>类标准</w:t>
            </w:r>
            <w:r>
              <w:rPr>
                <w:rFonts w:hint="eastAsia" w:ascii="仿宋" w:hAnsi="仿宋" w:eastAsia="仿宋" w:cs="仿宋"/>
                <w:b w:val="0"/>
                <w:bCs w:val="0"/>
                <w:color w:val="2A2A2A"/>
                <w:sz w:val="24"/>
                <w:szCs w:val="24"/>
                <w:lang w:val="en-US" w:eastAsia="zh-CN"/>
              </w:rPr>
              <w:t>。</w:t>
            </w:r>
          </w:p>
          <w:p>
            <w:pPr>
              <w:widowControl/>
              <w:spacing w:line="330" w:lineRule="atLeast"/>
              <w:jc w:val="left"/>
              <w:rPr>
                <w:rFonts w:hint="eastAsia" w:ascii="仿宋" w:hAnsi="仿宋" w:eastAsia="仿宋" w:cs="仿宋"/>
                <w:b w:val="0"/>
                <w:bCs w:val="0"/>
                <w:color w:val="2A2A2A"/>
                <w:sz w:val="24"/>
                <w:szCs w:val="24"/>
                <w:lang w:eastAsia="zh-CN"/>
              </w:rPr>
            </w:pPr>
          </w:p>
        </w:tc>
        <w:tc>
          <w:tcPr>
            <w:tcW w:w="983" w:type="dxa"/>
            <w:tcBorders>
              <w:top w:val="single" w:color="auto" w:sz="4" w:space="0"/>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r>
    </w:tbl>
    <w:p>
      <w:pPr>
        <w:adjustRightInd w:val="0"/>
        <w:snapToGrid w:val="0"/>
        <w:jc w:val="both"/>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NTZjMTE0NzZhMjY1YTA5M2Q2Njk2YWQzNWQ4YmUifQ=="/>
  </w:docVars>
  <w:rsids>
    <w:rsidRoot w:val="1EBC59C5"/>
    <w:rsid w:val="0F637FEE"/>
    <w:rsid w:val="112573BD"/>
    <w:rsid w:val="14FB60A9"/>
    <w:rsid w:val="1EBC59C5"/>
    <w:rsid w:val="1F8B4890"/>
    <w:rsid w:val="2406774D"/>
    <w:rsid w:val="25DB25D7"/>
    <w:rsid w:val="32D00F8B"/>
    <w:rsid w:val="34AA710F"/>
    <w:rsid w:val="424635AC"/>
    <w:rsid w:val="49D81442"/>
    <w:rsid w:val="4D3B0DF4"/>
    <w:rsid w:val="5D145972"/>
    <w:rsid w:val="6D8845F0"/>
    <w:rsid w:val="6F350693"/>
    <w:rsid w:val="7A2753F5"/>
    <w:rsid w:val="7E82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overflowPunct w:val="0"/>
      <w:snapToGrid w:val="0"/>
      <w:spacing w:line="360" w:lineRule="auto"/>
      <w:ind w:left="0" w:hanging="432"/>
      <w:outlineLvl w:val="0"/>
    </w:pPr>
    <w:rPr>
      <w:rFonts w:eastAsia="黑体"/>
      <w:b/>
      <w:bCs/>
      <w:color w:val="000000"/>
      <w:kern w:val="44"/>
      <w:sz w:val="28"/>
      <w:szCs w:val="30"/>
    </w:rPr>
  </w:style>
  <w:style w:type="paragraph" w:styleId="4">
    <w:name w:val="heading 4"/>
    <w:basedOn w:val="1"/>
    <w:next w:val="1"/>
    <w:qFormat/>
    <w:uiPriority w:val="0"/>
    <w:pPr>
      <w:keepNext/>
      <w:keepLines/>
      <w:spacing w:line="520" w:lineRule="exact"/>
      <w:outlineLvl w:val="3"/>
    </w:pPr>
    <w:rPr>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snapToGrid w:val="0"/>
      <w:spacing w:line="408" w:lineRule="auto"/>
      <w:ind w:left="-113" w:right="-510" w:firstLine="510"/>
    </w:pPr>
    <w:rPr>
      <w:sz w:val="24"/>
      <w:szCs w:val="20"/>
    </w:rPr>
  </w:style>
  <w:style w:type="paragraph" w:styleId="5">
    <w:name w:val="Normal Indent"/>
    <w:basedOn w:val="1"/>
    <w:next w:val="1"/>
    <w:qFormat/>
    <w:uiPriority w:val="0"/>
    <w:pPr>
      <w:widowControl/>
      <w:ind w:firstLine="420"/>
      <w:jc w:val="left"/>
    </w:pPr>
    <w:rPr>
      <w:kern w:val="0"/>
      <w:sz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paragraph" w:customStyle="1" w:styleId="11">
    <w:name w:val="Default"/>
    <w:qFormat/>
    <w:uiPriority w:val="0"/>
    <w:pPr>
      <w:widowControl w:val="0"/>
      <w:autoSpaceDE w:val="0"/>
      <w:autoSpaceDN w:val="0"/>
      <w:adjustRightInd w:val="0"/>
      <w:spacing w:line="460" w:lineRule="exact"/>
      <w:jc w:val="center"/>
    </w:pPr>
    <w:rPr>
      <w:rFonts w:ascii="黑体" w:hAnsi="Times New Roman" w:eastAsia="黑体" w:cs="黑体"/>
      <w:color w:val="000000"/>
      <w:sz w:val="24"/>
      <w:szCs w:val="24"/>
      <w:lang w:val="en-US" w:eastAsia="zh-CN" w:bidi="ar-SA"/>
    </w:rPr>
  </w:style>
  <w:style w:type="paragraph" w:customStyle="1" w:styleId="12">
    <w:name w:val="正文 首行缩进:  2 字符"/>
    <w:basedOn w:val="1"/>
    <w:semiHidden/>
    <w:qFormat/>
    <w:uiPriority w:val="0"/>
    <w:pPr>
      <w:spacing w:line="520" w:lineRule="exact"/>
      <w:ind w:firstLine="480" w:firstLineChars="200"/>
    </w:pPr>
    <w:rPr>
      <w:rFonts w:ascii="Times New Roman" w:hAnsi="Times New Roman"/>
      <w:kern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906</Words>
  <Characters>988</Characters>
  <Lines>0</Lines>
  <Paragraphs>0</Paragraphs>
  <TotalTime>1</TotalTime>
  <ScaleCrop>false</ScaleCrop>
  <LinksUpToDate>false</LinksUpToDate>
  <CharactersWithSpaces>1001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2021-06-30T02:30:00Z</dcterms:created>
  <dc:creator>橙子</dc:creator>
  <cp:lastModifiedBy>=。=</cp:lastModifiedBy>
  <dcterms:modified xsi:type="dcterms:W3CDTF">2023-04-21T02:39:08Z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1DAAE6BCBBEA4385BB8830CC5B1211BF</vt:lpwstr>
  </property>
</Properties>
</file>