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卫滨区卫健委2023年行政处罚公示名单</w:t>
      </w:r>
    </w:p>
    <w:tbl>
      <w:tblPr>
        <w:tblStyle w:val="3"/>
        <w:tblW w:w="14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08"/>
        <w:gridCol w:w="4165"/>
        <w:gridCol w:w="3635"/>
        <w:gridCol w:w="1644"/>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jc w:val="center"/>
              <w:rPr>
                <w:rFonts w:hint="eastAsia" w:ascii="宋体" w:hAnsi="宋体" w:eastAsia="宋体" w:cs="宋体"/>
                <w:b/>
                <w:bCs/>
                <w:sz w:val="28"/>
                <w:szCs w:val="36"/>
                <w:vertAlign w:val="baseline"/>
                <w:lang w:val="en-US" w:eastAsia="zh-CN"/>
              </w:rPr>
            </w:pPr>
            <w:r>
              <w:rPr>
                <w:rFonts w:hint="eastAsia" w:ascii="宋体" w:hAnsi="宋体" w:eastAsia="宋体" w:cs="宋体"/>
                <w:b/>
                <w:bCs/>
                <w:sz w:val="28"/>
                <w:szCs w:val="36"/>
                <w:vertAlign w:val="baseline"/>
                <w:lang w:val="en-US" w:eastAsia="zh-CN"/>
              </w:rPr>
              <w:t>序号</w:t>
            </w:r>
          </w:p>
        </w:tc>
        <w:tc>
          <w:tcPr>
            <w:tcW w:w="2808" w:type="dxa"/>
          </w:tcPr>
          <w:p>
            <w:pPr>
              <w:jc w:val="center"/>
              <w:rPr>
                <w:rFonts w:hint="eastAsia" w:ascii="宋体" w:hAnsi="宋体" w:eastAsia="宋体" w:cs="宋体"/>
                <w:b/>
                <w:bCs/>
                <w:sz w:val="28"/>
                <w:szCs w:val="36"/>
                <w:vertAlign w:val="baseline"/>
                <w:lang w:val="en-US" w:eastAsia="zh-CN"/>
              </w:rPr>
            </w:pPr>
            <w:r>
              <w:rPr>
                <w:rFonts w:hint="eastAsia" w:ascii="宋体" w:hAnsi="宋体" w:eastAsia="宋体" w:cs="宋体"/>
                <w:b/>
                <w:bCs/>
                <w:sz w:val="28"/>
                <w:szCs w:val="36"/>
                <w:vertAlign w:val="baseline"/>
                <w:lang w:val="en-US" w:eastAsia="zh-CN"/>
              </w:rPr>
              <w:t>行政处罚决定书文号</w:t>
            </w:r>
          </w:p>
        </w:tc>
        <w:tc>
          <w:tcPr>
            <w:tcW w:w="4165" w:type="dxa"/>
          </w:tcPr>
          <w:p>
            <w:pPr>
              <w:jc w:val="center"/>
              <w:rPr>
                <w:rFonts w:hint="eastAsia" w:ascii="宋体" w:hAnsi="宋体" w:eastAsia="宋体" w:cs="宋体"/>
                <w:b/>
                <w:bCs/>
                <w:sz w:val="28"/>
                <w:szCs w:val="36"/>
                <w:vertAlign w:val="baseline"/>
                <w:lang w:val="en-US" w:eastAsia="zh-CN"/>
              </w:rPr>
            </w:pPr>
            <w:r>
              <w:rPr>
                <w:rFonts w:hint="eastAsia" w:ascii="宋体" w:hAnsi="宋体" w:eastAsia="宋体" w:cs="宋体"/>
                <w:b/>
                <w:bCs/>
                <w:sz w:val="28"/>
                <w:szCs w:val="36"/>
                <w:vertAlign w:val="baseline"/>
                <w:lang w:val="en-US" w:eastAsia="zh-CN"/>
              </w:rPr>
              <w:t>案由</w:t>
            </w:r>
          </w:p>
        </w:tc>
        <w:tc>
          <w:tcPr>
            <w:tcW w:w="3635" w:type="dxa"/>
          </w:tcPr>
          <w:p>
            <w:pPr>
              <w:jc w:val="center"/>
              <w:rPr>
                <w:rFonts w:hint="eastAsia" w:ascii="宋体" w:hAnsi="宋体" w:eastAsia="宋体" w:cs="宋体"/>
                <w:b/>
                <w:bCs/>
                <w:sz w:val="28"/>
                <w:szCs w:val="36"/>
                <w:vertAlign w:val="baseline"/>
                <w:lang w:val="en-US" w:eastAsia="zh-CN"/>
              </w:rPr>
            </w:pPr>
            <w:r>
              <w:rPr>
                <w:rFonts w:hint="eastAsia" w:ascii="宋体" w:hAnsi="宋体" w:eastAsia="宋体" w:cs="宋体"/>
                <w:b/>
                <w:bCs/>
                <w:sz w:val="28"/>
                <w:szCs w:val="36"/>
                <w:vertAlign w:val="baseline"/>
                <w:lang w:val="en-US" w:eastAsia="zh-CN"/>
              </w:rPr>
              <w:t>处罚依据</w:t>
            </w:r>
          </w:p>
        </w:tc>
        <w:tc>
          <w:tcPr>
            <w:tcW w:w="1644" w:type="dxa"/>
            <w:vAlign w:val="top"/>
          </w:tcPr>
          <w:p>
            <w:pPr>
              <w:jc w:val="center"/>
              <w:rPr>
                <w:rFonts w:hint="eastAsia" w:ascii="宋体" w:hAnsi="宋体" w:eastAsia="宋体" w:cs="宋体"/>
                <w:b/>
                <w:bCs/>
                <w:kern w:val="2"/>
                <w:sz w:val="28"/>
                <w:szCs w:val="36"/>
                <w:vertAlign w:val="baseline"/>
                <w:lang w:val="en-US" w:eastAsia="zh-CN" w:bidi="ar-SA"/>
              </w:rPr>
            </w:pPr>
            <w:r>
              <w:rPr>
                <w:rFonts w:hint="eastAsia" w:ascii="宋体" w:hAnsi="宋体" w:eastAsia="宋体" w:cs="宋体"/>
                <w:b/>
                <w:bCs/>
                <w:sz w:val="28"/>
                <w:szCs w:val="36"/>
                <w:vertAlign w:val="baseline"/>
                <w:lang w:val="en-US" w:eastAsia="zh-CN"/>
              </w:rPr>
              <w:t>罚款金额</w:t>
            </w:r>
          </w:p>
        </w:tc>
        <w:tc>
          <w:tcPr>
            <w:tcW w:w="1393" w:type="dxa"/>
            <w:vAlign w:val="top"/>
          </w:tcPr>
          <w:p>
            <w:pPr>
              <w:jc w:val="center"/>
              <w:rPr>
                <w:rFonts w:hint="eastAsia" w:ascii="宋体" w:hAnsi="宋体" w:eastAsia="宋体" w:cs="宋体"/>
                <w:b/>
                <w:bCs/>
                <w:kern w:val="2"/>
                <w:sz w:val="28"/>
                <w:szCs w:val="36"/>
                <w:vertAlign w:val="baseline"/>
                <w:lang w:val="en-US" w:eastAsia="zh-CN" w:bidi="ar-SA"/>
              </w:rPr>
            </w:pPr>
            <w:r>
              <w:rPr>
                <w:rFonts w:hint="eastAsia" w:ascii="宋体" w:hAnsi="宋体" w:eastAsia="宋体" w:cs="宋体"/>
                <w:b/>
                <w:bCs/>
                <w:sz w:val="28"/>
                <w:szCs w:val="36"/>
                <w:vertAlign w:val="baseline"/>
                <w:lang w:val="en-US" w:eastAsia="zh-CN"/>
              </w:rPr>
              <w:t>处罚日期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2808" w:type="dxa"/>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卫卫公罚﹝2023﹞1号</w:t>
            </w:r>
          </w:p>
        </w:tc>
        <w:tc>
          <w:tcPr>
            <w:tcW w:w="4165" w:type="dxa"/>
            <w:vAlign w:val="center"/>
          </w:tcPr>
          <w:p>
            <w:pPr>
              <w:keepNext w:val="0"/>
              <w:keepLines w:val="0"/>
              <w:widowControl/>
              <w:suppressLineNumbers w:val="0"/>
              <w:jc w:val="left"/>
              <w:textAlignment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新乡市卫滨区经典北方美发店未取得公共场所卫生许可证擅自营业案</w:t>
            </w:r>
          </w:p>
        </w:tc>
        <w:tc>
          <w:tcPr>
            <w:tcW w:w="3635" w:type="dxa"/>
            <w:vAlign w:val="center"/>
          </w:tcPr>
          <w:p>
            <w:pPr>
              <w:keepNext w:val="0"/>
              <w:keepLines w:val="0"/>
              <w:widowControl/>
              <w:suppressLineNumbers w:val="0"/>
              <w:jc w:val="left"/>
              <w:textAlignment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《公共场所卫生管理条例》第十四条第一款第四项；《公共场所卫生管理条例实施细则》第三十五条第一款</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警告，罚款2000元</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2023.3.15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2</w:t>
            </w:r>
          </w:p>
        </w:tc>
        <w:tc>
          <w:tcPr>
            <w:tcW w:w="2808" w:type="dxa"/>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卫卫公罚﹝2023﹞3号</w:t>
            </w:r>
          </w:p>
        </w:tc>
        <w:tc>
          <w:tcPr>
            <w:tcW w:w="4165" w:type="dxa"/>
            <w:vAlign w:val="center"/>
          </w:tcPr>
          <w:p>
            <w:pPr>
              <w:keepNext w:val="0"/>
              <w:keepLines w:val="0"/>
              <w:widowControl/>
              <w:suppressLineNumbers w:val="0"/>
              <w:jc w:val="left"/>
              <w:textAlignment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新乡市卫滨区奈可美容美甲店未取得公共场所卫生许可证擅自营业案</w:t>
            </w:r>
          </w:p>
        </w:tc>
        <w:tc>
          <w:tcPr>
            <w:tcW w:w="3635" w:type="dxa"/>
            <w:vAlign w:val="center"/>
          </w:tcPr>
          <w:p>
            <w:pPr>
              <w:keepNext w:val="0"/>
              <w:keepLines w:val="0"/>
              <w:widowControl/>
              <w:suppressLineNumbers w:val="0"/>
              <w:jc w:val="left"/>
              <w:textAlignment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《公共场所卫生管理条例》第十四条第一款第四项；《公共场所卫生管理条例实施细则》第三十五条第一款</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警告，罚款1000元</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2023.3.15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280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卫卫公罚﹝2023﹞5号</w:t>
            </w:r>
          </w:p>
        </w:tc>
        <w:tc>
          <w:tcPr>
            <w:tcW w:w="4165"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新乡市卫滨区曲方唯美美容美体店未取得公共场所卫生许可证擅自营业案</w:t>
            </w:r>
          </w:p>
        </w:tc>
        <w:tc>
          <w:tcPr>
            <w:tcW w:w="3635"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《公共场所卫生管理条例》第十四条第一款第四项；《公共场所卫生管理条例实施细则》第三十五条第一款</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警告，罚款2000元</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2023.5.19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280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卫卫医罚﹝2023﹞1 号</w:t>
            </w:r>
          </w:p>
        </w:tc>
        <w:tc>
          <w:tcPr>
            <w:tcW w:w="416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新乡市卫滨区倪新丽西医诊所超出核准登记的诊疗科目开展诊疗活动案</w:t>
            </w:r>
          </w:p>
        </w:tc>
        <w:tc>
          <w:tcPr>
            <w:tcW w:w="3635"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《医疗机构管理条例》第四十六条</w:t>
            </w:r>
          </w:p>
        </w:tc>
        <w:tc>
          <w:tcPr>
            <w:tcW w:w="1644"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1.警告，2.没收违法所得人民币 8000 元，3.罚款30000元</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2023.5.31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280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卫卫公罚﹝2023﹞7 号</w:t>
            </w:r>
          </w:p>
        </w:tc>
        <w:tc>
          <w:tcPr>
            <w:tcW w:w="4165"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新乡市卫滨区壹号快捷酒店安排未获得有效健康合格证明从业人员从事直接为顾客服务工作案</w:t>
            </w:r>
          </w:p>
        </w:tc>
        <w:tc>
          <w:tcPr>
            <w:tcW w:w="363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《公共场所卫生管理条例》第十四条第一款第二项和《公共场所卫生管理条例实施细则》第三十八条</w:t>
            </w:r>
          </w:p>
        </w:tc>
        <w:tc>
          <w:tcPr>
            <w:tcW w:w="1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警告，罚款 1000元</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2023.6.14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w:t>
            </w:r>
          </w:p>
        </w:tc>
        <w:tc>
          <w:tcPr>
            <w:tcW w:w="280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卫卫公罚﹝2023﹞4号</w:t>
            </w:r>
          </w:p>
        </w:tc>
        <w:tc>
          <w:tcPr>
            <w:tcW w:w="416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新乡市卫滨区剪杰美发店未取得公共场所卫生许可证擅自营业案</w:t>
            </w:r>
          </w:p>
        </w:tc>
        <w:tc>
          <w:tcPr>
            <w:tcW w:w="363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《公共场所卫生管理条例》第十四条第一款第四项；《公共场所卫生管理条例实施细则》第三十五条第一款</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警告，罚款2000元</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2023.6.26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w:t>
            </w:r>
          </w:p>
        </w:tc>
        <w:tc>
          <w:tcPr>
            <w:tcW w:w="280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卫卫公罚﹝2023﹞6号</w:t>
            </w:r>
          </w:p>
        </w:tc>
        <w:tc>
          <w:tcPr>
            <w:tcW w:w="416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新乡市卫滨区柒月美甲店安排未获得有效健康合格证明从业人员从事直接为顾客服务工作案</w:t>
            </w:r>
          </w:p>
        </w:tc>
        <w:tc>
          <w:tcPr>
            <w:tcW w:w="363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《公共场所卫生管理条例》第十四条第一款第二项和《公共场所卫生管理条例实施细则》第三十八条</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警告，罚款1000元</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2023.6.26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w:t>
            </w:r>
          </w:p>
        </w:tc>
        <w:tc>
          <w:tcPr>
            <w:tcW w:w="280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卫卫公罚﹝2023﹞8号</w:t>
            </w:r>
          </w:p>
        </w:tc>
        <w:tc>
          <w:tcPr>
            <w:tcW w:w="416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新乡市卫滨区松针御发馆安排未获得有效健康合格证明从业人员从事直接为顾客服务工作案</w:t>
            </w:r>
          </w:p>
        </w:tc>
        <w:tc>
          <w:tcPr>
            <w:tcW w:w="363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《公共场所卫生管理条例》第十四条第一款第二项和《公共场所卫生管理条例实施细则》第三十八条</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警告，罚款1000元</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2023.6.26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w:t>
            </w:r>
          </w:p>
        </w:tc>
        <w:tc>
          <w:tcPr>
            <w:tcW w:w="280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卫卫公罚﹝2023﹞9号</w:t>
            </w:r>
          </w:p>
        </w:tc>
        <w:tc>
          <w:tcPr>
            <w:tcW w:w="416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新乡市卫滨区非剪美发店未取得公共场所卫生许可证擅自营业案</w:t>
            </w:r>
          </w:p>
        </w:tc>
        <w:tc>
          <w:tcPr>
            <w:tcW w:w="363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《公共场所卫生管理条例》第十四条第一款第四项；《公共场所卫生管理条例实施细则》第三十五条第一款</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警告，罚款1000元</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2023.6.26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w:t>
            </w:r>
          </w:p>
        </w:tc>
        <w:tc>
          <w:tcPr>
            <w:tcW w:w="280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卫卫公罚﹝2023﹞2号</w:t>
            </w:r>
          </w:p>
        </w:tc>
        <w:tc>
          <w:tcPr>
            <w:tcW w:w="416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新乡市卫滨区鑫盛主题酒店</w:t>
            </w:r>
            <w:bookmarkStart w:id="0" w:name="_GoBack"/>
            <w:bookmarkEnd w:id="0"/>
            <w:r>
              <w:rPr>
                <w:rFonts w:hint="eastAsia" w:ascii="仿宋" w:hAnsi="仿宋" w:eastAsia="仿宋" w:cs="仿宋"/>
                <w:i w:val="0"/>
                <w:iCs w:val="0"/>
                <w:color w:val="auto"/>
                <w:kern w:val="0"/>
                <w:sz w:val="24"/>
                <w:szCs w:val="24"/>
                <w:u w:val="none"/>
                <w:lang w:val="en-US" w:eastAsia="zh-CN" w:bidi="ar"/>
              </w:rPr>
              <w:t>未按照规定对公共场所的空气、微小气候等进行卫生监测案</w:t>
            </w:r>
          </w:p>
        </w:tc>
        <w:tc>
          <w:tcPr>
            <w:tcW w:w="363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《公共场所卫生管理条例实施细则》第三十六条第一项</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警告，罚款1900元</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2023.6.28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w:t>
            </w:r>
          </w:p>
        </w:tc>
        <w:tc>
          <w:tcPr>
            <w:tcW w:w="280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卫卫传罚﹝2023﹞3号</w:t>
            </w:r>
          </w:p>
        </w:tc>
        <w:tc>
          <w:tcPr>
            <w:tcW w:w="4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新乡市卫滨区杜金钢诊所未执行国家有关规范、标准和规定案</w:t>
            </w:r>
          </w:p>
        </w:tc>
        <w:tc>
          <w:tcPr>
            <w:tcW w:w="363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《消毒管理办法》第四十一条</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罚款1200元</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2023.6.29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w:t>
            </w:r>
          </w:p>
        </w:tc>
        <w:tc>
          <w:tcPr>
            <w:tcW w:w="280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卫卫传罚﹝2023﹞4号</w:t>
            </w:r>
          </w:p>
        </w:tc>
        <w:tc>
          <w:tcPr>
            <w:tcW w:w="4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新乡市卫滨区李新孝诊所塑封包装的口腔器械包装外未按国家有关规定注明相关消毒日期及失效日期等内容案</w:t>
            </w:r>
          </w:p>
        </w:tc>
        <w:tc>
          <w:tcPr>
            <w:tcW w:w="363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《消毒管理办法》第四十一条</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罚款1900元</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2023.6.29</w:t>
            </w:r>
          </w:p>
        </w:tc>
      </w:tr>
    </w:tbl>
    <w:p/>
    <w:sectPr>
      <w:pgSz w:w="16838" w:h="11906" w:orient="landscape"/>
      <w:pgMar w:top="1179" w:right="1327" w:bottom="1179" w:left="13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ODkwNGEyNzRlYmVkMzk2MmI5ZWQ2MWU1MzlhNDkifQ=="/>
  </w:docVars>
  <w:rsids>
    <w:rsidRoot w:val="07042945"/>
    <w:rsid w:val="02614EA2"/>
    <w:rsid w:val="07042945"/>
    <w:rsid w:val="09DA385F"/>
    <w:rsid w:val="1FF26BAE"/>
    <w:rsid w:val="2C97623E"/>
    <w:rsid w:val="45682CB5"/>
    <w:rsid w:val="4D9C37E9"/>
    <w:rsid w:val="4DCE3A17"/>
    <w:rsid w:val="68000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1201</Words>
  <Characters>1400</Characters>
  <Lines>0</Lines>
  <Paragraphs>0</Paragraphs>
  <TotalTime>8</TotalTime>
  <ScaleCrop>false</ScaleCrop>
  <LinksUpToDate>false</LinksUpToDate>
  <CharactersWithSpaces>1406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2023-05-30T08:05:00Z</dcterms:created>
  <dc:creator> 彩色的梦</dc:creator>
  <cp:lastModifiedBy> 彩色的梦</cp:lastModifiedBy>
  <dcterms:modified xsi:type="dcterms:W3CDTF">2023-07-04T01:53:34Z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54AA6C9151BF433BBBFA164EE2E37CCC_13</vt:lpwstr>
  </property>
</Properties>
</file>