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kern w:val="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kern w:val="0"/>
          <w:sz w:val="44"/>
          <w:szCs w:val="44"/>
        </w:rPr>
        <w:t>年度卫滨区社保基金情况说明</w:t>
      </w:r>
    </w:p>
    <w:p>
      <w:pPr>
        <w:jc w:val="center"/>
        <w:rPr>
          <w:rFonts w:asciiTheme="minorEastAsia" w:hAnsiTheme="minorEastAsia" w:eastAsiaTheme="minorEastAsia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27" w:firstLineChars="196"/>
        <w:outlineLvl w:val="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hAnsi="文星仿宋" w:eastAsia="仿宋_GB2312"/>
          <w:sz w:val="32"/>
          <w:szCs w:val="32"/>
        </w:rPr>
        <w:t>区社会保险基金预算收入2065万元，支出完成1484万元，当年收支结余581万元，年末</w:t>
      </w:r>
      <w:bookmarkStart w:id="0" w:name="_GoBack"/>
      <w:bookmarkEnd w:id="0"/>
      <w:r>
        <w:rPr>
          <w:rFonts w:hint="eastAsia" w:ascii="仿宋_GB2312" w:hAnsi="文星仿宋" w:eastAsia="仿宋_GB2312"/>
          <w:sz w:val="32"/>
          <w:szCs w:val="32"/>
        </w:rPr>
        <w:t>滚存结余4276万元。</w:t>
      </w:r>
      <w:r>
        <w:rPr>
          <w:rFonts w:eastAsia="仿宋_GB2312"/>
          <w:kern w:val="0"/>
          <w:sz w:val="32"/>
          <w:szCs w:val="32"/>
        </w:rPr>
        <w:t>全部为城乡居民基本养老</w:t>
      </w:r>
      <w:r>
        <w:rPr>
          <w:rFonts w:hint="eastAsia" w:eastAsia="仿宋_GB2312"/>
          <w:kern w:val="0"/>
          <w:sz w:val="32"/>
          <w:szCs w:val="32"/>
        </w:rPr>
        <w:t>保险</w:t>
      </w:r>
      <w:r>
        <w:rPr>
          <w:rFonts w:eastAsia="仿宋_GB2312"/>
          <w:kern w:val="0"/>
          <w:sz w:val="32"/>
          <w:szCs w:val="32"/>
        </w:rPr>
        <w:t>资金。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CB5"/>
    <w:rsid w:val="002939BE"/>
    <w:rsid w:val="004705A8"/>
    <w:rsid w:val="005344CA"/>
    <w:rsid w:val="00747881"/>
    <w:rsid w:val="007C1273"/>
    <w:rsid w:val="00967CB5"/>
    <w:rsid w:val="1CF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2022-05-11T07:37:00Z</dcterms:created>
  <dc:creator>微软用户</dc:creator>
  <cp:lastModifiedBy>Administrator</cp:lastModifiedBy>
  <dcterms:modified xsi:type="dcterms:W3CDTF">2023-09-04T08:25:02Z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