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年重大政策和重点项目绩效执行结果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   况</w:t>
      </w:r>
    </w:p>
    <w:p>
      <w:pPr>
        <w:spacing w:line="54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1.多维度抓收入，增强税收保障能力。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由于落实组合式减税降费政策导致全年收入锐减6187万元，我们主动作为，积极应对，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按照“以周保月、以月保季、以季保年”的工作思路，组织税务部门和非税征管职能部门加大收入征管力度，多渠道全方位挖潜增收。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建立三项制度、两个台账（周报告制度、半月例会制度、月通报制度，建筑项目台账、争取资金台账)，不断完善工作机制，加强沟通协调，杜绝税源流失。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树立“小税种、大税源”理念，深入排查耕地占用税、水资源税、环保税，全年共计增收2686万元。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通过抓优化营商环境稳固税源，抓项目建设培植税源，抓非税收入应收尽收。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兜牢“三保”底线，持续增进民生福祉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努力争取上级资金，统筹调度各类资金，全力保障“三保”支出。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保障干部职工切身利益。在财力异常紧张的情况下，筹措资金22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00万元兑现机关事业单位新增工资和物业补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加大城市治理力度。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投入环境保护、清扫保洁、小街巷治理资金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1857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万元，着力改善城区面貌。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集中财力保障各项民生投入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全区教育、医疗卫生、社会保障、住房保障等民生资金投入29517万元，占全区一般公共预算支出总额的68.9%。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聚力推动乡村振兴。做好巩固拓展脱贫攻坚成果与乡村振兴有效衔接工作，切实提高衔接资金使用效益。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投入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衔接资金72万元，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支付率达100%。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年底联合第三方开展绩效评价，评价结果为优秀。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高效推进惠民惠农“一卡通”管理工作。通过“一卡通”系统发放补贴资金3987万元，发放项目48个，惠及群众151351人次，发放成功率99.5%（居全省前列），社保卡占比99.9%，直接兑付到人到户，提升了群众的获得感和满意度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优化支出结构，保障重点事项开展。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Cs/>
          <w:color w:val="000000"/>
          <w:spacing w:val="10"/>
          <w:sz w:val="32"/>
          <w:szCs w:val="32"/>
        </w:rPr>
        <w:t>不遗余力保障新冠疫情防控。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开设疫情防控专项资金支付“绿色通道”，安排专人对接，坚持“急事急办、特事特办”，全年拨付疫情防控资金1089万元，有力保障疫情防控工作顺利开展。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以人为本</w:t>
      </w:r>
      <w:r>
        <w:rPr>
          <w:rFonts w:hint="default" w:ascii="Times New Roman" w:hAnsi="Times New Roman" w:eastAsia="仿宋_GB2312" w:cs="Times New Roman"/>
          <w:bCs/>
          <w:color w:val="000000"/>
          <w:spacing w:val="10"/>
          <w:sz w:val="32"/>
          <w:szCs w:val="32"/>
        </w:rPr>
        <w:t>助力老旧小区改造。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全年拨付城镇老旧小区改造资金3004万元，切实让人民群众居住环境得到了改善。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bCs/>
          <w:color w:val="000000"/>
          <w:spacing w:val="10"/>
          <w:sz w:val="32"/>
          <w:szCs w:val="32"/>
        </w:rPr>
        <w:t>凝心聚力保障灾后恢复重建。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全年拨付救灾资金2775万元，支持高标准农田、因灾倒损民房、交通、教育等77个灾后重建项目应开尽开、大头落地，全力帮助受灾群众渡过难关。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2"/>
          <w:szCs w:val="32"/>
        </w:rPr>
        <w:t>四是</w:t>
      </w:r>
      <w:r>
        <w:rPr>
          <w:rFonts w:hint="default" w:ascii="Times New Roman" w:hAnsi="Times New Roman" w:eastAsia="仿宋_GB2312" w:cs="Times New Roman"/>
          <w:bCs/>
          <w:color w:val="000000"/>
          <w:spacing w:val="10"/>
          <w:sz w:val="32"/>
          <w:szCs w:val="32"/>
        </w:rPr>
        <w:t>多措并举激发消费市场活力。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依托“春暖新乡”、“豫美新乡·乐享实惠”等促消费活动，投入区级财政资金1122万元，推动财政资金与社会资本形成合力，释放政府补贴、企业优惠、打折减免等政策叠加效应，激发辖区汽车、家电、家具等商品的市场消费潜力，拉动消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4.9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亿元。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齐抓共管落实惠企助企政策。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结合“万人助万企”活动，积极兑现惠企奖补资金449万元，主要是规上企业满负荷生产185万元、灾后重建51万元、“三大改造”奖励34万元，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帮助企业纾困解难，推动惠企政策“精准滴灌”“直达快享”。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六是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突出重点服务保障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城市更新。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投入城市建设项目资金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7119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万元，重点支持打通断头路、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S309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zh-CN"/>
        </w:rPr>
        <w:t>长济线卫滨境段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等工程，城市面貌焕然一新。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4.深化改革创新，提升财政治理水平。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一是预算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管理一体化加速推进。积极推动资产、债务、绩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效、政府采购预算融入管理主题流程，实现财政预算管理水平现代化。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全面实施预算绩效管理改革。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坚持“先谋事后排钱”的理念，建立健全全方位、全过程、全覆盖的预算绩效一体化管理体系，实现“事前有评估、事中有监控、事后有评价”的绩效管理目标。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牢固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树立过“紧日子”思想。认真落实中央八项规定精神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和国家相关规定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大力压减非急需、非刚性支出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，进一步压缩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三公”经费、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培训费和会议费，“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三公”经费支出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132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万元，同比下降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四是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持续推进预决算公开。进一步细化预决算公开内容，提高财政资金分配和使用透明度，除涉密部门外全区各预算单位全部实现预决算信息公开。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五是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加大投资评审和政府采购审核力度。进一步简化政府采购程序，提高采购效率。全年共审批采购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235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14336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万元，节约资金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2004万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元，节约率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%；完善评审工作流程，节约使用财政资金，全年共评审政府投资项目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6479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万元，审减资金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376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万元，审减率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5.8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六是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落实好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中央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直达资金政策。建立工作机制，成立工作专班，完善工作流程，确保上级补助资金直达基层惠企利民。全年共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收到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中央直达资金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15525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万元，支付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13781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万元，支出进度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88.8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zh-CN"/>
        </w:rPr>
        <w:t>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七是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2"/>
          <w:szCs w:val="32"/>
        </w:rPr>
        <w:t>持续优化营商环境。</w:t>
      </w:r>
      <w:r>
        <w:rPr>
          <w:rFonts w:hint="default" w:ascii="Times New Roman" w:hAnsi="Times New Roman" w:eastAsia="仿宋_GB2312" w:cs="Times New Roman"/>
          <w:b w:val="0"/>
          <w:color w:val="000000"/>
          <w:spacing w:val="10"/>
          <w:sz w:val="32"/>
          <w:szCs w:val="32"/>
        </w:rPr>
        <w:t>深化“一网通办”，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持续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推进财政电子票据和电子化支付改革。让数据“多跑路”，群众“少跑腿”，切实将“放管服效”改革落到实处。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5.加强财政监管，防范资金安全风险。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加强财政系统内部控制建设。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推进政府债务、衔接资金、直达资金、“一卡通”等监控平台系统运行，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进一步发挥财政监督职能。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开展财政监督检查。重点开展预决算公开、会计信息质量检查等工作，查处问题资金6.17万元，规范了财务行为和财经秩序。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加强地方政府债务管理。严控违法违规举债担保，完善政府性债务动态监控机制和违法违规融资举债联合防控机制。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EE9"/>
    <w:rsid w:val="00032EE9"/>
    <w:rsid w:val="00150725"/>
    <w:rsid w:val="001E1DB2"/>
    <w:rsid w:val="006B1C7C"/>
    <w:rsid w:val="007202E1"/>
    <w:rsid w:val="00970635"/>
    <w:rsid w:val="00B809DB"/>
    <w:rsid w:val="00D76C38"/>
    <w:rsid w:val="00E837A2"/>
    <w:rsid w:val="00FE5F3C"/>
    <w:rsid w:val="18E87BF4"/>
    <w:rsid w:val="20D34961"/>
    <w:rsid w:val="286A5A9E"/>
    <w:rsid w:val="78371C01"/>
    <w:rsid w:val="7A63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252</Words>
  <Characters>1438</Characters>
  <Lines>11</Lines>
  <Paragraphs>3</Paragraphs>
  <ScaleCrop>false</ScaleCrop>
  <LinksUpToDate>false</LinksUpToDate>
  <CharactersWithSpaces>1687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2021-09-03T07:33:00Z</dcterms:created>
  <dc:creator>微软用户</dc:creator>
  <cp:lastModifiedBy>Administrator</cp:lastModifiedBy>
  <dcterms:modified xsi:type="dcterms:W3CDTF">2023-11-07T00:10:51Z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