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364"/>
        </w:tabs>
        <w:kinsoku w:val="0"/>
        <w:overflowPunct w:val="0"/>
        <w:adjustRightInd w:val="0"/>
        <w:snapToGrid w:val="0"/>
        <w:spacing w:line="360" w:lineRule="auto"/>
        <w:ind w:left="101" w:right="42" w:firstLine="1040" w:firstLineChars="200"/>
        <w:jc w:val="center"/>
        <w:rPr>
          <w:rFonts w:hint="eastAsia" w:ascii="黑体" w:hAnsi="黑体" w:eastAsia="黑体"/>
          <w:sz w:val="52"/>
          <w:szCs w:val="52"/>
          <w:highlight w:val="none"/>
        </w:rPr>
      </w:pPr>
    </w:p>
    <w:p>
      <w:pPr>
        <w:tabs>
          <w:tab w:val="left" w:pos="8364"/>
        </w:tabs>
        <w:kinsoku w:val="0"/>
        <w:overflowPunct w:val="0"/>
        <w:adjustRightInd w:val="0"/>
        <w:snapToGrid w:val="0"/>
        <w:spacing w:line="360" w:lineRule="auto"/>
        <w:ind w:left="101" w:right="42" w:firstLine="1040" w:firstLineChars="200"/>
        <w:jc w:val="center"/>
        <w:rPr>
          <w:rFonts w:ascii="黑体" w:hAnsi="黑体" w:eastAsia="黑体"/>
          <w:sz w:val="52"/>
          <w:szCs w:val="52"/>
          <w:highlight w:val="none"/>
        </w:rPr>
      </w:pPr>
    </w:p>
    <w:p>
      <w:pPr>
        <w:tabs>
          <w:tab w:val="left" w:pos="8364"/>
        </w:tabs>
        <w:kinsoku w:val="0"/>
        <w:overflowPunct w:val="0"/>
        <w:adjustRightInd w:val="0"/>
        <w:snapToGrid w:val="0"/>
        <w:spacing w:line="560" w:lineRule="exact"/>
        <w:ind w:left="101" w:right="42" w:firstLine="1040" w:firstLineChars="200"/>
        <w:jc w:val="center"/>
        <w:rPr>
          <w:rFonts w:ascii="黑体" w:hAnsi="黑体" w:eastAsia="黑体"/>
          <w:sz w:val="52"/>
          <w:szCs w:val="52"/>
          <w:highlight w:val="none"/>
        </w:rPr>
      </w:pPr>
    </w:p>
    <w:p>
      <w:pPr>
        <w:jc w:val="center"/>
        <w:rPr>
          <w:rFonts w:ascii="宋体" w:hAnsi="宋体"/>
          <w:sz w:val="84"/>
          <w:szCs w:val="84"/>
          <w:highlight w:val="red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新乡市卫滨区国库支付中心本级2024年度单位预算</w:t>
      </w: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58" w:firstLineChars="7"/>
        <w:jc w:val="center"/>
        <w:rPr>
          <w:rFonts w:hint="eastAsia" w:ascii="黑体" w:hAnsi="Times New Roman" w:eastAsia="黑体" w:cs="黑体"/>
          <w:sz w:val="84"/>
          <w:szCs w:val="84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hint="eastAsia" w:ascii="黑体" w:hAnsi="Times New Roman" w:eastAsia="仿宋_GB2312" w:cs="黑体"/>
          <w:sz w:val="56"/>
          <w:szCs w:val="56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hint="eastAsia" w:ascii="黑体" w:hAnsi="Times New Roman" w:eastAsia="仿宋_GB2312" w:cs="黑体"/>
          <w:sz w:val="56"/>
          <w:szCs w:val="56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hint="eastAsia" w:ascii="黑体" w:hAnsi="Times New Roman" w:eastAsia="仿宋_GB2312" w:cs="黑体"/>
          <w:sz w:val="56"/>
          <w:szCs w:val="56"/>
          <w:lang w:val="en-US" w:eastAsia="zh-CN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hint="eastAsia"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9" w:firstLineChars="7"/>
        <w:jc w:val="center"/>
        <w:rPr>
          <w:rFonts w:hint="eastAsia"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9" w:firstLineChars="7"/>
        <w:jc w:val="center"/>
        <w:rPr>
          <w:rFonts w:hint="eastAsia"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9" w:firstLineChars="7"/>
        <w:jc w:val="center"/>
        <w:rPr>
          <w:rFonts w:hint="eastAsia" w:ascii="黑体" w:hAnsi="Times New Roman" w:eastAsia="黑体" w:cs="黑体"/>
          <w:sz w:val="56"/>
          <w:szCs w:val="56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red"/>
          <w:lang w:val="en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" w:eastAsia="zh-CN"/>
        </w:rPr>
        <w:t>二〇二四年三月</w:t>
      </w: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9" w:firstLineChars="7"/>
        <w:jc w:val="center"/>
        <w:rPr>
          <w:rFonts w:hint="eastAsia"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9" w:firstLineChars="7"/>
        <w:jc w:val="center"/>
        <w:rPr>
          <w:rFonts w:hint="eastAsia" w:ascii="黑体" w:hAnsi="Times New Roman" w:eastAsia="黑体" w:cs="黑体"/>
          <w:sz w:val="56"/>
          <w:szCs w:val="5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2"/>
          <w:highlight w:val="red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9" w:firstLineChars="7"/>
        <w:jc w:val="center"/>
        <w:rPr>
          <w:rFonts w:hint="eastAsia" w:ascii="黑体" w:hAnsi="Times New Roman" w:eastAsia="黑体" w:cs="黑体"/>
          <w:sz w:val="56"/>
          <w:szCs w:val="56"/>
        </w:rPr>
      </w:pPr>
      <w:r>
        <w:rPr>
          <w:rFonts w:hint="eastAsia" w:ascii="黑体" w:hAnsi="Times New Roman" w:eastAsia="黑体" w:cs="黑体"/>
          <w:sz w:val="56"/>
          <w:szCs w:val="56"/>
        </w:rPr>
        <w:t>目 录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3360" w:firstLineChars="600"/>
        <w:rPr>
          <w:rFonts w:ascii="黑体" w:hAnsi="Times New Roman" w:eastAsia="黑体" w:cs="黑体"/>
          <w:sz w:val="56"/>
          <w:szCs w:val="5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</w:rPr>
      </w:pPr>
      <w:r>
        <w:rPr>
          <w:rFonts w:hint="eastAsia" w:ascii="黑体" w:hAnsi="黑体" w:eastAsia="黑体" w:cs="黑体"/>
          <w:sz w:val="32"/>
          <w:szCs w:val="32"/>
        </w:rPr>
        <w:t>第一部分 新乡市卫滨区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国库支付中心</w:t>
      </w:r>
      <w:r>
        <w:rPr>
          <w:rFonts w:hint="eastAsia" w:ascii="黑体" w:hAnsi="黑体" w:eastAsia="黑体" w:cs="黑体"/>
          <w:sz w:val="32"/>
          <w:szCs w:val="32"/>
        </w:rPr>
        <w:t>单位概况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3566" w:firstLine="640" w:firstLineChars="200"/>
        <w:jc w:val="left"/>
        <w:textAlignment w:val="auto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一、主要职能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3566" w:firstLine="640" w:firstLineChars="200"/>
        <w:jc w:val="left"/>
        <w:textAlignment w:val="auto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二、</w:t>
      </w:r>
      <w:r>
        <w:rPr>
          <w:rFonts w:ascii="仿宋_GB2312" w:hAnsi="Times New Roman" w:eastAsia="仿宋_GB2312" w:cs="仿宋_GB2312"/>
          <w:sz w:val="32"/>
          <w:szCs w:val="32"/>
        </w:rPr>
        <w:t>部门</w:t>
      </w:r>
      <w:r>
        <w:rPr>
          <w:rFonts w:hint="eastAsia" w:ascii="仿宋_GB2312" w:hAnsi="Times New Roman" w:eastAsia="仿宋_GB2312" w:cs="仿宋_GB2312"/>
          <w:sz w:val="32"/>
          <w:szCs w:val="32"/>
        </w:rPr>
        <w:t>所属</w:t>
      </w:r>
      <w:r>
        <w:rPr>
          <w:rFonts w:ascii="仿宋_GB2312" w:hAnsi="Times New Roman" w:eastAsia="仿宋_GB2312" w:cs="仿宋_GB2312"/>
          <w:sz w:val="32"/>
          <w:szCs w:val="32"/>
        </w:rPr>
        <w:t>预算单位</w:t>
      </w:r>
      <w:r>
        <w:rPr>
          <w:rFonts w:hint="eastAsia" w:ascii="仿宋_GB2312" w:hAnsi="Times New Roman" w:eastAsia="仿宋_GB2312" w:cs="仿宋_GB2312"/>
          <w:sz w:val="32"/>
          <w:szCs w:val="32"/>
        </w:rPr>
        <w:t>构成情况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21" w:firstLine="640" w:firstLineChars="200"/>
        <w:textAlignment w:val="auto"/>
        <w:rPr>
          <w:rFonts w:hint="eastAsia" w:ascii="黑体" w:hAnsi="Times New Roman" w:eastAsia="黑体" w:cs="黑体"/>
          <w:w w:val="99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第二部分 新乡市</w:t>
      </w:r>
      <w:r>
        <w:rPr>
          <w:rFonts w:hint="eastAsia" w:ascii="黑体" w:hAnsi="黑体" w:eastAsia="黑体" w:cs="黑体"/>
          <w:sz w:val="32"/>
          <w:szCs w:val="32"/>
        </w:rPr>
        <w:t>卫滨区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国库支付中心</w:t>
      </w:r>
      <w:r>
        <w:rPr>
          <w:rFonts w:hint="eastAsia" w:ascii="黑体" w:hAnsi="黑体" w:eastAsia="黑体" w:cs="黑体"/>
          <w:sz w:val="32"/>
          <w:szCs w:val="32"/>
        </w:rPr>
        <w:t>单位</w:t>
      </w:r>
      <w:r>
        <w:rPr>
          <w:rFonts w:hint="default" w:ascii="Times New Roman" w:hAnsi="Times New Roman" w:eastAsia="黑体" w:cs="Times New Roman"/>
          <w:spacing w:val="-119"/>
          <w:sz w:val="32"/>
          <w:szCs w:val="32"/>
        </w:rPr>
        <w:t xml:space="preserve"> </w:t>
      </w:r>
      <w:r>
        <w:rPr>
          <w:rFonts w:hint="default" w:ascii="黑体" w:hAnsi="Times New Roman" w:eastAsia="黑体" w:cs="黑体"/>
          <w:sz w:val="32"/>
          <w:szCs w:val="32"/>
        </w:rPr>
        <w:t>202</w:t>
      </w:r>
      <w:r>
        <w:rPr>
          <w:rFonts w:hint="eastAsia" w:ascii="黑体" w:hAnsi="Times New Roman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Times New Roman" w:eastAsia="黑体" w:cs="黑体"/>
          <w:sz w:val="32"/>
          <w:szCs w:val="32"/>
        </w:rPr>
        <w:t>年度部门预算情况说明</w:t>
      </w:r>
      <w:r>
        <w:rPr>
          <w:rFonts w:ascii="黑体" w:hAnsi="Times New Roman" w:eastAsia="黑体" w:cs="黑体"/>
          <w:w w:val="99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21" w:firstLine="640" w:firstLineChars="200"/>
        <w:textAlignment w:val="auto"/>
        <w:rPr>
          <w:rFonts w:hint="eastAsia" w:ascii="黑体" w:hAnsi="Times New Roman" w:eastAsia="黑体" w:cs="黑体"/>
          <w:w w:val="99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一、收入支出预算总体情况说明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四、财政拨款收入支出预算总体情况说明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五、一般公共预算支出预算情况说明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黑体"/>
          <w:kern w:val="0"/>
          <w:sz w:val="32"/>
          <w:szCs w:val="32"/>
        </w:rPr>
        <w:t>六、一般公共预算基本和项目支出预算情况说明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autoSpaceDE/>
        <w:autoSpaceDN/>
        <w:bidi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黑体"/>
          <w:kern w:val="0"/>
          <w:sz w:val="32"/>
          <w:szCs w:val="32"/>
        </w:rPr>
        <w:t>七、政府性基金预算支出预算情况说明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黑体"/>
          <w:w w:val="99"/>
          <w:sz w:val="32"/>
          <w:szCs w:val="32"/>
        </w:rPr>
      </w:pPr>
      <w:r>
        <w:rPr>
          <w:rFonts w:hint="eastAsia" w:ascii="仿宋_GB2312" w:hAnsi="Times New Roman" w:eastAsia="仿宋_GB2312" w:cs="黑体"/>
          <w:kern w:val="0"/>
          <w:sz w:val="32"/>
          <w:szCs w:val="32"/>
        </w:rPr>
        <w:t>八、“三公”经费支出预算情况说明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6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Times New Roman" w:eastAsia="仿宋_GB2312" w:cs="黑体"/>
          <w:spacing w:val="-1"/>
          <w:kern w:val="0"/>
          <w:sz w:val="32"/>
          <w:szCs w:val="32"/>
        </w:rPr>
        <w:t>九、其他重要事项的情况说明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21" w:firstLine="640" w:firstLineChars="200"/>
        <w:textAlignment w:val="auto"/>
        <w:rPr>
          <w:rFonts w:ascii="黑体" w:hAnsi="Times New Roman" w:eastAsia="黑体" w:cs="黑体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 xml:space="preserve">第三部分 </w:t>
      </w:r>
      <w:r>
        <w:rPr>
          <w:rFonts w:ascii="黑体" w:hAnsi="Times New Roman" w:eastAsia="黑体" w:cs="黑体"/>
          <w:spacing w:val="-32"/>
          <w:sz w:val="32"/>
          <w:szCs w:val="32"/>
        </w:rPr>
        <w:t xml:space="preserve"> </w:t>
      </w:r>
      <w:r>
        <w:rPr>
          <w:rFonts w:hint="eastAsia" w:ascii="黑体" w:hAnsi="Times New Roman" w:eastAsia="黑体" w:cs="黑体"/>
          <w:sz w:val="32"/>
          <w:szCs w:val="32"/>
        </w:rPr>
        <w:t>名词解释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黑体" w:hAnsi="Times New Roman" w:eastAsia="黑体" w:cs="黑体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附件：新乡市卫滨区</w:t>
      </w:r>
      <w:r>
        <w:rPr>
          <w:rFonts w:hint="eastAsia" w:ascii="黑体" w:hAnsi="Times New Roman" w:eastAsia="黑体" w:cs="黑体"/>
          <w:sz w:val="32"/>
          <w:szCs w:val="32"/>
          <w:lang w:eastAsia="zh-CN"/>
        </w:rPr>
        <w:t>国库支付中心</w:t>
      </w:r>
      <w:r>
        <w:rPr>
          <w:rFonts w:hint="eastAsia" w:ascii="黑体" w:hAnsi="Times New Roman" w:eastAsia="黑体" w:cs="黑体"/>
          <w:sz w:val="32"/>
          <w:szCs w:val="32"/>
        </w:rPr>
        <w:t>本级</w:t>
      </w:r>
      <w:r>
        <w:rPr>
          <w:rFonts w:hint="default" w:ascii="Times New Roman" w:hAnsi="Times New Roman" w:eastAsia="黑体" w:cs="Times New Roman"/>
          <w:sz w:val="32"/>
          <w:szCs w:val="32"/>
        </w:rPr>
        <w:t>202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  <w:r>
        <w:rPr>
          <w:rFonts w:hint="eastAsia" w:ascii="黑体" w:hAnsi="Times New Roman" w:eastAsia="黑体" w:cs="黑体"/>
          <w:sz w:val="32"/>
          <w:szCs w:val="32"/>
        </w:rPr>
        <w:t>年度部门预算表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一、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2024年部门收支总体情况表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eastAsia"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二、202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仿宋_GB2312"/>
          <w:sz w:val="32"/>
          <w:szCs w:val="32"/>
        </w:rPr>
        <w:t>年部门收入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总体情况</w:t>
      </w:r>
      <w:r>
        <w:rPr>
          <w:rFonts w:hint="eastAsia" w:ascii="仿宋_GB2312" w:hAnsi="Times New Roman" w:eastAsia="仿宋_GB2312" w:cs="仿宋_GB2312"/>
          <w:sz w:val="32"/>
          <w:szCs w:val="32"/>
        </w:rPr>
        <w:t>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eastAsia"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三、202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仿宋_GB2312"/>
          <w:sz w:val="32"/>
          <w:szCs w:val="32"/>
        </w:rPr>
        <w:t>年部门支出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总体情况</w:t>
      </w:r>
      <w:r>
        <w:rPr>
          <w:rFonts w:hint="eastAsia" w:ascii="仿宋_GB2312" w:hAnsi="Times New Roman" w:eastAsia="仿宋_GB2312" w:cs="仿宋_GB2312"/>
          <w:sz w:val="32"/>
          <w:szCs w:val="32"/>
        </w:rPr>
        <w:t>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eastAsia"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四、202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仿宋_GB2312"/>
          <w:sz w:val="32"/>
          <w:szCs w:val="32"/>
        </w:rPr>
        <w:t>年财政拨款收支总体情况表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eastAsia"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五、202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仿宋_GB2312"/>
          <w:sz w:val="32"/>
          <w:szCs w:val="32"/>
        </w:rPr>
        <w:t>年一般公共预算支出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情况</w:t>
      </w:r>
      <w:r>
        <w:rPr>
          <w:rFonts w:hint="eastAsia" w:ascii="仿宋_GB2312" w:hAnsi="Times New Roman" w:eastAsia="仿宋_GB2312" w:cs="仿宋_GB2312"/>
          <w:sz w:val="32"/>
          <w:szCs w:val="32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eastAsia"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2024年</w:t>
      </w:r>
      <w:r>
        <w:rPr>
          <w:rFonts w:hint="eastAsia" w:ascii="仿宋_GB2312" w:hAnsi="Times New Roman" w:eastAsia="仿宋_GB2312" w:cs="仿宋_GB2312"/>
          <w:sz w:val="32"/>
          <w:szCs w:val="32"/>
        </w:rPr>
        <w:t>一般公共预算基本支出表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202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仿宋_GB2312"/>
          <w:sz w:val="32"/>
          <w:szCs w:val="32"/>
        </w:rPr>
        <w:t>年支出经济分类汇总表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八、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年一般公共预算“三公”经费</w:t>
      </w:r>
      <w:r>
        <w:rPr>
          <w:rFonts w:hint="eastAsia" w:ascii="仿宋_GB2312" w:eastAsia="仿宋_GB2312"/>
          <w:sz w:val="32"/>
          <w:szCs w:val="32"/>
          <w:lang w:eastAsia="zh-CN"/>
        </w:rPr>
        <w:t>支出情况</w:t>
      </w:r>
      <w:r>
        <w:rPr>
          <w:rFonts w:hint="eastAsia" w:ascii="仿宋_GB2312" w:eastAsia="仿宋_GB2312"/>
          <w:sz w:val="32"/>
          <w:szCs w:val="32"/>
        </w:rPr>
        <w:t>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九、202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年政府性基金预算支出情况表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十、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2024年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项目支出表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eastAsia" w:ascii="仿宋_GB2312" w:hAnsi="Times New Roman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十一</w:t>
      </w:r>
      <w:r>
        <w:rPr>
          <w:rFonts w:hint="eastAsia" w:ascii="仿宋_GB2312" w:hAnsi="Times New Roman" w:eastAsia="仿宋_GB2312" w:cs="仿宋_GB2312"/>
          <w:sz w:val="32"/>
          <w:szCs w:val="32"/>
          <w:highlight w:val="none"/>
        </w:rPr>
        <w:t>、</w:t>
      </w:r>
      <w:r>
        <w:rPr>
          <w:rFonts w:hint="eastAsia" w:ascii="仿宋_GB2312" w:eastAsia="仿宋_GB2312"/>
          <w:sz w:val="32"/>
          <w:szCs w:val="32"/>
          <w:highlight w:val="none"/>
        </w:rPr>
        <w:t>部门整体绩效目标表</w:t>
      </w:r>
      <w:r>
        <w:rPr>
          <w:rFonts w:hint="eastAsia" w:ascii="仿宋_GB2312" w:eastAsia="仿宋_GB2312"/>
          <w:sz w:val="32"/>
          <w:szCs w:val="32"/>
          <w:highlight w:val="red"/>
          <w:lang w:eastAsia="zh-CN"/>
        </w:rPr>
        <w:t>（只有一级部门需公开）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right="51"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highlight w:val="red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十二</w:t>
      </w:r>
      <w:r>
        <w:rPr>
          <w:rFonts w:hint="eastAsia" w:ascii="仿宋_GB2312" w:hAnsi="Times New Roman" w:eastAsia="仿宋_GB2312" w:cs="仿宋_GB2312"/>
          <w:sz w:val="32"/>
          <w:szCs w:val="32"/>
          <w:highlight w:val="none"/>
        </w:rPr>
        <w:t>、</w:t>
      </w:r>
      <w:r>
        <w:rPr>
          <w:rFonts w:hint="eastAsia" w:ascii="仿宋_GB2312" w:eastAsia="仿宋_GB2312"/>
          <w:sz w:val="32"/>
          <w:szCs w:val="32"/>
          <w:highlight w:val="none"/>
        </w:rPr>
        <w:t>202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highlight w:val="none"/>
        </w:rPr>
        <w:t>年部门预算项目绩效目标汇总表</w:t>
      </w:r>
      <w:r>
        <w:rPr>
          <w:rFonts w:hint="eastAsia" w:ascii="仿宋_GB2312" w:eastAsia="仿宋_GB2312"/>
          <w:sz w:val="32"/>
          <w:szCs w:val="32"/>
          <w:highlight w:val="red"/>
          <w:lang w:eastAsia="zh-CN"/>
        </w:rPr>
        <w:t>（只有一级部门需公开）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ind w:firstLine="1120" w:firstLineChars="35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第一部分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新乡市卫滨区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国库支付中心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单位概况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topLinePunct w:val="0"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新乡市</w:t>
      </w:r>
      <w:r>
        <w:rPr>
          <w:rFonts w:hint="eastAsia" w:ascii="黑体" w:hAnsi="黑体" w:eastAsia="黑体" w:cs="黑体"/>
          <w:sz w:val="32"/>
          <w:szCs w:val="32"/>
        </w:rPr>
        <w:t>卫滨区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国库支付中心</w:t>
      </w:r>
      <w:r>
        <w:rPr>
          <w:rFonts w:hint="eastAsia" w:ascii="黑体" w:hAnsi="黑体" w:eastAsia="黑体" w:cs="黑体"/>
          <w:sz w:val="32"/>
          <w:szCs w:val="32"/>
        </w:rPr>
        <w:t>单位</w:t>
      </w:r>
      <w:r>
        <w:rPr>
          <w:rFonts w:hint="eastAsia" w:ascii="黑体" w:hAnsi="黑体" w:eastAsia="黑体"/>
          <w:sz w:val="32"/>
          <w:szCs w:val="32"/>
        </w:rPr>
        <w:t>主要职责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Times New Roman"/>
          <w:sz w:val="32"/>
          <w:szCs w:val="32"/>
        </w:rPr>
        <w:t>配合区财政局管理区级财政国库支付账户体系，审核预算单位支付申请，办理和监督财政资金支付业务进行相关的会计核算;处理和反映预算支出信息;配合区财政局进行财政国库集中支付改革;完成上级交办的其他任务。</w:t>
      </w:r>
    </w:p>
    <w:p>
      <w:pPr>
        <w:pStyle w:val="7"/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highlight w:val="red"/>
          <w:lang w:eastAsia="zh-CN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二、</w:t>
      </w:r>
      <w:r>
        <w:rPr>
          <w:rFonts w:hint="eastAsia" w:ascii="黑体" w:hAnsi="Times New Roman" w:eastAsia="黑体" w:cs="黑体"/>
          <w:sz w:val="32"/>
          <w:szCs w:val="32"/>
        </w:rPr>
        <w:t>新乡市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卫滨区</w:t>
      </w: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国库支付中心</w:t>
      </w:r>
      <w:r>
        <w:rPr>
          <w:rFonts w:hint="eastAsia" w:ascii="黑体" w:hAnsi="黑体" w:eastAsia="黑体"/>
          <w:sz w:val="32"/>
          <w:szCs w:val="32"/>
          <w:highlight w:val="none"/>
        </w:rPr>
        <w:t>单位构成</w:t>
      </w:r>
    </w:p>
    <w:p>
      <w:pPr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hAnsi="仿宋_GB2312" w:eastAsia="仿宋_GB2312"/>
          <w:sz w:val="32"/>
          <w:szCs w:val="32"/>
        </w:rPr>
        <w:t>新乡市</w:t>
      </w:r>
      <w:r>
        <w:rPr>
          <w:rFonts w:hAnsi="仿宋_GB2312" w:eastAsia="仿宋_GB2312"/>
          <w:sz w:val="32"/>
          <w:szCs w:val="32"/>
        </w:rPr>
        <w:t>卫滨区</w:t>
      </w:r>
      <w:r>
        <w:rPr>
          <w:rFonts w:hint="eastAsia" w:hAnsi="仿宋_GB2312" w:eastAsia="仿宋_GB2312"/>
          <w:spacing w:val="-11"/>
          <w:sz w:val="32"/>
          <w:szCs w:val="32"/>
        </w:rPr>
        <w:t>国库支付中心</w:t>
      </w:r>
      <w:r>
        <w:rPr>
          <w:rFonts w:eastAsia="仿宋_GB2312"/>
          <w:spacing w:val="-11"/>
          <w:sz w:val="32"/>
          <w:szCs w:val="32"/>
        </w:rPr>
        <w:t>202</w:t>
      </w:r>
      <w:r>
        <w:rPr>
          <w:rFonts w:hint="eastAsia" w:eastAsia="仿宋_GB2312"/>
          <w:spacing w:val="-11"/>
          <w:sz w:val="32"/>
          <w:szCs w:val="32"/>
          <w:lang w:val="en-US" w:eastAsia="zh-CN"/>
        </w:rPr>
        <w:t>3</w:t>
      </w:r>
      <w:r>
        <w:rPr>
          <w:rFonts w:hAnsi="仿宋_GB2312" w:eastAsia="仿宋_GB2312"/>
          <w:spacing w:val="-11"/>
          <w:sz w:val="32"/>
          <w:szCs w:val="32"/>
        </w:rPr>
        <w:t>年度</w:t>
      </w:r>
      <w:r>
        <w:rPr>
          <w:rFonts w:hint="eastAsia" w:hAnsi="仿宋_GB2312" w:eastAsia="仿宋_GB2312"/>
          <w:spacing w:val="-11"/>
          <w:sz w:val="32"/>
          <w:szCs w:val="32"/>
        </w:rPr>
        <w:t>单位</w:t>
      </w:r>
      <w:r>
        <w:rPr>
          <w:rFonts w:hAnsi="仿宋_GB2312" w:eastAsia="仿宋_GB2312"/>
          <w:spacing w:val="-11"/>
          <w:sz w:val="32"/>
          <w:szCs w:val="32"/>
        </w:rPr>
        <w:t>预算</w:t>
      </w:r>
      <w:r>
        <w:rPr>
          <w:rFonts w:hint="eastAsia" w:hAnsi="仿宋_GB2312" w:eastAsia="仿宋_GB2312"/>
          <w:spacing w:val="-11"/>
          <w:sz w:val="32"/>
          <w:szCs w:val="32"/>
          <w:lang w:eastAsia="zh-CN"/>
        </w:rPr>
        <w:t>只</w:t>
      </w:r>
      <w:r>
        <w:rPr>
          <w:rFonts w:hint="eastAsia" w:hAnsi="仿宋_GB2312" w:eastAsia="仿宋_GB2312"/>
          <w:sz w:val="32"/>
          <w:szCs w:val="32"/>
          <w:lang w:eastAsia="zh-CN"/>
        </w:rPr>
        <w:t>有</w:t>
      </w:r>
      <w:r>
        <w:rPr>
          <w:rFonts w:hint="eastAsia" w:hAnsi="仿宋_GB2312" w:eastAsia="仿宋_GB2312"/>
          <w:sz w:val="32"/>
          <w:szCs w:val="32"/>
        </w:rPr>
        <w:t>本单位</w:t>
      </w:r>
      <w:r>
        <w:rPr>
          <w:rFonts w:hAns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jc w:val="left"/>
        <w:rPr>
          <w:rFonts w:hAnsi="仿宋_GB2312" w:eastAsia="仿宋_GB2312"/>
          <w:sz w:val="32"/>
          <w:szCs w:val="32"/>
        </w:rPr>
      </w:pPr>
      <w:r>
        <w:rPr>
          <w:rFonts w:hAnsi="仿宋_GB2312" w:eastAsia="仿宋_GB2312"/>
          <w:sz w:val="32"/>
          <w:szCs w:val="32"/>
        </w:rPr>
        <w:t>纳入本</w:t>
      </w:r>
      <w:r>
        <w:rPr>
          <w:rFonts w:hint="eastAsia" w:hAnsi="仿宋_GB2312"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Ansi="仿宋_GB2312" w:eastAsia="仿宋_GB2312"/>
          <w:sz w:val="32"/>
          <w:szCs w:val="32"/>
        </w:rPr>
        <w:t>年度</w:t>
      </w:r>
      <w:r>
        <w:rPr>
          <w:rFonts w:hint="eastAsia" w:hAnsi="仿宋_GB2312" w:eastAsia="仿宋_GB2312"/>
          <w:sz w:val="32"/>
          <w:szCs w:val="32"/>
        </w:rPr>
        <w:t>单位</w:t>
      </w:r>
      <w:r>
        <w:rPr>
          <w:rFonts w:hAnsi="仿宋_GB2312" w:eastAsia="仿宋_GB2312"/>
          <w:sz w:val="32"/>
          <w:szCs w:val="32"/>
        </w:rPr>
        <w:t>预算编制范围的单位共</w:t>
      </w:r>
      <w:r>
        <w:rPr>
          <w:rFonts w:hint="eastAsia" w:eastAsia="仿宋_GB2312"/>
          <w:sz w:val="32"/>
          <w:szCs w:val="32"/>
        </w:rPr>
        <w:t>一</w:t>
      </w:r>
      <w:r>
        <w:rPr>
          <w:rFonts w:hAnsi="仿宋_GB2312" w:eastAsia="仿宋_GB2312"/>
          <w:sz w:val="32"/>
          <w:szCs w:val="32"/>
        </w:rPr>
        <w:t>个</w:t>
      </w:r>
      <w:r>
        <w:rPr>
          <w:rFonts w:hint="eastAsia" w:hAnsi="仿宋_GB2312" w:eastAsia="仿宋_GB2312"/>
          <w:sz w:val="32"/>
          <w:szCs w:val="32"/>
        </w:rPr>
        <w:t>：新乡市</w:t>
      </w:r>
      <w:r>
        <w:rPr>
          <w:rFonts w:hAnsi="仿宋_GB2312" w:eastAsia="仿宋_GB2312"/>
          <w:sz w:val="32"/>
          <w:szCs w:val="32"/>
        </w:rPr>
        <w:t>卫滨区</w:t>
      </w:r>
      <w:r>
        <w:rPr>
          <w:rFonts w:hint="eastAsia" w:hAnsi="仿宋_GB2312" w:eastAsia="仿宋_GB2312"/>
          <w:sz w:val="32"/>
          <w:szCs w:val="32"/>
        </w:rPr>
        <w:t>国库支付中心。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Times New Roman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38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第二部分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ind w:firstLine="72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新乡市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卫滨区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国库支付中心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单位</w:t>
      </w:r>
      <w:r>
        <w:rPr>
          <w:rFonts w:hint="eastAsia" w:ascii="方正小标宋简体" w:hAnsi="方正小标宋简体" w:eastAsia="方正小标宋简体" w:cs="方正小标宋简体"/>
          <w:spacing w:val="-119"/>
          <w:sz w:val="36"/>
          <w:szCs w:val="36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年度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单位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一、收入支出预算总体情况说明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新乡市卫滨区国库支付中心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年收入总计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62.66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万元，支出总计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62.66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相比，收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入</w:t>
      </w:r>
      <w:r>
        <w:rPr>
          <w:rFonts w:hint="eastAsia" w:ascii="仿宋_GB2312" w:hAnsi="仿宋_GB2312" w:eastAsia="仿宋_GB2312" w:cs="仿宋_GB2312"/>
          <w:sz w:val="32"/>
          <w:szCs w:val="32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12.93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万元，下降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17.11</w:t>
      </w:r>
      <w:r>
        <w:rPr>
          <w:rFonts w:hint="eastAsia" w:ascii="仿宋_GB2312" w:hAnsi="仿宋_GB2312" w:eastAsia="仿宋_GB2312" w:cs="仿宋_GB2312"/>
          <w:sz w:val="32"/>
          <w:szCs w:val="32"/>
        </w:rPr>
        <w:t>%。主要原因是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厉行节约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;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12.93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万元，下降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17.11</w:t>
      </w:r>
      <w:r>
        <w:rPr>
          <w:rFonts w:hint="eastAsia" w:ascii="仿宋_GB2312" w:hAnsi="仿宋_GB2312" w:eastAsia="仿宋_GB2312" w:cs="仿宋_GB2312"/>
          <w:sz w:val="32"/>
          <w:szCs w:val="32"/>
        </w:rPr>
        <w:t>%。主要原因是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厉行节约</w:t>
      </w:r>
      <w:r>
        <w:rPr>
          <w:rFonts w:hint="eastAsia" w:ascii="仿宋_GB2312" w:hAnsi="宋体" w:eastAsia="仿宋_GB2312" w:cs="Courier New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二、收入预算总体情况说明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仿宋_GB2312" w:eastAsia="仿宋_GB2312" w:cs="Times New Roman"/>
          <w:sz w:val="32"/>
          <w:szCs w:val="32"/>
        </w:rPr>
        <w:t>新乡市</w:t>
      </w:r>
      <w:r>
        <w:rPr>
          <w:rFonts w:ascii="Times New Roman" w:hAnsi="仿宋_GB2312" w:eastAsia="仿宋_GB2312" w:cs="Times New Roman"/>
          <w:sz w:val="32"/>
          <w:szCs w:val="32"/>
        </w:rPr>
        <w:t>卫滨区</w:t>
      </w:r>
      <w:r>
        <w:rPr>
          <w:rFonts w:hint="eastAsia" w:ascii="Times New Roman" w:hAnsi="仿宋_GB2312" w:eastAsia="仿宋_GB2312" w:cs="Times New Roman"/>
          <w:sz w:val="32"/>
          <w:szCs w:val="32"/>
        </w:rPr>
        <w:t>国库支付中心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年收入预算合计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62.66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万元，收入预算总计减少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12.93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下降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17.11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%</w:t>
      </w:r>
      <w:r>
        <w:rPr>
          <w:rFonts w:hint="eastAsia" w:ascii="仿宋_GB2312" w:hAnsi="仿宋_GB2312" w:eastAsia="仿宋_GB2312" w:cs="仿宋_GB2312"/>
          <w:sz w:val="32"/>
          <w:szCs w:val="32"/>
        </w:rPr>
        <w:t>，原因为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厉行节约</w:t>
      </w:r>
      <w:r>
        <w:rPr>
          <w:rFonts w:hint="eastAsia" w:ascii="仿宋_GB2312" w:hAnsi="仿宋_GB2312" w:eastAsia="仿宋_GB2312" w:cs="仿宋_GB2312"/>
          <w:sz w:val="32"/>
          <w:szCs w:val="32"/>
        </w:rPr>
        <w:t>。其中：一般公共预算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62.66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万元; 政府性基金收入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万元；国有资本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经营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万元；财政专户管理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（其中专户管理的教育收费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事业</w:t>
      </w:r>
      <w:r>
        <w:rPr>
          <w:rFonts w:hint="eastAsia" w:ascii="仿宋_GB2312" w:hAnsi="仿宋_GB2312" w:eastAsia="仿宋_GB2312" w:cs="仿宋_GB2312"/>
          <w:sz w:val="32"/>
          <w:szCs w:val="32"/>
        </w:rPr>
        <w:t>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；事业单位经营</w:t>
      </w:r>
      <w:r>
        <w:rPr>
          <w:rFonts w:hint="eastAsia" w:ascii="仿宋_GB2312" w:hAnsi="仿宋_GB2312" w:eastAsia="仿宋_GB2312" w:cs="仿宋_GB2312"/>
          <w:sz w:val="32"/>
          <w:szCs w:val="32"/>
        </w:rPr>
        <w:t>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；上级补助</w:t>
      </w:r>
      <w:r>
        <w:rPr>
          <w:rFonts w:hint="eastAsia" w:ascii="仿宋_GB2312" w:hAnsi="仿宋_GB2312" w:eastAsia="仿宋_GB2312" w:cs="仿宋_GB2312"/>
          <w:sz w:val="32"/>
          <w:szCs w:val="32"/>
        </w:rPr>
        <w:t>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；附属单位上缴</w:t>
      </w:r>
      <w:r>
        <w:rPr>
          <w:rFonts w:hint="eastAsia" w:ascii="仿宋_GB2312" w:hAnsi="仿宋_GB2312" w:eastAsia="仿宋_GB2312" w:cs="仿宋_GB2312"/>
          <w:sz w:val="32"/>
          <w:szCs w:val="32"/>
        </w:rPr>
        <w:t>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；上年结转结余中一般公共预算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；上年结转结余中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政府性基金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；上年结转结余中</w:t>
      </w:r>
      <w:r>
        <w:rPr>
          <w:rFonts w:hint="eastAsia" w:ascii="仿宋_GB2312" w:hAnsi="仿宋_GB2312" w:eastAsia="仿宋_GB2312" w:cs="仿宋_GB2312"/>
          <w:sz w:val="32"/>
          <w:szCs w:val="32"/>
        </w:rPr>
        <w:t>国有资本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经营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；上年结转结余中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财政专户管理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；上年结转结余中单位资金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仿宋_GB2312" w:eastAsia="仿宋_GB2312" w:cs="Times New Roman"/>
          <w:sz w:val="32"/>
          <w:szCs w:val="32"/>
        </w:rPr>
        <w:t>新乡市</w:t>
      </w:r>
      <w:r>
        <w:rPr>
          <w:rFonts w:ascii="Times New Roman" w:hAnsi="仿宋_GB2312" w:eastAsia="仿宋_GB2312" w:cs="Times New Roman"/>
          <w:sz w:val="32"/>
          <w:szCs w:val="32"/>
        </w:rPr>
        <w:t>卫滨区</w:t>
      </w:r>
      <w:r>
        <w:rPr>
          <w:rFonts w:hint="eastAsia" w:ascii="Times New Roman" w:hAnsi="仿宋_GB2312" w:eastAsia="仿宋_GB2312" w:cs="Times New Roman"/>
          <w:sz w:val="32"/>
          <w:szCs w:val="32"/>
        </w:rPr>
        <w:t>国库支付中心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年支出预算合计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62.66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万元，其中：基本支出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62.66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；项目支出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四、财政拨款收入支出预算总体情况说明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Times New Roman" w:hAnsi="仿宋_GB2312" w:eastAsia="仿宋_GB2312" w:cs="Times New Roman"/>
          <w:sz w:val="32"/>
          <w:szCs w:val="32"/>
        </w:rPr>
        <w:t>新乡市</w:t>
      </w:r>
      <w:r>
        <w:rPr>
          <w:rFonts w:ascii="Times New Roman" w:hAnsi="仿宋_GB2312" w:eastAsia="仿宋_GB2312" w:cs="Times New Roman"/>
          <w:sz w:val="32"/>
          <w:szCs w:val="32"/>
        </w:rPr>
        <w:t>卫滨区</w:t>
      </w:r>
      <w:r>
        <w:rPr>
          <w:rFonts w:hint="eastAsia" w:ascii="Times New Roman" w:hAnsi="仿宋_GB2312" w:eastAsia="仿宋_GB2312" w:cs="Times New Roman"/>
          <w:sz w:val="32"/>
          <w:szCs w:val="32"/>
        </w:rPr>
        <w:t>国库支付中心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年一般公共财政预算拨款收支预算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62.66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万元，政府性基金收支预算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万元。与 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年相比，一般公共预算收支预算减少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12.93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万元，下降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17.11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，主要原因是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厉行节约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；政府性基金收支预算增加（减少）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万元，增长（下降）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，主要是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无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五、一般公共预算支出预算情况说明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仿宋_GB2312" w:eastAsia="仿宋_GB2312" w:cs="Times New Roman"/>
          <w:sz w:val="32"/>
          <w:szCs w:val="32"/>
        </w:rPr>
        <w:t>新乡市</w:t>
      </w:r>
      <w:r>
        <w:rPr>
          <w:rFonts w:ascii="Times New Roman" w:hAnsi="仿宋_GB2312" w:eastAsia="仿宋_GB2312" w:cs="Times New Roman"/>
          <w:sz w:val="32"/>
          <w:szCs w:val="32"/>
        </w:rPr>
        <w:t>卫滨区</w:t>
      </w:r>
      <w:r>
        <w:rPr>
          <w:rFonts w:hint="eastAsia" w:ascii="Times New Roman" w:hAnsi="仿宋_GB2312" w:eastAsia="仿宋_GB2312" w:cs="Times New Roman"/>
          <w:sz w:val="32"/>
          <w:szCs w:val="32"/>
        </w:rPr>
        <w:t>国库支付中心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年一般公共预算支出年初预算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62.66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万元,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其中：基本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62.66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主要用于以下方面：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一般公共服务（类）支出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47.58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万元，占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75.93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社会保障和就业（类）支出6.58万元，占10.93%；卫生健康（类）支出3.01万元，占4.80%；住房保障（类）支出5.22万元，占8.33%。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red"/>
        </w:rPr>
      </w:pPr>
      <w:r>
        <w:rPr>
          <w:rFonts w:hint="eastAsia" w:ascii="黑体" w:hAnsi="Times New Roman" w:eastAsia="黑体" w:cs="黑体"/>
          <w:kern w:val="0"/>
          <w:sz w:val="32"/>
          <w:szCs w:val="32"/>
          <w:highlight w:val="none"/>
        </w:rPr>
        <w:t>六、一般公共预算基本和项目支出预算情况说明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仿宋_GB2312" w:eastAsia="仿宋_GB2312" w:cs="Times New Roman"/>
          <w:sz w:val="32"/>
          <w:szCs w:val="32"/>
        </w:rPr>
        <w:t>新乡市</w:t>
      </w:r>
      <w:r>
        <w:rPr>
          <w:rFonts w:ascii="Times New Roman" w:hAnsi="仿宋_GB2312" w:eastAsia="仿宋_GB2312" w:cs="Times New Roman"/>
          <w:sz w:val="32"/>
          <w:szCs w:val="32"/>
        </w:rPr>
        <w:t>卫滨区</w:t>
      </w:r>
      <w:r>
        <w:rPr>
          <w:rFonts w:hint="eastAsia" w:ascii="Times New Roman" w:hAnsi="仿宋_GB2312" w:eastAsia="仿宋_GB2312" w:cs="Times New Roman"/>
          <w:sz w:val="32"/>
          <w:szCs w:val="32"/>
        </w:rPr>
        <w:t>国库支付中心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年一般公共预算基本支出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62.66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  <w:highlight w:val="none"/>
          <w:lang w:eastAsia="zh-CN"/>
        </w:rPr>
        <w:t>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56.8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90.65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包括：基本工资、津贴补贴、奖金、社会保障缴费、伙食补助费、绩效工资、机关事业单位基本养老保险缴费、职业年金缴费、职工基本医疗保险缴费、公务员医疗补助缴费、住房公积金、医疗费、其他工资福利支出、离休费、退休费、退职（役）费、抚恤金、生活补助、 救济费、医疗费补助、助学金、奖励金、个人农业生产补贴、其他对个人和家庭的补助支出；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b/>
          <w:spacing w:val="-1"/>
          <w:kern w:val="0"/>
          <w:sz w:val="32"/>
          <w:szCs w:val="32"/>
          <w:highlight w:val="none"/>
          <w:lang w:eastAsia="zh-CN"/>
        </w:rPr>
        <w:t>支出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.86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9.35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主要包括：办公费、印刷费、咨询费、手续费、水费、电费、邮电费、取暖费、物业管理费、差旅费、因公出国（境）费、维 修（护）费、租赁费、会议费、培训费、公务接待费、专用材料费、被装购置费、专用燃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年一般公共预算安排项目支出预算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万元，全部纳入项目绩效目标管理。其中：运转类项目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特定目标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类项目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highlight w:val="red"/>
        </w:rPr>
      </w:pPr>
      <w:r>
        <w:rPr>
          <w:rFonts w:hint="eastAsia" w:ascii="黑体" w:hAnsi="Times New Roman" w:eastAsia="黑体" w:cs="黑体"/>
          <w:kern w:val="0"/>
          <w:sz w:val="32"/>
          <w:szCs w:val="32"/>
          <w:highlight w:val="none"/>
        </w:rPr>
        <w:t>七、政府性基金预算支出预算情况说明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仿宋_GB2312" w:eastAsia="仿宋_GB2312" w:cs="Times New Roman"/>
          <w:sz w:val="32"/>
          <w:szCs w:val="32"/>
        </w:rPr>
        <w:t>新乡市</w:t>
      </w:r>
      <w:r>
        <w:rPr>
          <w:rFonts w:ascii="Times New Roman" w:hAnsi="仿宋_GB2312" w:eastAsia="仿宋_GB2312" w:cs="Times New Roman"/>
          <w:sz w:val="32"/>
          <w:szCs w:val="32"/>
        </w:rPr>
        <w:t>卫滨区</w:t>
      </w:r>
      <w:r>
        <w:rPr>
          <w:rFonts w:hint="eastAsia" w:ascii="Times New Roman" w:hAnsi="仿宋_GB2312" w:eastAsia="仿宋_GB2312" w:cs="Times New Roman"/>
          <w:sz w:val="32"/>
          <w:szCs w:val="32"/>
        </w:rPr>
        <w:t>国库支付中心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年政府性基金预算支出年初预算为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其中：基本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黑体" w:hAnsi="Times New Roman" w:eastAsia="黑体" w:cs="黑体"/>
          <w:kern w:val="0"/>
          <w:sz w:val="32"/>
          <w:szCs w:val="32"/>
        </w:rPr>
      </w:pPr>
      <w:r>
        <w:rPr>
          <w:rFonts w:hint="eastAsia" w:ascii="黑体" w:hAnsi="Times New Roman" w:eastAsia="黑体" w:cs="黑体"/>
          <w:kern w:val="0"/>
          <w:sz w:val="32"/>
          <w:szCs w:val="32"/>
        </w:rPr>
        <w:t>八、 “三公”经费支出预算情况说明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360" w:lineRule="auto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Times New Roman" w:hAnsi="仿宋_GB2312" w:eastAsia="仿宋_GB2312" w:cs="Times New Roman"/>
          <w:sz w:val="32"/>
          <w:szCs w:val="32"/>
        </w:rPr>
        <w:t>新乡市</w:t>
      </w:r>
      <w:r>
        <w:rPr>
          <w:rFonts w:ascii="Times New Roman" w:hAnsi="仿宋_GB2312" w:eastAsia="仿宋_GB2312" w:cs="Times New Roman"/>
          <w:sz w:val="32"/>
          <w:szCs w:val="32"/>
        </w:rPr>
        <w:t>卫滨区</w:t>
      </w:r>
      <w:r>
        <w:rPr>
          <w:rFonts w:hint="eastAsia" w:ascii="Times New Roman" w:hAnsi="仿宋_GB2312" w:eastAsia="仿宋_GB2312" w:cs="Times New Roman"/>
          <w:sz w:val="32"/>
          <w:szCs w:val="32"/>
        </w:rPr>
        <w:t>国库支付中心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Courier New"/>
          <w:sz w:val="32"/>
          <w:szCs w:val="32"/>
        </w:rPr>
        <w:t>年“三公”经费预算为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Courier New"/>
          <w:sz w:val="32"/>
          <w:szCs w:val="32"/>
        </w:rPr>
        <w:t xml:space="preserve">年“三公”经费支出预算数比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Courier New"/>
          <w:sz w:val="32"/>
          <w:szCs w:val="32"/>
        </w:rPr>
        <w:t>年增加（减少）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具体支出情况如下：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6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华文楷体" w:hAnsi="华文楷体" w:eastAsia="华文楷体" w:cs="仿宋_GB2312"/>
          <w:spacing w:val="-1"/>
          <w:kern w:val="0"/>
          <w:sz w:val="32"/>
          <w:szCs w:val="32"/>
        </w:rPr>
        <w:t>（一）因公出国（境）费</w:t>
      </w:r>
      <w:r>
        <w:rPr>
          <w:rFonts w:hint="eastAsia" w:ascii="Times New Roman" w:hAnsi="Times New Roman" w:eastAsia="华文楷体" w:cs="Times New Roman"/>
          <w:sz w:val="32"/>
          <w:szCs w:val="32"/>
          <w:lang w:val="en-US" w:eastAsia="zh-CN"/>
        </w:rPr>
        <w:t>0</w:t>
      </w:r>
      <w:r>
        <w:rPr>
          <w:rFonts w:hint="eastAsia" w:ascii="华文楷体" w:hAnsi="华文楷体" w:eastAsia="华文楷体" w:cs="仿宋_GB2312"/>
          <w:spacing w:val="-1"/>
          <w:kern w:val="0"/>
          <w:sz w:val="32"/>
          <w:szCs w:val="32"/>
        </w:rPr>
        <w:t>万元</w:t>
      </w:r>
      <w:r>
        <w:rPr>
          <w:rFonts w:hint="eastAsia" w:ascii="楷体" w:hAnsi="楷体" w:eastAsia="楷体" w:cs="仿宋_GB2312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Courier New"/>
          <w:sz w:val="32"/>
          <w:szCs w:val="32"/>
        </w:rPr>
        <w:t>主要用于单位工作人员公务出国（境）的住宿费、旅费、伙食补助费、杂费、培训费等支出。预算数比20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23</w:t>
      </w:r>
      <w:r>
        <w:rPr>
          <w:rFonts w:hint="eastAsia" w:ascii="仿宋_GB2312" w:hAnsi="宋体" w:eastAsia="仿宋_GB2312" w:cs="Courier New"/>
          <w:sz w:val="32"/>
          <w:szCs w:val="32"/>
        </w:rPr>
        <w:t>年增加（减少）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万元。增加（减少）的主要原因是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无</w:t>
      </w:r>
      <w:r>
        <w:rPr>
          <w:rFonts w:hint="eastAsia" w:ascii="仿宋_GB2312" w:hAnsi="宋体" w:eastAsia="仿宋_GB2312" w:cs="Courier New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6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华文楷体" w:hAnsi="华文楷体" w:eastAsia="华文楷体" w:cs="仿宋_GB2312"/>
          <w:spacing w:val="-1"/>
          <w:kern w:val="0"/>
          <w:sz w:val="32"/>
          <w:szCs w:val="32"/>
        </w:rPr>
        <w:t>（二）公务用车购置及运行费</w:t>
      </w:r>
      <w:r>
        <w:rPr>
          <w:rFonts w:hint="eastAsia" w:ascii="Times New Roman" w:hAnsi="Times New Roman" w:eastAsia="华文楷体" w:cs="Times New Roman"/>
          <w:sz w:val="32"/>
          <w:szCs w:val="32"/>
          <w:lang w:val="en-US" w:eastAsia="zh-CN"/>
        </w:rPr>
        <w:t>0</w:t>
      </w:r>
      <w:r>
        <w:rPr>
          <w:rFonts w:hint="eastAsia" w:ascii="华文楷体" w:hAnsi="华文楷体" w:eastAsia="华文楷体" w:cs="仿宋_GB2312"/>
          <w:kern w:val="0"/>
          <w:sz w:val="32"/>
          <w:szCs w:val="32"/>
        </w:rPr>
        <w:t>万</w:t>
      </w:r>
      <w:r>
        <w:rPr>
          <w:rFonts w:hint="eastAsia" w:ascii="华文楷体" w:hAnsi="华文楷体" w:eastAsia="华文楷体" w:cs="Courier New"/>
          <w:sz w:val="32"/>
          <w:szCs w:val="32"/>
        </w:rPr>
        <w:t>元</w:t>
      </w:r>
      <w:r>
        <w:rPr>
          <w:rFonts w:hint="eastAsia" w:ascii="楷体" w:hAnsi="楷体" w:eastAsia="楷体" w:cs="Courier New"/>
          <w:sz w:val="32"/>
          <w:szCs w:val="32"/>
        </w:rPr>
        <w:t>，</w:t>
      </w:r>
      <w:r>
        <w:rPr>
          <w:rFonts w:hint="eastAsia" w:ascii="仿宋_GB2312" w:hAnsi="宋体" w:eastAsia="仿宋_GB2312" w:cs="Courier New"/>
          <w:sz w:val="32"/>
          <w:szCs w:val="32"/>
        </w:rPr>
        <w:t>其中，公务用车购置费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万元；公务用车运行维护费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万元，主要用于开展工作所需公务用车的燃料费、维修费、过路过桥费、保险费、安全奖励费用等支出。公务用车购置费预算数比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Courier New"/>
          <w:sz w:val="32"/>
          <w:szCs w:val="32"/>
        </w:rPr>
        <w:t xml:space="preserve"> 年增加（减少）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万元，主要原因：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无</w:t>
      </w:r>
      <w:r>
        <w:rPr>
          <w:rFonts w:hint="eastAsia" w:ascii="仿宋_GB2312" w:hAnsi="宋体" w:eastAsia="仿宋_GB2312" w:cs="Courier New"/>
          <w:sz w:val="32"/>
          <w:szCs w:val="32"/>
        </w:rPr>
        <w:t xml:space="preserve">。公务用车运行维护费预算数比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仿宋_GB2312" w:hAnsi="宋体" w:eastAsia="仿宋_GB2312" w:cs="Courier New"/>
          <w:sz w:val="32"/>
          <w:szCs w:val="32"/>
        </w:rPr>
        <w:t>年增加（减少）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万元，增加（减少）的主要原因是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无</w:t>
      </w:r>
      <w:r>
        <w:rPr>
          <w:rFonts w:hint="eastAsia" w:ascii="仿宋_GB2312" w:hAnsi="宋体" w:eastAsia="仿宋_GB2312" w:cs="Courier New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6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华文楷体" w:hAnsi="华文楷体" w:eastAsia="华文楷体" w:cs="仿宋_GB2312"/>
          <w:spacing w:val="-1"/>
          <w:kern w:val="0"/>
          <w:sz w:val="32"/>
          <w:szCs w:val="32"/>
        </w:rPr>
        <w:t>（三）公务接待费</w:t>
      </w:r>
      <w:r>
        <w:rPr>
          <w:rFonts w:hint="eastAsia" w:ascii="Times New Roman" w:hAnsi="Times New Roman" w:eastAsia="华文楷体" w:cs="Times New Roman"/>
          <w:sz w:val="32"/>
          <w:szCs w:val="32"/>
          <w:lang w:val="en-US" w:eastAsia="zh-CN"/>
        </w:rPr>
        <w:t>0</w:t>
      </w:r>
      <w:r>
        <w:rPr>
          <w:rFonts w:hint="eastAsia" w:ascii="华文楷体" w:hAnsi="华文楷体" w:eastAsia="华文楷体" w:cs="Courier New"/>
          <w:sz w:val="32"/>
          <w:szCs w:val="32"/>
        </w:rPr>
        <w:t>万元</w:t>
      </w:r>
      <w:r>
        <w:rPr>
          <w:rFonts w:hint="eastAsia" w:ascii="楷体" w:hAnsi="楷体" w:eastAsia="楷体" w:cs="Courier New"/>
          <w:sz w:val="32"/>
          <w:szCs w:val="32"/>
        </w:rPr>
        <w:t>，</w:t>
      </w:r>
      <w:r>
        <w:rPr>
          <w:rFonts w:hint="eastAsia" w:ascii="仿宋_GB2312" w:hAnsi="宋体" w:eastAsia="仿宋_GB2312" w:cs="Courier New"/>
          <w:sz w:val="32"/>
          <w:szCs w:val="32"/>
        </w:rPr>
        <w:t>主要用于按规定开支的各类公务接待（含外宾接待）支出。预算数比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Courier New"/>
          <w:sz w:val="32"/>
          <w:szCs w:val="32"/>
        </w:rPr>
        <w:t>年增加（减少）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万元。增加（减少）的主要原因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无</w:t>
      </w:r>
      <w:r>
        <w:rPr>
          <w:rFonts w:hint="eastAsia" w:ascii="仿宋_GB2312" w:hAnsi="宋体" w:eastAsia="仿宋_GB2312" w:cs="Courier New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6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黑体" w:hAnsi="Times New Roman" w:eastAsia="黑体" w:cs="黑体"/>
          <w:spacing w:val="-1"/>
          <w:kern w:val="0"/>
          <w:sz w:val="32"/>
          <w:szCs w:val="32"/>
        </w:rPr>
        <w:t>九、其他重要事项的情况说明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楷体" w:hAnsi="楷体" w:eastAsia="楷体" w:cs="Courier New"/>
          <w:sz w:val="32"/>
          <w:szCs w:val="32"/>
          <w:highlight w:val="none"/>
        </w:rPr>
      </w:pPr>
      <w:r>
        <w:rPr>
          <w:rFonts w:hint="eastAsia" w:ascii="楷体" w:hAnsi="楷体" w:eastAsia="楷体" w:cs="仿宋_GB2312"/>
          <w:kern w:val="0"/>
          <w:sz w:val="32"/>
          <w:szCs w:val="32"/>
          <w:highlight w:val="none"/>
        </w:rPr>
        <w:t>（一）行政（事业）单位机构运转经费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800" w:firstLineChars="250"/>
        <w:textAlignment w:val="auto"/>
        <w:rPr>
          <w:rFonts w:hint="eastAsia" w:ascii="楷体" w:hAnsi="楷体" w:eastAsia="楷体"/>
          <w:sz w:val="32"/>
          <w:szCs w:val="32"/>
          <w:highlight w:val="yellow"/>
        </w:rPr>
      </w:pPr>
      <w:r>
        <w:rPr>
          <w:rFonts w:hint="eastAsia" w:ascii="Times New Roman" w:hAnsi="仿宋_GB2312" w:eastAsia="仿宋_GB2312" w:cs="Times New Roman"/>
          <w:sz w:val="32"/>
          <w:szCs w:val="32"/>
        </w:rPr>
        <w:t>新乡市</w:t>
      </w:r>
      <w:r>
        <w:rPr>
          <w:rFonts w:ascii="Times New Roman" w:hAnsi="仿宋_GB2312" w:eastAsia="仿宋_GB2312" w:cs="Times New Roman"/>
          <w:sz w:val="32"/>
          <w:szCs w:val="32"/>
        </w:rPr>
        <w:t>卫滨区</w:t>
      </w:r>
      <w:r>
        <w:rPr>
          <w:rFonts w:hint="eastAsia" w:ascii="Times New Roman" w:hAnsi="仿宋_GB2312" w:eastAsia="仿宋_GB2312" w:cs="Times New Roman"/>
          <w:sz w:val="32"/>
          <w:szCs w:val="32"/>
        </w:rPr>
        <w:t>国库支付中心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Courier New"/>
          <w:sz w:val="32"/>
          <w:szCs w:val="32"/>
        </w:rPr>
        <w:t>年机关运行经费支出预算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5.86</w:t>
      </w:r>
      <w:r>
        <w:rPr>
          <w:rFonts w:hint="eastAsia" w:ascii="仿宋_GB2312" w:hAnsi="宋体" w:eastAsia="仿宋_GB2312" w:cs="Courier New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</w:rPr>
        <w:t>主要保障机关机构正常运转及正常履职需要，</w:t>
      </w:r>
      <w:r>
        <w:rPr>
          <w:rFonts w:hint="eastAsia" w:ascii="仿宋_GB2312" w:hAnsi="宋体" w:eastAsia="仿宋_GB2312" w:cs="Courier New"/>
          <w:sz w:val="32"/>
          <w:szCs w:val="32"/>
        </w:rPr>
        <w:t>主要包括办公费、印刷费、水费、电费、邮电费、取暖费、物业管理费、差旅费、维修（护）费、会议费、专用材料费、被装购置费、办公设备购置、福利费、公务用车运行维护费等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楷体" w:hAnsi="楷体" w:eastAsia="楷体" w:cs="仿宋_GB2312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kern w:val="0"/>
          <w:sz w:val="32"/>
          <w:szCs w:val="32"/>
        </w:rPr>
        <w:t>（二）政府采购支出情况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楷体_GB2312" w:hAnsi="Times New Roman" w:eastAsia="楷体_GB2312" w:cs="仿宋_GB2312"/>
          <w:b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年政府采购预算安排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万元，其中：政府采购货物预算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万元、政府采购工程预算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万元、政府采购服务预算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楷体" w:hAnsi="楷体" w:eastAsia="楷体" w:cs="仿宋_GB2312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kern w:val="0"/>
          <w:sz w:val="32"/>
          <w:szCs w:val="32"/>
          <w:lang w:eastAsia="zh-CN"/>
        </w:rPr>
        <w:t>绩效目标设置及</w:t>
      </w:r>
      <w:r>
        <w:rPr>
          <w:rFonts w:hint="eastAsia" w:ascii="楷体" w:hAnsi="楷体" w:eastAsia="楷体" w:cs="仿宋_GB2312"/>
          <w:kern w:val="0"/>
          <w:sz w:val="32"/>
          <w:szCs w:val="32"/>
        </w:rPr>
        <w:t>预算绩效管理工作开展情况</w:t>
      </w:r>
    </w:p>
    <w:p>
      <w:pPr>
        <w:pStyle w:val="2"/>
        <w:ind w:firstLine="640" w:firstLineChars="200"/>
        <w:rPr>
          <w:rFonts w:hint="eastAsia" w:ascii="仿宋_GB2312" w:hAnsi="Times New Roman" w:eastAsia="仿宋_GB2312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我单位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年未开展重点项目预算的绩效目标。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Courier New"/>
          <w:sz w:val="32"/>
          <w:szCs w:val="32"/>
        </w:rPr>
        <w:t>年，共组织对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个项目进行了预算绩效评价，涉及资金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万元，</w:t>
      </w:r>
      <w:r>
        <w:rPr>
          <w:rFonts w:hint="eastAsia" w:ascii="仿宋_GB2312" w:hAnsi="Times New Roman" w:eastAsia="仿宋_GB2312" w:cs="黑体"/>
          <w:sz w:val="32"/>
          <w:szCs w:val="32"/>
        </w:rPr>
        <w:t>绩效评价结果显示，项目支出绩效情况较为理想，达到了项目申请时设定的各项绩效目标</w:t>
      </w:r>
      <w:r>
        <w:rPr>
          <w:rFonts w:hint="eastAsia" w:ascii="仿宋_GB2312" w:hAnsi="宋体" w:eastAsia="仿宋_GB2312" w:cs="Courier New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Courier New"/>
          <w:color w:val="auto"/>
          <w:sz w:val="32"/>
          <w:szCs w:val="32"/>
        </w:rPr>
        <w:t>年</w:t>
      </w:r>
      <w:r>
        <w:rPr>
          <w:rFonts w:hint="eastAsia" w:ascii="仿宋_GB2312" w:hAnsi="宋体" w:eastAsia="仿宋_GB2312" w:cs="Courier New"/>
          <w:sz w:val="32"/>
          <w:szCs w:val="32"/>
        </w:rPr>
        <w:t>，拟组织对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个项目进行预算绩效评价，涉及资金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楷体" w:hAnsi="楷体" w:eastAsia="楷体" w:cs="仿宋_GB2312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kern w:val="0"/>
          <w:sz w:val="32"/>
          <w:szCs w:val="32"/>
        </w:rPr>
        <w:t>（四）国有资产占用情况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Courier New"/>
          <w:sz w:val="32"/>
          <w:szCs w:val="32"/>
        </w:rPr>
        <w:t>年资产总额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18.9</w:t>
      </w:r>
      <w:r>
        <w:rPr>
          <w:rFonts w:hint="eastAsia" w:ascii="仿宋_GB2312" w:hAnsi="宋体" w:eastAsia="仿宋_GB2312" w:cs="Courier New"/>
          <w:sz w:val="32"/>
          <w:szCs w:val="32"/>
        </w:rPr>
        <w:t>万元，较上年，</w:t>
      </w:r>
      <w:r>
        <w:rPr>
          <w:rFonts w:hint="eastAsia" w:ascii="仿宋_GB2312" w:hAnsi="宋体" w:eastAsia="仿宋_GB2312" w:cs="Courier New"/>
          <w:color w:val="000000"/>
          <w:sz w:val="32"/>
          <w:szCs w:val="32"/>
        </w:rPr>
        <w:t>增长</w:t>
      </w:r>
      <w:r>
        <w:rPr>
          <w:rFonts w:hint="eastAsia" w:ascii="仿宋_GB2312" w:hAnsi="宋体" w:eastAsia="仿宋_GB2312" w:cs="Courier New"/>
          <w:color w:val="000000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仿宋_GB2312" w:hAnsi="宋体" w:eastAsia="仿宋_GB2312" w:cs="Courier New"/>
          <w:sz w:val="32"/>
          <w:szCs w:val="32"/>
        </w:rPr>
        <w:t>。其中：固定资产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18.9</w:t>
      </w:r>
      <w:r>
        <w:rPr>
          <w:rFonts w:hint="eastAsia" w:ascii="仿宋_GB2312" w:hAnsi="宋体" w:eastAsia="仿宋_GB2312" w:cs="Courier New"/>
          <w:sz w:val="32"/>
          <w:szCs w:val="32"/>
        </w:rPr>
        <w:t>万元，无形资产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万元。</w:t>
      </w:r>
      <w:r>
        <w:rPr>
          <w:rFonts w:hint="eastAsia" w:ascii="仿宋_GB2312" w:hAnsi="宋体" w:eastAsia="仿宋_GB2312" w:cs="Courier New"/>
          <w:color w:val="000000"/>
          <w:sz w:val="32"/>
          <w:szCs w:val="32"/>
        </w:rPr>
        <w:t>增长/下降</w:t>
      </w:r>
      <w:r>
        <w:rPr>
          <w:rFonts w:hint="eastAsia" w:ascii="仿宋_GB2312" w:hAnsi="宋体" w:eastAsia="仿宋_GB2312" w:cs="Courier New"/>
          <w:sz w:val="32"/>
          <w:szCs w:val="32"/>
        </w:rPr>
        <w:t>主要原因：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无</w:t>
      </w:r>
      <w:r>
        <w:rPr>
          <w:rFonts w:hint="eastAsia" w:ascii="仿宋_GB2312" w:hAnsi="宋体" w:eastAsia="仿宋_GB2312" w:cs="Courier New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Courier New"/>
          <w:sz w:val="32"/>
          <w:szCs w:val="32"/>
        </w:rPr>
        <w:t>年期末，</w:t>
      </w:r>
      <w:r>
        <w:rPr>
          <w:rFonts w:hint="eastAsia" w:ascii="Times New Roman" w:hAnsi="仿宋_GB2312" w:eastAsia="仿宋_GB2312" w:cs="Times New Roman"/>
          <w:sz w:val="32"/>
          <w:szCs w:val="32"/>
        </w:rPr>
        <w:t>新乡市</w:t>
      </w:r>
      <w:r>
        <w:rPr>
          <w:rFonts w:ascii="Times New Roman" w:hAnsi="仿宋_GB2312" w:eastAsia="仿宋_GB2312" w:cs="Times New Roman"/>
          <w:sz w:val="32"/>
          <w:szCs w:val="32"/>
        </w:rPr>
        <w:t>卫滨区</w:t>
      </w:r>
      <w:r>
        <w:rPr>
          <w:rFonts w:hint="eastAsia" w:ascii="Times New Roman" w:hAnsi="仿宋_GB2312" w:eastAsia="仿宋_GB2312" w:cs="Times New Roman"/>
          <w:sz w:val="32"/>
          <w:szCs w:val="32"/>
        </w:rPr>
        <w:t>国库支付中心</w:t>
      </w:r>
      <w:r>
        <w:rPr>
          <w:rFonts w:hint="eastAsia" w:ascii="仿宋_GB2312" w:hAnsi="宋体" w:eastAsia="仿宋_GB2312" w:cs="Courier New"/>
          <w:sz w:val="32"/>
          <w:szCs w:val="32"/>
        </w:rPr>
        <w:t>共有车辆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辆，其中：一般公务用车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辆、一般执法执勤用车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辆、特种专业技术用车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辆，其他用车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辆，其他用车主要是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无</w:t>
      </w:r>
      <w:r>
        <w:rPr>
          <w:rFonts w:hint="eastAsia" w:ascii="仿宋_GB2312" w:hAnsi="宋体" w:eastAsia="仿宋_GB2312" w:cs="Courier New"/>
          <w:sz w:val="32"/>
          <w:szCs w:val="32"/>
        </w:rPr>
        <w:t>；单价</w:t>
      </w:r>
      <w:r>
        <w:rPr>
          <w:rFonts w:hint="default" w:ascii="Times New Roman" w:hAnsi="Times New Roman" w:eastAsia="仿宋_GB2312" w:cs="Times New Roman"/>
          <w:sz w:val="32"/>
          <w:szCs w:val="32"/>
        </w:rPr>
        <w:t>50</w:t>
      </w:r>
      <w:r>
        <w:rPr>
          <w:rFonts w:hint="eastAsia" w:ascii="仿宋_GB2312" w:hAnsi="宋体" w:eastAsia="仿宋_GB2312" w:cs="Courier New"/>
          <w:sz w:val="32"/>
          <w:szCs w:val="32"/>
        </w:rPr>
        <w:t>万元以上通用设备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台（套），单位价值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100</w:t>
      </w:r>
      <w:r>
        <w:rPr>
          <w:rFonts w:hint="eastAsia" w:ascii="仿宋_GB2312" w:hAnsi="宋体" w:eastAsia="仿宋_GB2312" w:cs="Courier New"/>
          <w:sz w:val="32"/>
          <w:szCs w:val="32"/>
        </w:rPr>
        <w:t>万元以上专用设备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台（套）。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楷体" w:hAnsi="楷体" w:eastAsia="楷体" w:cs="仿宋_GB2312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kern w:val="0"/>
          <w:sz w:val="32"/>
          <w:szCs w:val="32"/>
        </w:rPr>
        <w:t>（五）支出预算经济分类情况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Times New Roman" w:hAnsi="仿宋_GB2312" w:eastAsia="仿宋_GB2312" w:cs="Times New Roman"/>
          <w:sz w:val="32"/>
          <w:szCs w:val="32"/>
        </w:rPr>
        <w:t>新乡市</w:t>
      </w:r>
      <w:r>
        <w:rPr>
          <w:rFonts w:ascii="Times New Roman" w:hAnsi="仿宋_GB2312" w:eastAsia="仿宋_GB2312" w:cs="Times New Roman"/>
          <w:sz w:val="32"/>
          <w:szCs w:val="32"/>
        </w:rPr>
        <w:t>卫滨区</w:t>
      </w:r>
      <w:r>
        <w:rPr>
          <w:rFonts w:hint="eastAsia" w:ascii="Times New Roman" w:hAnsi="仿宋_GB2312" w:eastAsia="仿宋_GB2312" w:cs="Times New Roman"/>
          <w:sz w:val="32"/>
          <w:szCs w:val="32"/>
        </w:rPr>
        <w:t>国库支付中心</w:t>
      </w:r>
      <w:r>
        <w:rPr>
          <w:rFonts w:hint="eastAsia" w:ascii="仿宋_GB2312" w:hAnsi="宋体" w:eastAsia="仿宋_GB2312" w:cs="Courier New"/>
          <w:sz w:val="32"/>
          <w:szCs w:val="32"/>
        </w:rPr>
        <w:t>单位按照《财政部关于印发&lt;支出经济分类科目改革方案&gt;的通知》(财预〔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2018</w:t>
      </w:r>
      <w:r>
        <w:rPr>
          <w:rFonts w:hint="eastAsia" w:ascii="仿宋_GB2312" w:hAnsi="宋体" w:eastAsia="仿宋_GB2312" w:cs="Courier New"/>
          <w:sz w:val="32"/>
          <w:szCs w:val="32"/>
        </w:rPr>
        <w:t>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98</w:t>
      </w:r>
      <w:r>
        <w:rPr>
          <w:rFonts w:hint="eastAsia" w:ascii="仿宋_GB2312" w:hAnsi="宋体" w:eastAsia="仿宋_GB2312" w:cs="Courier New"/>
          <w:sz w:val="32"/>
          <w:szCs w:val="32"/>
        </w:rPr>
        <w:t>号)要求，从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2018</w:t>
      </w:r>
      <w:r>
        <w:rPr>
          <w:rFonts w:hint="eastAsia" w:ascii="仿宋_GB2312" w:hAnsi="宋体" w:eastAsia="仿宋_GB2312" w:cs="Courier New"/>
          <w:sz w:val="32"/>
          <w:szCs w:val="32"/>
        </w:rPr>
        <w:t>年起全面实施支出经济分类科目改革，根据政府预算管理和部门预算管理的不同特点，分设部门预算支出经济分类科目和政府预算支出经济分类科目，两套科目之间保持对应关系。为适应改革要求，</w:t>
      </w:r>
      <w:r>
        <w:rPr>
          <w:rFonts w:hint="eastAsia" w:ascii="Times New Roman" w:hAnsi="仿宋_GB2312" w:eastAsia="仿宋_GB2312" w:cs="Times New Roman"/>
          <w:sz w:val="32"/>
          <w:szCs w:val="32"/>
        </w:rPr>
        <w:t>新乡市</w:t>
      </w:r>
      <w:r>
        <w:rPr>
          <w:rFonts w:ascii="Times New Roman" w:hAnsi="仿宋_GB2312" w:eastAsia="仿宋_GB2312" w:cs="Times New Roman"/>
          <w:sz w:val="32"/>
          <w:szCs w:val="32"/>
        </w:rPr>
        <w:t>卫滨区</w:t>
      </w:r>
      <w:r>
        <w:rPr>
          <w:rFonts w:hint="eastAsia" w:ascii="Times New Roman" w:hAnsi="仿宋_GB2312" w:eastAsia="仿宋_GB2312" w:cs="Times New Roman"/>
          <w:sz w:val="32"/>
          <w:szCs w:val="32"/>
        </w:rPr>
        <w:t>国库支付中心</w:t>
      </w:r>
      <w:r>
        <w:rPr>
          <w:rFonts w:hint="eastAsia" w:ascii="仿宋_GB2312" w:hAnsi="宋体" w:eastAsia="仿宋_GB2312" w:cs="Courier New"/>
          <w:sz w:val="32"/>
          <w:szCs w:val="32"/>
          <w:highlight w:val="none"/>
        </w:rPr>
        <w:t>单位</w:t>
      </w:r>
      <w:r>
        <w:rPr>
          <w:rFonts w:hint="eastAsia" w:ascii="仿宋_GB2312" w:hAnsi="宋体" w:eastAsia="仿宋_GB2312" w:cs="Courier New"/>
          <w:sz w:val="32"/>
          <w:szCs w:val="32"/>
          <w:highlight w:val="none"/>
          <w:lang w:eastAsia="zh-CN"/>
        </w:rPr>
        <w:t>《支出经济分类汇总表》从 2018年起从仅反映一般公共预算基本支出经济分类科目预算调整为按</w:t>
      </w:r>
      <w:r>
        <w:rPr>
          <w:rFonts w:hint="eastAsia" w:ascii="仿宋_GB2312" w:hAnsi="宋体" w:eastAsia="仿宋_GB2312" w:cs="Courier New"/>
          <w:sz w:val="32"/>
          <w:szCs w:val="32"/>
          <w:highlight w:val="none"/>
        </w:rPr>
        <w:t>两套经济分类科目分别反映</w:t>
      </w:r>
      <w:r>
        <w:rPr>
          <w:rFonts w:hint="eastAsia" w:ascii="仿宋_GB2312" w:hAnsi="宋体" w:eastAsia="仿宋_GB2312" w:cs="Courier New"/>
          <w:sz w:val="32"/>
          <w:szCs w:val="32"/>
        </w:rPr>
        <w:t>不同资金来源的全部预算支出。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名词解释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一、财政拨款收入：是指区级财政当年拨付的资金。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二、事业收入：是指事业单位开展专业活动及辅助活动所取得的收入。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 xml:space="preserve">三、单位其他收入：是指部门取得的除“财政拨款”、“事业收入”、“事业单位经营收入”等以外的收入。 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四、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支差额的基金）弥补当年收支缺口的资金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五、基本支出：是指为保障机构正常运转、完成日常工作任务所必需的开支，其内容包括人员经费和日常公用经费两部分。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六、项目支出：是指在基本支出之外，为完成特定的行政工作任务或事业发展目标所发生的支出。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七、“三公”经费：是指纳入省级财政预算管理，部门使用财政拨款安排的因公出国（境）费、公务用车购置及运行费和公务接待费。其中，因公出国（境）费，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，反映单位按规定开支的各类公务接待（含外宾接待）支出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八、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黑体" w:hAnsi="Times New Roman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560" w:lineRule="exact"/>
        <w:textAlignment w:val="auto"/>
        <w:rPr>
          <w:rFonts w:hint="eastAsia" w:ascii="黑体" w:hAnsi="Times New Roman" w:eastAsia="黑体" w:cs="黑体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附件：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黑体" w:hAnsi="Times New Roman" w:eastAsia="黑体" w:cs="黑体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新乡市</w:t>
      </w:r>
      <w:r>
        <w:rPr>
          <w:rFonts w:hint="eastAsia" w:ascii="黑体" w:hAnsi="黑体" w:eastAsia="黑体" w:cs="黑体"/>
          <w:sz w:val="32"/>
          <w:szCs w:val="32"/>
        </w:rPr>
        <w:t>卫滨区**</w:t>
      </w:r>
      <w:r>
        <w:rPr>
          <w:rFonts w:hint="eastAsia" w:ascii="黑体" w:hAnsi="Times New Roman" w:eastAsia="黑体" w:cs="黑体"/>
          <w:sz w:val="32"/>
          <w:szCs w:val="32"/>
        </w:rPr>
        <w:t>（汇总</w:t>
      </w:r>
      <w:r>
        <w:rPr>
          <w:rFonts w:hint="eastAsia" w:ascii="黑体" w:hAnsi="Times New Roman" w:eastAsia="黑体" w:cs="黑体"/>
          <w:sz w:val="32"/>
          <w:szCs w:val="32"/>
          <w:lang w:eastAsia="zh-CN"/>
        </w:rPr>
        <w:t>）</w:t>
      </w:r>
      <w:r>
        <w:rPr>
          <w:rFonts w:hint="eastAsia" w:ascii="黑体" w:hAnsi="Times New Roman" w:eastAsia="黑体" w:cs="黑体"/>
          <w:sz w:val="32"/>
          <w:szCs w:val="32"/>
        </w:rPr>
        <w:t>/本级</w:t>
      </w:r>
      <w:r>
        <w:rPr>
          <w:rFonts w:hint="default" w:ascii="Times New Roman" w:hAnsi="Times New Roman" w:eastAsia="黑体" w:cs="Times New Roman"/>
          <w:sz w:val="32"/>
          <w:szCs w:val="32"/>
        </w:rPr>
        <w:t>202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  <w:r>
        <w:rPr>
          <w:rFonts w:hint="eastAsia" w:ascii="黑体" w:hAnsi="Times New Roman" w:eastAsia="黑体" w:cs="黑体"/>
          <w:sz w:val="32"/>
          <w:szCs w:val="32"/>
        </w:rPr>
        <w:t>年度部门预算表</w:t>
      </w:r>
    </w:p>
    <w:p>
      <w:pPr>
        <w:kinsoku w:val="0"/>
        <w:overflowPunct w:val="0"/>
        <w:adjustRightInd w:val="0"/>
        <w:snapToGrid w:val="0"/>
        <w:spacing w:line="560" w:lineRule="exact"/>
        <w:ind w:firstLine="640" w:firstLineChars="200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  <w:sectPr>
          <w:pgSz w:w="11906" w:h="16838"/>
          <w:pgMar w:top="1440" w:right="1700" w:bottom="1440" w:left="1560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W w:w="924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9"/>
        <w:gridCol w:w="1540"/>
        <w:gridCol w:w="3081"/>
        <w:gridCol w:w="15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预算01表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2024年部门收支总体情况表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700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部门名称：新乡市卫滨区财政局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收入</w:t>
            </w:r>
          </w:p>
        </w:tc>
        <w:tc>
          <w:tcPr>
            <w:tcW w:w="46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项目  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金额  </w:t>
            </w: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项目  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一、一般公共预算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一、一般公共服务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47.58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二、外交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二、政府性基金预算拨款收入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三、国防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三、国有资本经营预算拨款收入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四、公共安全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四、财政专户管理资金收入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五、教育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五、事业收入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六、科学技术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六、事业单位经营收入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七、文化旅游体育与传媒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七、上级补助收入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八、社会保障和就业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八、附属单位上缴收入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九、社会保险基金支出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九、其他收入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十、卫生健康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十一、节能环保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十二、城乡社区事务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十三、农林水事务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十四、交通运输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十五、资源勘探信息等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十六、商业服务业等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十七、金融支出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十九、援助其他地区支出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二十、自然资源海洋气象等支出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二十一、住房保障支出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二十二、粮油物资储备支出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二十三、国有资本经营预算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二十四、灾害防治及应急管理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二十七、预备费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二十九、其他支出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三十、转移性支出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三十一、债务还本支出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三十二、债务付息支出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三十三、债务发行费用支出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三十四、抗疫特别国债安排的支出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 年 收 入 合 计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 年 支 出 合 计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上年结转结余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年终结转结余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07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收 入 总 计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30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 出 总 计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  <w:sectPr>
          <w:pgSz w:w="11906" w:h="16838"/>
          <w:pgMar w:top="1440" w:right="1700" w:bottom="1440" w:left="1560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W w:w="1560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2236"/>
        <w:gridCol w:w="858"/>
        <w:gridCol w:w="858"/>
        <w:gridCol w:w="858"/>
        <w:gridCol w:w="858"/>
        <w:gridCol w:w="613"/>
        <w:gridCol w:w="613"/>
        <w:gridCol w:w="613"/>
        <w:gridCol w:w="613"/>
        <w:gridCol w:w="613"/>
        <w:gridCol w:w="613"/>
        <w:gridCol w:w="614"/>
        <w:gridCol w:w="614"/>
        <w:gridCol w:w="613"/>
        <w:gridCol w:w="613"/>
        <w:gridCol w:w="613"/>
        <w:gridCol w:w="613"/>
        <w:gridCol w:w="614"/>
        <w:gridCol w:w="6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6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预算02表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60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2024年部门收入总体情况表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98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部门名称：新乡市卫滨区财政局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部门（单位）代码</w:t>
            </w:r>
          </w:p>
        </w:tc>
        <w:tc>
          <w:tcPr>
            <w:tcW w:w="22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部门（单位）名称</w:t>
            </w:r>
          </w:p>
        </w:tc>
        <w:tc>
          <w:tcPr>
            <w:tcW w:w="8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总计</w:t>
            </w:r>
          </w:p>
        </w:tc>
        <w:tc>
          <w:tcPr>
            <w:tcW w:w="748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本年收入</w:t>
            </w:r>
          </w:p>
        </w:tc>
        <w:tc>
          <w:tcPr>
            <w:tcW w:w="368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上年结转结余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17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61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政府性基金</w:t>
            </w:r>
          </w:p>
        </w:tc>
        <w:tc>
          <w:tcPr>
            <w:tcW w:w="61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国有资本经营预算</w:t>
            </w:r>
          </w:p>
        </w:tc>
        <w:tc>
          <w:tcPr>
            <w:tcW w:w="61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财政专户管理资金收入</w:t>
            </w:r>
          </w:p>
        </w:tc>
        <w:tc>
          <w:tcPr>
            <w:tcW w:w="61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事业收入</w:t>
            </w:r>
          </w:p>
        </w:tc>
        <w:tc>
          <w:tcPr>
            <w:tcW w:w="61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事业单位经营收入</w:t>
            </w:r>
          </w:p>
        </w:tc>
        <w:tc>
          <w:tcPr>
            <w:tcW w:w="61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上级补助收入</w:t>
            </w:r>
          </w:p>
        </w:tc>
        <w:tc>
          <w:tcPr>
            <w:tcW w:w="61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附属单位上缴收入</w:t>
            </w:r>
          </w:p>
        </w:tc>
        <w:tc>
          <w:tcPr>
            <w:tcW w:w="61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其他收入  </w:t>
            </w:r>
          </w:p>
        </w:tc>
        <w:tc>
          <w:tcPr>
            <w:tcW w:w="61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61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61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政府性基金</w:t>
            </w:r>
          </w:p>
        </w:tc>
        <w:tc>
          <w:tcPr>
            <w:tcW w:w="61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国有资本经营预算</w:t>
            </w:r>
          </w:p>
        </w:tc>
        <w:tc>
          <w:tcPr>
            <w:tcW w:w="61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财政专户管理资金</w:t>
            </w:r>
          </w:p>
        </w:tc>
        <w:tc>
          <w:tcPr>
            <w:tcW w:w="61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3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6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4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6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4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020</w:t>
            </w:r>
          </w:p>
        </w:tc>
        <w:tc>
          <w:tcPr>
            <w:tcW w:w="2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新乡市卫滨区财政局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6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4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020002</w:t>
            </w:r>
          </w:p>
        </w:tc>
        <w:tc>
          <w:tcPr>
            <w:tcW w:w="22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新乡市卫滨区国库支付中心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8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6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</w:pP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tbl>
      <w:tblPr>
        <w:tblStyle w:val="5"/>
        <w:tblW w:w="1504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486"/>
        <w:gridCol w:w="486"/>
        <w:gridCol w:w="729"/>
        <w:gridCol w:w="2432"/>
        <w:gridCol w:w="1158"/>
        <w:gridCol w:w="1158"/>
        <w:gridCol w:w="1158"/>
        <w:gridCol w:w="1158"/>
        <w:gridCol w:w="1158"/>
        <w:gridCol w:w="1158"/>
        <w:gridCol w:w="1158"/>
        <w:gridCol w:w="1158"/>
        <w:gridCol w:w="11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04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预算03表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04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2024年部门支出总体情况表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8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部门名称：新乡市卫滨区财政局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5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科目编码</w:t>
            </w:r>
          </w:p>
        </w:tc>
        <w:tc>
          <w:tcPr>
            <w:tcW w:w="7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单位代码</w:t>
            </w:r>
          </w:p>
        </w:tc>
        <w:tc>
          <w:tcPr>
            <w:tcW w:w="24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单位（科目名称）</w:t>
            </w:r>
          </w:p>
        </w:tc>
        <w:tc>
          <w:tcPr>
            <w:tcW w:w="11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579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基本支出  </w:t>
            </w:r>
          </w:p>
        </w:tc>
        <w:tc>
          <w:tcPr>
            <w:tcW w:w="347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5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23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人员经费</w:t>
            </w:r>
          </w:p>
        </w:tc>
        <w:tc>
          <w:tcPr>
            <w:tcW w:w="23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公用经费</w:t>
            </w:r>
          </w:p>
        </w:tc>
        <w:tc>
          <w:tcPr>
            <w:tcW w:w="115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115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其他运转类</w:t>
            </w:r>
          </w:p>
        </w:tc>
        <w:tc>
          <w:tcPr>
            <w:tcW w:w="115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特定目标类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4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类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款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7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对个人和家庭的补助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资本性支出</w:t>
            </w:r>
          </w:p>
        </w:tc>
        <w:tc>
          <w:tcPr>
            <w:tcW w:w="115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54.13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2.67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5.86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020</w:t>
            </w:r>
          </w:p>
        </w:tc>
        <w:tc>
          <w:tcPr>
            <w:tcW w:w="2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新乡市卫滨区财政局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54.13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2.67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5.86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06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行政运行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47.58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47.58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39.05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2.67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5.86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05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05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机关事业单位基本养老保险缴费支出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6.85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6.85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6.85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行政单位医疗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2.78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2.78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2.78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事业单位医疗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221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住房公积金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5.22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5.22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5.22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  <w:sectPr>
          <w:pgSz w:w="16838" w:h="11906" w:orient="landscape"/>
          <w:pgMar w:top="1559" w:right="567" w:bottom="1701" w:left="567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W w:w="10494" w:type="dxa"/>
        <w:tblInd w:w="-8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8"/>
        <w:gridCol w:w="1005"/>
        <w:gridCol w:w="2109"/>
        <w:gridCol w:w="1054"/>
        <w:gridCol w:w="1054"/>
        <w:gridCol w:w="1054"/>
        <w:gridCol w:w="1055"/>
        <w:gridCol w:w="10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4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预算04表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4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2024年财政拨款收支总体情况表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94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部门名称：新乡市卫滨区财政局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31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收入  </w:t>
            </w:r>
          </w:p>
        </w:tc>
        <w:tc>
          <w:tcPr>
            <w:tcW w:w="738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支出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0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项 目  </w:t>
            </w:r>
          </w:p>
        </w:tc>
        <w:tc>
          <w:tcPr>
            <w:tcW w:w="100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　额</w:t>
            </w:r>
          </w:p>
        </w:tc>
        <w:tc>
          <w:tcPr>
            <w:tcW w:w="210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项 目  </w:t>
            </w:r>
          </w:p>
        </w:tc>
        <w:tc>
          <w:tcPr>
            <w:tcW w:w="10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21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一般公共预算  </w:t>
            </w:r>
          </w:p>
        </w:tc>
        <w:tc>
          <w:tcPr>
            <w:tcW w:w="105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政府性基金  </w:t>
            </w:r>
          </w:p>
        </w:tc>
        <w:tc>
          <w:tcPr>
            <w:tcW w:w="105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国有资本经营预算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0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10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小计  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05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一、本年收入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一、本年支出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（一）一般公共预算拨款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（一）一般公共服务支出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47.58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47.58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47.58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其中：财政拨款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（二）外交支出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（二）政府性基金预算拨款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（三）国防支出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（三）国有资本经营预算拨款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（四）公共安全支出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二、上年结转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（五）教育支出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（一）一般公共预算拨款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（六）科学技术支出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（二）政府性基金预算拨款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（七）文化体育旅游与传媒支出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（三）国有资本经营预算拨款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（八）社会保障和就业支出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6.85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6.85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6.85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（九）医疗卫生与计划生育支出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（十）卫生健康支出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3.01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3.01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3.01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（十一）节能环保支出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（十二）城乡社区事务支出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（十三）农林水事务支出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（十四）交通运输支出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（十五）资源勘探信息等支出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（十六）商业服务业等支出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（十七）金融支出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（十九）援助其他地区支出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（二十）自然资源海洋气象等支出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（二十一）住房保障支出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5.22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5.22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5.22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（二十二）粮油物资储备支出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（二十三）国有资本经营预算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（二十四）灾害防治及应急管理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（二十七）预备费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（二十九）其他支出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（三十）转移性支出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（三十一）债务还本支出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（三十二）债务付息支出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（三十三）债务发行费用支出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（三十四）抗疫特别国债安排的支出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二、年终结转结余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1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收入合计：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210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支出合计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cs="宋体"/>
                <w:kern w:val="0"/>
                <w:sz w:val="15"/>
                <w:szCs w:val="15"/>
                <w:highlight w:val="none"/>
              </w:rPr>
            </w:pP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  <w:sectPr>
          <w:pgSz w:w="11906" w:h="16838"/>
          <w:pgMar w:top="567" w:right="1701" w:bottom="567" w:left="1559" w:header="851" w:footer="992" w:gutter="0"/>
          <w:cols w:space="720" w:num="1"/>
          <w:docGrid w:type="lines" w:linePitch="312" w:charSpace="0"/>
        </w:sect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tbl>
      <w:tblPr>
        <w:tblStyle w:val="5"/>
        <w:tblW w:w="153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"/>
        <w:gridCol w:w="472"/>
        <w:gridCol w:w="473"/>
        <w:gridCol w:w="708"/>
        <w:gridCol w:w="2363"/>
        <w:gridCol w:w="1476"/>
        <w:gridCol w:w="1476"/>
        <w:gridCol w:w="1125"/>
        <w:gridCol w:w="1126"/>
        <w:gridCol w:w="1125"/>
        <w:gridCol w:w="1126"/>
        <w:gridCol w:w="1126"/>
        <w:gridCol w:w="1126"/>
        <w:gridCol w:w="11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预算05表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3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2024年一般公共预算支出情况表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9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部门名称：新乡市卫滨区财政局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科目编码</w:t>
            </w:r>
          </w:p>
        </w:tc>
        <w:tc>
          <w:tcPr>
            <w:tcW w:w="7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单位代码</w:t>
            </w:r>
          </w:p>
        </w:tc>
        <w:tc>
          <w:tcPr>
            <w:tcW w:w="23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单位（科目名称）</w:t>
            </w:r>
          </w:p>
        </w:tc>
        <w:tc>
          <w:tcPr>
            <w:tcW w:w="14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59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基本支出  </w:t>
            </w:r>
          </w:p>
        </w:tc>
        <w:tc>
          <w:tcPr>
            <w:tcW w:w="337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1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7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225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人员经费</w:t>
            </w:r>
          </w:p>
        </w:tc>
        <w:tc>
          <w:tcPr>
            <w:tcW w:w="225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公用经费</w:t>
            </w:r>
          </w:p>
        </w:tc>
        <w:tc>
          <w:tcPr>
            <w:tcW w:w="112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112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其他运转类</w:t>
            </w:r>
          </w:p>
        </w:tc>
        <w:tc>
          <w:tcPr>
            <w:tcW w:w="112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特定目标类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4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类</w:t>
            </w:r>
          </w:p>
        </w:tc>
        <w:tc>
          <w:tcPr>
            <w:tcW w:w="4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款</w:t>
            </w:r>
          </w:p>
        </w:tc>
        <w:tc>
          <w:tcPr>
            <w:tcW w:w="4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7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7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对个人和家庭的补助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资本性支出</w:t>
            </w:r>
          </w:p>
        </w:tc>
        <w:tc>
          <w:tcPr>
            <w:tcW w:w="112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4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54.13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2.67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5.86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020</w:t>
            </w:r>
          </w:p>
        </w:tc>
        <w:tc>
          <w:tcPr>
            <w:tcW w:w="23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新乡市卫滨区财政局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54.13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2.67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5.86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</w:t>
            </w:r>
          </w:p>
        </w:tc>
        <w:tc>
          <w:tcPr>
            <w:tcW w:w="4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06</w:t>
            </w:r>
          </w:p>
        </w:tc>
        <w:tc>
          <w:tcPr>
            <w:tcW w:w="4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行政运行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47.58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47.58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39.05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2.67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5.86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208</w:t>
            </w:r>
          </w:p>
        </w:tc>
        <w:tc>
          <w:tcPr>
            <w:tcW w:w="4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机关事业单位基本养老保险缴费支出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6.85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6.85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</w:t>
            </w:r>
          </w:p>
        </w:tc>
        <w:tc>
          <w:tcPr>
            <w:tcW w:w="4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行政单位医疗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2.78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2.78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</w:t>
            </w:r>
          </w:p>
        </w:tc>
        <w:tc>
          <w:tcPr>
            <w:tcW w:w="4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4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事业单位医疗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221</w:t>
            </w:r>
          </w:p>
        </w:tc>
        <w:tc>
          <w:tcPr>
            <w:tcW w:w="4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</w:t>
            </w:r>
          </w:p>
        </w:tc>
        <w:tc>
          <w:tcPr>
            <w:tcW w:w="4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住房公积金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5.22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5.22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5.22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942" w:type="dxa"/>
            <w:gridSpan w:val="11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备注：本表仅含当年财政拨款安排的支出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tbl>
      <w:tblPr>
        <w:tblStyle w:val="5"/>
        <w:tblW w:w="1414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5"/>
        <w:gridCol w:w="2460"/>
        <w:gridCol w:w="1845"/>
        <w:gridCol w:w="2460"/>
        <w:gridCol w:w="1845"/>
        <w:gridCol w:w="1845"/>
        <w:gridCol w:w="18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41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预算06表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41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38"/>
                <w:szCs w:val="3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2024年一般公共预算基本支出表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3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部门名称：新乡市卫滨区财政局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4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部门预算支出经济分类科目</w:t>
            </w:r>
          </w:p>
        </w:tc>
        <w:tc>
          <w:tcPr>
            <w:tcW w:w="4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政府预算支出经济分类科目编码</w:t>
            </w:r>
          </w:p>
        </w:tc>
        <w:tc>
          <w:tcPr>
            <w:tcW w:w="55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本年一般公共预算基本支出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科目编码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科目编码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人员经费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公用经费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56.80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30302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退休费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50905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离退休费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2.67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2.67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30103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奖金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50501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1.70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1.70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30107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绩效工资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50501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30101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基本工资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50501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20.40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20.40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30102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津贴补贴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50501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14.85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14.85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30228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工会经费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50502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0.58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30299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其他商品和服务支出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50502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0.06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30201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办公费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50502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1.20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30206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电费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50502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30239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其他交通费用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50502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3.72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30108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机关事业单位基本养老保险缴费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50501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6.85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6.85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30110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职工基本医疗保险缴费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50102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社会保障缴费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2.78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2.78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30110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职工基本医疗保险缴费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50501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30113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住房公积金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50501</w:t>
            </w:r>
          </w:p>
        </w:tc>
        <w:tc>
          <w:tcPr>
            <w:tcW w:w="2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5.22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5.22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tbl>
      <w:tblPr>
        <w:tblStyle w:val="5"/>
        <w:tblW w:w="1969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492"/>
        <w:gridCol w:w="1477"/>
        <w:gridCol w:w="492"/>
        <w:gridCol w:w="492"/>
        <w:gridCol w:w="1477"/>
        <w:gridCol w:w="1020"/>
        <w:gridCol w:w="1231"/>
        <w:gridCol w:w="1231"/>
        <w:gridCol w:w="825"/>
        <w:gridCol w:w="825"/>
        <w:gridCol w:w="825"/>
        <w:gridCol w:w="825"/>
        <w:gridCol w:w="810"/>
        <w:gridCol w:w="810"/>
        <w:gridCol w:w="810"/>
        <w:gridCol w:w="810"/>
        <w:gridCol w:w="810"/>
        <w:gridCol w:w="39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969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预算07表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40" w:type="dxa"/>
          <w:trHeight w:val="286" w:hRule="atLeast"/>
        </w:trPr>
        <w:tc>
          <w:tcPr>
            <w:tcW w:w="157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预算07表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40" w:type="dxa"/>
          <w:trHeight w:val="569" w:hRule="atLeast"/>
        </w:trPr>
        <w:tc>
          <w:tcPr>
            <w:tcW w:w="157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38"/>
                <w:szCs w:val="38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8"/>
                <w:szCs w:val="38"/>
                <w:u w:val="none"/>
                <w:lang w:val="en-US" w:eastAsia="zh-CN" w:bidi="ar"/>
              </w:rPr>
              <w:t>2024年支出经济分类汇总表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40" w:type="dxa"/>
          <w:trHeight w:val="285" w:hRule="atLeast"/>
        </w:trPr>
        <w:tc>
          <w:tcPr>
            <w:tcW w:w="1494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部门名称：新乡市卫滨区财政局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40" w:type="dxa"/>
          <w:trHeight w:val="285" w:hRule="atLeast"/>
        </w:trPr>
        <w:tc>
          <w:tcPr>
            <w:tcW w:w="24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部门预算经济分类  </w:t>
            </w:r>
          </w:p>
        </w:tc>
        <w:tc>
          <w:tcPr>
            <w:tcW w:w="24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政府预算经济分类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总计</w:t>
            </w:r>
          </w:p>
        </w:tc>
        <w:tc>
          <w:tcPr>
            <w:tcW w:w="2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政府性基金</w:t>
            </w:r>
          </w:p>
        </w:tc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国有资本经营预算</w:t>
            </w:r>
          </w:p>
        </w:tc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上年结转结余</w:t>
            </w:r>
          </w:p>
        </w:tc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财政专户管理资金收入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事业收入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上级补助收入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附属单位上缴收入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事业单位经营收入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其他收入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40" w:type="dxa"/>
          <w:trHeight w:val="455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类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款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类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款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40" w:type="dxa"/>
          <w:trHeight w:val="325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40" w:type="dxa"/>
          <w:trHeight w:val="452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020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新乡市卫滨区财政局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40" w:type="dxa"/>
          <w:trHeight w:val="285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303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退休费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509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05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离退休费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2.67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2.67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2.67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40" w:type="dxa"/>
          <w:trHeight w:val="285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奖金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1.70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1.70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40" w:type="dxa"/>
          <w:trHeight w:val="285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07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绩效工资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2.10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40" w:type="dxa"/>
          <w:trHeight w:val="285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基本工资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20.40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20.40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20.40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40" w:type="dxa"/>
          <w:trHeight w:val="285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津贴补贴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14.85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14.85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14.85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40" w:type="dxa"/>
          <w:trHeight w:val="285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工会经费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0.58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0.58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40" w:type="dxa"/>
          <w:trHeight w:val="452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其他商品和服务支出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0.06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0.06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40" w:type="dxa"/>
          <w:trHeight w:val="285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办公费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1.20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1.20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40" w:type="dxa"/>
          <w:trHeight w:val="285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06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电费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40" w:type="dxa"/>
          <w:trHeight w:val="285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302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其他交通费用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3.72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3.72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40" w:type="dxa"/>
          <w:trHeight w:val="452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08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机关事业单位基本养老保险缴费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6.85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6.85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40" w:type="dxa"/>
          <w:trHeight w:val="452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职工基本医疗保险缴费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501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02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社会保障缴费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2.78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2.78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40" w:type="dxa"/>
          <w:trHeight w:val="452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职工基本医疗保险缴费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40" w:type="dxa"/>
          <w:trHeight w:val="285" w:hRule="atLeast"/>
        </w:trPr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301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住房公积金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505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5.22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5.22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5.22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tbl>
      <w:tblPr>
        <w:tblStyle w:val="5"/>
        <w:tblW w:w="13032" w:type="dxa"/>
        <w:tblInd w:w="11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2"/>
        <w:gridCol w:w="1785"/>
        <w:gridCol w:w="1875"/>
        <w:gridCol w:w="2340"/>
        <w:gridCol w:w="2340"/>
        <w:gridCol w:w="2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0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预算08表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0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  <w:t>202</w:t>
            </w: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  <w:t>年一般公共预算“三公”经费</w:t>
            </w: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  <w:lang w:eastAsia="zh-CN"/>
              </w:rPr>
              <w:t>支出情况</w:t>
            </w: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  <w:t>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部门名称:</w:t>
            </w:r>
          </w:p>
        </w:tc>
        <w:tc>
          <w:tcPr>
            <w:tcW w:w="8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“三公”经费合计</w:t>
            </w:r>
          </w:p>
        </w:tc>
        <w:tc>
          <w:tcPr>
            <w:tcW w:w="17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因公出国（境）费</w:t>
            </w:r>
          </w:p>
        </w:tc>
        <w:tc>
          <w:tcPr>
            <w:tcW w:w="65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公务用车购置及运行费</w:t>
            </w:r>
          </w:p>
        </w:tc>
        <w:tc>
          <w:tcPr>
            <w:tcW w:w="2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公务接待费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公务用车购置费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公务用车运行费</w:t>
            </w:r>
          </w:p>
        </w:tc>
        <w:tc>
          <w:tcPr>
            <w:tcW w:w="2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</w:trPr>
        <w:tc>
          <w:tcPr>
            <w:tcW w:w="130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注：按照党中央、国务院有关规定及部门预算管理有关规定，“三公”经费包括因公出国（境）费、公务用车购置及运行费和公务接待费。（1）因公出国（境）费，指单位工作人员公务出国（境）的住宿费、旅费、伙食补助费、杂费、培训费等支出。（2）公务用车购置及运行费，指单位公务用车购置费及租用费、燃料费、维修费、过路过桥费、保险费、安全奖励费用等支出，公务用车指用于履行公务的机动车辆，包括领导干部专车、一般公务用车和执法执勤用车。（3）公务接待费，指单位按规定开支的各类公务接待（含外宾接待）支出。</w:t>
            </w: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tbl>
      <w:tblPr>
        <w:tblStyle w:val="5"/>
        <w:tblpPr w:leftFromText="180" w:rightFromText="180" w:vertAnchor="text" w:horzAnchor="page" w:tblpX="916" w:tblpY="357"/>
        <w:tblOverlap w:val="never"/>
        <w:tblW w:w="1527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495"/>
        <w:gridCol w:w="495"/>
        <w:gridCol w:w="735"/>
        <w:gridCol w:w="2460"/>
        <w:gridCol w:w="1170"/>
        <w:gridCol w:w="1170"/>
        <w:gridCol w:w="1170"/>
        <w:gridCol w:w="1170"/>
        <w:gridCol w:w="1170"/>
        <w:gridCol w:w="1170"/>
        <w:gridCol w:w="1170"/>
        <w:gridCol w:w="1170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7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预算09表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7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38"/>
                <w:szCs w:val="38"/>
                <w:highlight w:val="none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38"/>
                <w:szCs w:val="38"/>
                <w:highlight w:val="none"/>
              </w:rPr>
              <w:t>202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8"/>
                <w:szCs w:val="38"/>
                <w:highlight w:val="none"/>
                <w:lang w:val="en-US" w:eastAsia="zh-CN"/>
              </w:rPr>
              <w:t>4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38"/>
                <w:szCs w:val="38"/>
                <w:highlight w:val="none"/>
              </w:rPr>
              <w:t>年政府性基金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8"/>
                <w:szCs w:val="38"/>
                <w:highlight w:val="none"/>
                <w:lang w:eastAsia="zh-CN"/>
              </w:rPr>
              <w:t>预算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38"/>
                <w:szCs w:val="38"/>
                <w:highlight w:val="none"/>
              </w:rPr>
              <w:t>支出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8"/>
                <w:szCs w:val="38"/>
                <w:highlight w:val="none"/>
                <w:lang w:eastAsia="zh-CN"/>
              </w:rPr>
              <w:t>情况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38"/>
                <w:szCs w:val="38"/>
                <w:highlight w:val="none"/>
              </w:rPr>
              <w:t>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部门名称：</w:t>
            </w:r>
          </w:p>
        </w:tc>
        <w:tc>
          <w:tcPr>
            <w:tcW w:w="125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8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科目编码</w:t>
            </w: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单位代码</w:t>
            </w:r>
          </w:p>
        </w:tc>
        <w:tc>
          <w:tcPr>
            <w:tcW w:w="24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单位（科目名称）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合计</w:t>
            </w:r>
          </w:p>
        </w:tc>
        <w:tc>
          <w:tcPr>
            <w:tcW w:w="58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 xml:space="preserve">基本支出  </w:t>
            </w:r>
          </w:p>
        </w:tc>
        <w:tc>
          <w:tcPr>
            <w:tcW w:w="35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8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24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人员经费</w:t>
            </w:r>
          </w:p>
        </w:tc>
        <w:tc>
          <w:tcPr>
            <w:tcW w:w="2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公用经费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小计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其他运转类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特定目标类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类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款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项</w:t>
            </w: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24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工资福利支出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对个人和家庭的补助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商品和服务支出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资本性支出</w:t>
            </w: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 xml:space="preserve"> 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合计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abs>
                <w:tab w:val="left" w:pos="252"/>
              </w:tabs>
              <w:jc w:val="lef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  <w:highlight w:val="none"/>
              </w:rPr>
            </w:pPr>
          </w:p>
        </w:tc>
      </w:tr>
    </w:tbl>
    <w:p>
      <w:pPr>
        <w:kinsoku w:val="0"/>
        <w:overflowPunct w:val="0"/>
        <w:adjustRightInd w:val="0"/>
        <w:snapToGrid w:val="0"/>
        <w:spacing w:line="360" w:lineRule="auto"/>
        <w:ind w:right="51"/>
        <w:jc w:val="left"/>
        <w:rPr>
          <w:rFonts w:ascii="仿宋_GB2312" w:eastAsia="仿宋_GB2312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1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宋体" w:hAnsi="宋体" w:cs="宋体"/>
          <w:kern w:val="0"/>
          <w:sz w:val="18"/>
          <w:szCs w:val="18"/>
          <w:highlight w:val="none"/>
          <w:lang w:eastAsia="zh-CN"/>
        </w:rPr>
        <w:t>说明：</w:t>
      </w: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tbl>
      <w:tblPr>
        <w:tblStyle w:val="5"/>
        <w:tblW w:w="14097" w:type="dxa"/>
        <w:tblInd w:w="10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1275"/>
        <w:gridCol w:w="1701"/>
        <w:gridCol w:w="993"/>
        <w:gridCol w:w="1134"/>
        <w:gridCol w:w="992"/>
        <w:gridCol w:w="1134"/>
        <w:gridCol w:w="1134"/>
        <w:gridCol w:w="1134"/>
        <w:gridCol w:w="1134"/>
        <w:gridCol w:w="1134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0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预算10表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09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  <w:lang w:val="en-US" w:eastAsia="zh-CN"/>
              </w:rPr>
              <w:t>2024年</w:t>
            </w:r>
            <w:r>
              <w:rPr>
                <w:rFonts w:hint="eastAsia" w:ascii="宋体" w:hAnsi="宋体" w:cs="宋体"/>
                <w:b/>
                <w:bCs/>
                <w:kern w:val="0"/>
                <w:sz w:val="38"/>
                <w:szCs w:val="38"/>
                <w:highlight w:val="none"/>
              </w:rPr>
              <w:t>项目支出表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部门名称：</w:t>
            </w:r>
          </w:p>
        </w:tc>
        <w:tc>
          <w:tcPr>
            <w:tcW w:w="117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类型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项目单位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合计</w:t>
            </w:r>
          </w:p>
        </w:tc>
        <w:tc>
          <w:tcPr>
            <w:tcW w:w="326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本年拨款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财政拨款结转结余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财政专户管理资金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单位资金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一般公共预算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政府性基金预算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国有资本经营预算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一般公共预算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政府性基金预算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国有资本经营预算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1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1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1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1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</w:tbl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ascii="黑体" w:hAnsi="Times New Roman" w:eastAsia="黑体" w:cs="黑体"/>
          <w:sz w:val="32"/>
          <w:szCs w:val="32"/>
          <w:highlight w:val="none"/>
        </w:rPr>
        <w:sectPr>
          <w:pgSz w:w="16838" w:h="11906" w:orient="landscape"/>
          <w:pgMar w:top="1559" w:right="567" w:bottom="1701" w:left="567" w:header="851" w:footer="992" w:gutter="0"/>
          <w:cols w:space="720" w:num="1"/>
          <w:docGrid w:type="lines" w:linePitch="312" w:charSpace="0"/>
        </w:sectPr>
      </w:pPr>
    </w:p>
    <w:p>
      <w:pPr>
        <w:kinsoku w:val="0"/>
        <w:overflowPunct w:val="0"/>
        <w:adjustRightInd w:val="0"/>
        <w:snapToGrid w:val="0"/>
        <w:spacing w:line="560" w:lineRule="exact"/>
        <w:rPr>
          <w:rFonts w:hint="eastAsia" w:ascii="黑体" w:hAnsi="Times New Roman" w:eastAsia="黑体" w:cs="黑体"/>
          <w:sz w:val="32"/>
          <w:szCs w:val="32"/>
          <w:highlight w:val="none"/>
        </w:rPr>
      </w:pPr>
      <w:bookmarkStart w:id="0" w:name="_GoBack"/>
      <w:bookmarkEnd w:id="0"/>
    </w:p>
    <w:sectPr>
      <w:pgSz w:w="16838" w:h="11906" w:orient="landscape"/>
      <w:pgMar w:top="1701" w:right="567" w:bottom="1559" w:left="56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4D5D584"/>
    <w:multiLevelType w:val="singleLevel"/>
    <w:tmpl w:val="A4D5D584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0EB2E05"/>
    <w:multiLevelType w:val="multilevel"/>
    <w:tmpl w:val="10EB2E05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38F14122"/>
    <w:multiLevelType w:val="singleLevel"/>
    <w:tmpl w:val="38F14122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DU3NDUxN2Q4MzdmNmQyNjkyYWJkYTA3YmEwMjc5MDcifQ=="/>
  </w:docVars>
  <w:rsids>
    <w:rsidRoot w:val="000E666A"/>
    <w:rsid w:val="000056FE"/>
    <w:rsid w:val="00007CC9"/>
    <w:rsid w:val="00015F07"/>
    <w:rsid w:val="00016ADC"/>
    <w:rsid w:val="000328AD"/>
    <w:rsid w:val="0003777B"/>
    <w:rsid w:val="000455CB"/>
    <w:rsid w:val="00046D83"/>
    <w:rsid w:val="00052730"/>
    <w:rsid w:val="00060437"/>
    <w:rsid w:val="00065B9E"/>
    <w:rsid w:val="000667EE"/>
    <w:rsid w:val="000830E3"/>
    <w:rsid w:val="00092441"/>
    <w:rsid w:val="00093C9D"/>
    <w:rsid w:val="000A07A3"/>
    <w:rsid w:val="000A18BD"/>
    <w:rsid w:val="000A1CFD"/>
    <w:rsid w:val="000A32F6"/>
    <w:rsid w:val="000A3662"/>
    <w:rsid w:val="000B2445"/>
    <w:rsid w:val="000B4262"/>
    <w:rsid w:val="000C4CC2"/>
    <w:rsid w:val="000D025C"/>
    <w:rsid w:val="000E4FFA"/>
    <w:rsid w:val="000E5387"/>
    <w:rsid w:val="000E666A"/>
    <w:rsid w:val="000E6F0D"/>
    <w:rsid w:val="000F0D3B"/>
    <w:rsid w:val="001003CC"/>
    <w:rsid w:val="0010654C"/>
    <w:rsid w:val="00120162"/>
    <w:rsid w:val="0012518F"/>
    <w:rsid w:val="001264BC"/>
    <w:rsid w:val="001316FD"/>
    <w:rsid w:val="001349FC"/>
    <w:rsid w:val="001436AF"/>
    <w:rsid w:val="00145E1A"/>
    <w:rsid w:val="00147BEE"/>
    <w:rsid w:val="00147C4E"/>
    <w:rsid w:val="0016268A"/>
    <w:rsid w:val="00166082"/>
    <w:rsid w:val="00176038"/>
    <w:rsid w:val="00177B9B"/>
    <w:rsid w:val="001847F6"/>
    <w:rsid w:val="00196982"/>
    <w:rsid w:val="001A0485"/>
    <w:rsid w:val="001A1108"/>
    <w:rsid w:val="001A15F6"/>
    <w:rsid w:val="001A45D6"/>
    <w:rsid w:val="001B4DEC"/>
    <w:rsid w:val="001C6803"/>
    <w:rsid w:val="001C7E81"/>
    <w:rsid w:val="001F24BC"/>
    <w:rsid w:val="001F64E1"/>
    <w:rsid w:val="001F657E"/>
    <w:rsid w:val="00202770"/>
    <w:rsid w:val="00204E18"/>
    <w:rsid w:val="00204F67"/>
    <w:rsid w:val="0021471A"/>
    <w:rsid w:val="002155BC"/>
    <w:rsid w:val="002155E6"/>
    <w:rsid w:val="002213D7"/>
    <w:rsid w:val="00230456"/>
    <w:rsid w:val="00236D28"/>
    <w:rsid w:val="00242997"/>
    <w:rsid w:val="00251DE8"/>
    <w:rsid w:val="00254A2A"/>
    <w:rsid w:val="002601F3"/>
    <w:rsid w:val="00267739"/>
    <w:rsid w:val="0027730D"/>
    <w:rsid w:val="002B3C2D"/>
    <w:rsid w:val="002B612E"/>
    <w:rsid w:val="002B7F7A"/>
    <w:rsid w:val="002C14D9"/>
    <w:rsid w:val="002E0122"/>
    <w:rsid w:val="002E27DE"/>
    <w:rsid w:val="002E3628"/>
    <w:rsid w:val="002E5C55"/>
    <w:rsid w:val="002E5EBE"/>
    <w:rsid w:val="002F1A34"/>
    <w:rsid w:val="002F6CC2"/>
    <w:rsid w:val="0032045B"/>
    <w:rsid w:val="00320FEA"/>
    <w:rsid w:val="00322C06"/>
    <w:rsid w:val="0032341C"/>
    <w:rsid w:val="00327A9A"/>
    <w:rsid w:val="00327ADF"/>
    <w:rsid w:val="0034481A"/>
    <w:rsid w:val="00352AD6"/>
    <w:rsid w:val="00354113"/>
    <w:rsid w:val="00356056"/>
    <w:rsid w:val="00360B9D"/>
    <w:rsid w:val="003615E5"/>
    <w:rsid w:val="00374335"/>
    <w:rsid w:val="003761B9"/>
    <w:rsid w:val="00377995"/>
    <w:rsid w:val="003B6DF2"/>
    <w:rsid w:val="003C5046"/>
    <w:rsid w:val="003C5AF1"/>
    <w:rsid w:val="003D5305"/>
    <w:rsid w:val="003E0F53"/>
    <w:rsid w:val="003E4F75"/>
    <w:rsid w:val="003F044F"/>
    <w:rsid w:val="00400480"/>
    <w:rsid w:val="00400EC6"/>
    <w:rsid w:val="004078CB"/>
    <w:rsid w:val="004119E0"/>
    <w:rsid w:val="00412872"/>
    <w:rsid w:val="00414D58"/>
    <w:rsid w:val="00417802"/>
    <w:rsid w:val="004237A3"/>
    <w:rsid w:val="00423E21"/>
    <w:rsid w:val="00424DB3"/>
    <w:rsid w:val="004256B3"/>
    <w:rsid w:val="00425DE7"/>
    <w:rsid w:val="0042656D"/>
    <w:rsid w:val="0043723E"/>
    <w:rsid w:val="0045307E"/>
    <w:rsid w:val="004566F7"/>
    <w:rsid w:val="00460D67"/>
    <w:rsid w:val="0046532A"/>
    <w:rsid w:val="00470B16"/>
    <w:rsid w:val="00470E9E"/>
    <w:rsid w:val="004738EF"/>
    <w:rsid w:val="00477172"/>
    <w:rsid w:val="004842B6"/>
    <w:rsid w:val="004842D5"/>
    <w:rsid w:val="0049768C"/>
    <w:rsid w:val="004A2735"/>
    <w:rsid w:val="004A561C"/>
    <w:rsid w:val="004B1080"/>
    <w:rsid w:val="004B1BF0"/>
    <w:rsid w:val="004C0B6C"/>
    <w:rsid w:val="004C3AD6"/>
    <w:rsid w:val="004C7BA0"/>
    <w:rsid w:val="004D069E"/>
    <w:rsid w:val="004D0CCC"/>
    <w:rsid w:val="004D2D1F"/>
    <w:rsid w:val="004F460E"/>
    <w:rsid w:val="00504D4A"/>
    <w:rsid w:val="005271CC"/>
    <w:rsid w:val="00530C66"/>
    <w:rsid w:val="00540B6A"/>
    <w:rsid w:val="00542462"/>
    <w:rsid w:val="005433FC"/>
    <w:rsid w:val="0054387D"/>
    <w:rsid w:val="00554BEE"/>
    <w:rsid w:val="00556BE7"/>
    <w:rsid w:val="00571108"/>
    <w:rsid w:val="00573E04"/>
    <w:rsid w:val="00574BEB"/>
    <w:rsid w:val="00583C97"/>
    <w:rsid w:val="00591111"/>
    <w:rsid w:val="005A7520"/>
    <w:rsid w:val="005A786C"/>
    <w:rsid w:val="005B09E4"/>
    <w:rsid w:val="005B4803"/>
    <w:rsid w:val="005B7D64"/>
    <w:rsid w:val="005C3D11"/>
    <w:rsid w:val="005C6D7D"/>
    <w:rsid w:val="005E6CB4"/>
    <w:rsid w:val="005F0E25"/>
    <w:rsid w:val="005F36D1"/>
    <w:rsid w:val="00600AAF"/>
    <w:rsid w:val="006059F4"/>
    <w:rsid w:val="00616688"/>
    <w:rsid w:val="00641E96"/>
    <w:rsid w:val="00643973"/>
    <w:rsid w:val="006463C1"/>
    <w:rsid w:val="00646934"/>
    <w:rsid w:val="006519C1"/>
    <w:rsid w:val="006533BE"/>
    <w:rsid w:val="00655CED"/>
    <w:rsid w:val="00655F9F"/>
    <w:rsid w:val="00660094"/>
    <w:rsid w:val="0066274D"/>
    <w:rsid w:val="0066604F"/>
    <w:rsid w:val="0068015A"/>
    <w:rsid w:val="006877F1"/>
    <w:rsid w:val="00691130"/>
    <w:rsid w:val="006933B5"/>
    <w:rsid w:val="006A1C28"/>
    <w:rsid w:val="006A2177"/>
    <w:rsid w:val="006A3DB9"/>
    <w:rsid w:val="006B104A"/>
    <w:rsid w:val="006B23FE"/>
    <w:rsid w:val="006B4121"/>
    <w:rsid w:val="006B4279"/>
    <w:rsid w:val="006C3AA5"/>
    <w:rsid w:val="006C4B05"/>
    <w:rsid w:val="006C6A3D"/>
    <w:rsid w:val="006C6E8C"/>
    <w:rsid w:val="006D163E"/>
    <w:rsid w:val="006D36CC"/>
    <w:rsid w:val="006F7ED2"/>
    <w:rsid w:val="0070054A"/>
    <w:rsid w:val="00705E29"/>
    <w:rsid w:val="007131C3"/>
    <w:rsid w:val="00717ABB"/>
    <w:rsid w:val="007267F5"/>
    <w:rsid w:val="00742C70"/>
    <w:rsid w:val="00754A11"/>
    <w:rsid w:val="00796560"/>
    <w:rsid w:val="007B748B"/>
    <w:rsid w:val="007C4D6A"/>
    <w:rsid w:val="007C5790"/>
    <w:rsid w:val="007C6035"/>
    <w:rsid w:val="007D582B"/>
    <w:rsid w:val="007F0C11"/>
    <w:rsid w:val="008035D5"/>
    <w:rsid w:val="00803E72"/>
    <w:rsid w:val="00811491"/>
    <w:rsid w:val="00813D8B"/>
    <w:rsid w:val="00813ECE"/>
    <w:rsid w:val="00815377"/>
    <w:rsid w:val="00817547"/>
    <w:rsid w:val="008255FC"/>
    <w:rsid w:val="00827977"/>
    <w:rsid w:val="00833376"/>
    <w:rsid w:val="008336B4"/>
    <w:rsid w:val="00836BB8"/>
    <w:rsid w:val="008413E1"/>
    <w:rsid w:val="00843659"/>
    <w:rsid w:val="00845BBD"/>
    <w:rsid w:val="00850003"/>
    <w:rsid w:val="00850526"/>
    <w:rsid w:val="00862ACE"/>
    <w:rsid w:val="008662DA"/>
    <w:rsid w:val="00871827"/>
    <w:rsid w:val="00871DCF"/>
    <w:rsid w:val="00872A52"/>
    <w:rsid w:val="00876F50"/>
    <w:rsid w:val="00880C02"/>
    <w:rsid w:val="008831B0"/>
    <w:rsid w:val="008852A0"/>
    <w:rsid w:val="008854C3"/>
    <w:rsid w:val="0089331E"/>
    <w:rsid w:val="008A07E9"/>
    <w:rsid w:val="008A6827"/>
    <w:rsid w:val="008B1E1C"/>
    <w:rsid w:val="008B22A2"/>
    <w:rsid w:val="008B29FF"/>
    <w:rsid w:val="008C1726"/>
    <w:rsid w:val="008C5433"/>
    <w:rsid w:val="008D4CC8"/>
    <w:rsid w:val="008D73FF"/>
    <w:rsid w:val="008E4192"/>
    <w:rsid w:val="008F095C"/>
    <w:rsid w:val="008F0E48"/>
    <w:rsid w:val="0090127A"/>
    <w:rsid w:val="00903AC2"/>
    <w:rsid w:val="00903B03"/>
    <w:rsid w:val="009053A0"/>
    <w:rsid w:val="00907F29"/>
    <w:rsid w:val="0091015C"/>
    <w:rsid w:val="00923715"/>
    <w:rsid w:val="00926C5B"/>
    <w:rsid w:val="00930530"/>
    <w:rsid w:val="009307BD"/>
    <w:rsid w:val="00930C3A"/>
    <w:rsid w:val="00932CBF"/>
    <w:rsid w:val="00932EE9"/>
    <w:rsid w:val="00942EB9"/>
    <w:rsid w:val="00943951"/>
    <w:rsid w:val="00947589"/>
    <w:rsid w:val="00965DD7"/>
    <w:rsid w:val="00972A21"/>
    <w:rsid w:val="00984BB7"/>
    <w:rsid w:val="0099008B"/>
    <w:rsid w:val="00997ABD"/>
    <w:rsid w:val="009A311C"/>
    <w:rsid w:val="009B779E"/>
    <w:rsid w:val="009C5886"/>
    <w:rsid w:val="009C79D8"/>
    <w:rsid w:val="009D06CC"/>
    <w:rsid w:val="009D57AB"/>
    <w:rsid w:val="009D6176"/>
    <w:rsid w:val="009E3704"/>
    <w:rsid w:val="009F5003"/>
    <w:rsid w:val="00A0219D"/>
    <w:rsid w:val="00A03886"/>
    <w:rsid w:val="00A1196B"/>
    <w:rsid w:val="00A2124E"/>
    <w:rsid w:val="00A23BB0"/>
    <w:rsid w:val="00A354EC"/>
    <w:rsid w:val="00A373A8"/>
    <w:rsid w:val="00A52BBA"/>
    <w:rsid w:val="00A55FDA"/>
    <w:rsid w:val="00A62BC3"/>
    <w:rsid w:val="00A702F0"/>
    <w:rsid w:val="00A75823"/>
    <w:rsid w:val="00A8278A"/>
    <w:rsid w:val="00A87DD7"/>
    <w:rsid w:val="00AA4E11"/>
    <w:rsid w:val="00AB18CB"/>
    <w:rsid w:val="00AB2328"/>
    <w:rsid w:val="00AB6DFB"/>
    <w:rsid w:val="00AC5410"/>
    <w:rsid w:val="00AE5C99"/>
    <w:rsid w:val="00B01857"/>
    <w:rsid w:val="00B03AAD"/>
    <w:rsid w:val="00B1453C"/>
    <w:rsid w:val="00B23D64"/>
    <w:rsid w:val="00B341FF"/>
    <w:rsid w:val="00B377C4"/>
    <w:rsid w:val="00B40914"/>
    <w:rsid w:val="00B40F74"/>
    <w:rsid w:val="00B43E66"/>
    <w:rsid w:val="00B50AE6"/>
    <w:rsid w:val="00B65C21"/>
    <w:rsid w:val="00B665C0"/>
    <w:rsid w:val="00B6705E"/>
    <w:rsid w:val="00B83046"/>
    <w:rsid w:val="00B83D04"/>
    <w:rsid w:val="00B92341"/>
    <w:rsid w:val="00B932C7"/>
    <w:rsid w:val="00B95788"/>
    <w:rsid w:val="00BA1ACD"/>
    <w:rsid w:val="00BA38DA"/>
    <w:rsid w:val="00BA5E9A"/>
    <w:rsid w:val="00BB1BED"/>
    <w:rsid w:val="00BB59DB"/>
    <w:rsid w:val="00BC7C5A"/>
    <w:rsid w:val="00BE0D16"/>
    <w:rsid w:val="00BE4D35"/>
    <w:rsid w:val="00BF0F52"/>
    <w:rsid w:val="00C0162B"/>
    <w:rsid w:val="00C03348"/>
    <w:rsid w:val="00C17E7A"/>
    <w:rsid w:val="00C21E04"/>
    <w:rsid w:val="00C23F9E"/>
    <w:rsid w:val="00C40961"/>
    <w:rsid w:val="00C4757E"/>
    <w:rsid w:val="00C562AA"/>
    <w:rsid w:val="00C63E2B"/>
    <w:rsid w:val="00C64FF5"/>
    <w:rsid w:val="00C65DCF"/>
    <w:rsid w:val="00C65E72"/>
    <w:rsid w:val="00C66F39"/>
    <w:rsid w:val="00C70F12"/>
    <w:rsid w:val="00C738E2"/>
    <w:rsid w:val="00C8160B"/>
    <w:rsid w:val="00C81BB6"/>
    <w:rsid w:val="00C934AF"/>
    <w:rsid w:val="00CA314A"/>
    <w:rsid w:val="00CA5062"/>
    <w:rsid w:val="00CB508D"/>
    <w:rsid w:val="00CC4BF6"/>
    <w:rsid w:val="00CC793C"/>
    <w:rsid w:val="00CD4C57"/>
    <w:rsid w:val="00CF458F"/>
    <w:rsid w:val="00D02658"/>
    <w:rsid w:val="00D04BF4"/>
    <w:rsid w:val="00D21C47"/>
    <w:rsid w:val="00D2375E"/>
    <w:rsid w:val="00D2537C"/>
    <w:rsid w:val="00D25951"/>
    <w:rsid w:val="00D26956"/>
    <w:rsid w:val="00D26DC2"/>
    <w:rsid w:val="00D372A9"/>
    <w:rsid w:val="00D44216"/>
    <w:rsid w:val="00D4765A"/>
    <w:rsid w:val="00D527ED"/>
    <w:rsid w:val="00D561EE"/>
    <w:rsid w:val="00D6158D"/>
    <w:rsid w:val="00D7195F"/>
    <w:rsid w:val="00D71C17"/>
    <w:rsid w:val="00D801C6"/>
    <w:rsid w:val="00D83019"/>
    <w:rsid w:val="00D8525D"/>
    <w:rsid w:val="00D92623"/>
    <w:rsid w:val="00D93A37"/>
    <w:rsid w:val="00DA0816"/>
    <w:rsid w:val="00DC5F64"/>
    <w:rsid w:val="00DC7872"/>
    <w:rsid w:val="00DD6466"/>
    <w:rsid w:val="00DD697C"/>
    <w:rsid w:val="00DE6A63"/>
    <w:rsid w:val="00DF19C8"/>
    <w:rsid w:val="00E04054"/>
    <w:rsid w:val="00E1289B"/>
    <w:rsid w:val="00E17D38"/>
    <w:rsid w:val="00E23DFD"/>
    <w:rsid w:val="00E2542E"/>
    <w:rsid w:val="00E2610B"/>
    <w:rsid w:val="00E4080C"/>
    <w:rsid w:val="00E42853"/>
    <w:rsid w:val="00E43ED0"/>
    <w:rsid w:val="00E549CB"/>
    <w:rsid w:val="00E6220D"/>
    <w:rsid w:val="00E8417A"/>
    <w:rsid w:val="00E941A6"/>
    <w:rsid w:val="00EA4AFE"/>
    <w:rsid w:val="00EB05F1"/>
    <w:rsid w:val="00EB6F57"/>
    <w:rsid w:val="00EC2C40"/>
    <w:rsid w:val="00ED7886"/>
    <w:rsid w:val="00EE05C3"/>
    <w:rsid w:val="00EE59D1"/>
    <w:rsid w:val="00F01287"/>
    <w:rsid w:val="00F1283B"/>
    <w:rsid w:val="00F25745"/>
    <w:rsid w:val="00F33362"/>
    <w:rsid w:val="00F34E65"/>
    <w:rsid w:val="00F44EC4"/>
    <w:rsid w:val="00F506ED"/>
    <w:rsid w:val="00F63CE3"/>
    <w:rsid w:val="00F649DD"/>
    <w:rsid w:val="00F903AD"/>
    <w:rsid w:val="00F93BB7"/>
    <w:rsid w:val="00F955DA"/>
    <w:rsid w:val="00FB1000"/>
    <w:rsid w:val="00FB334A"/>
    <w:rsid w:val="00FB4F52"/>
    <w:rsid w:val="00FB698F"/>
    <w:rsid w:val="00FC238F"/>
    <w:rsid w:val="00FD05B8"/>
    <w:rsid w:val="00FD493D"/>
    <w:rsid w:val="00FE0BED"/>
    <w:rsid w:val="00FE0EB5"/>
    <w:rsid w:val="00FE21B8"/>
    <w:rsid w:val="00FE3A2E"/>
    <w:rsid w:val="00FE5B62"/>
    <w:rsid w:val="00FE6833"/>
    <w:rsid w:val="00FE7E98"/>
    <w:rsid w:val="00FF37A9"/>
    <w:rsid w:val="00FF4E6F"/>
    <w:rsid w:val="00FF613C"/>
    <w:rsid w:val="00FF73A3"/>
    <w:rsid w:val="012C75C3"/>
    <w:rsid w:val="0150627C"/>
    <w:rsid w:val="01644A7E"/>
    <w:rsid w:val="04361A0E"/>
    <w:rsid w:val="04E82E5D"/>
    <w:rsid w:val="04EB0D09"/>
    <w:rsid w:val="06C47767"/>
    <w:rsid w:val="06D27D2E"/>
    <w:rsid w:val="08EE5446"/>
    <w:rsid w:val="08FE2272"/>
    <w:rsid w:val="09E907EB"/>
    <w:rsid w:val="0CEF2B00"/>
    <w:rsid w:val="0F043131"/>
    <w:rsid w:val="0FA90872"/>
    <w:rsid w:val="10D55943"/>
    <w:rsid w:val="1185724E"/>
    <w:rsid w:val="11A825AE"/>
    <w:rsid w:val="123705B9"/>
    <w:rsid w:val="13910C45"/>
    <w:rsid w:val="15B925CF"/>
    <w:rsid w:val="163A1270"/>
    <w:rsid w:val="169267C0"/>
    <w:rsid w:val="16D14EBA"/>
    <w:rsid w:val="175F3CA6"/>
    <w:rsid w:val="17767D2A"/>
    <w:rsid w:val="19897805"/>
    <w:rsid w:val="19FB7D8E"/>
    <w:rsid w:val="1A5B6391"/>
    <w:rsid w:val="1ABC14A6"/>
    <w:rsid w:val="1B9430C3"/>
    <w:rsid w:val="1C7012F4"/>
    <w:rsid w:val="1CDD0DBE"/>
    <w:rsid w:val="209B625B"/>
    <w:rsid w:val="219D5072"/>
    <w:rsid w:val="221D378B"/>
    <w:rsid w:val="25E2722C"/>
    <w:rsid w:val="2A37305D"/>
    <w:rsid w:val="2AD76DF3"/>
    <w:rsid w:val="2C1A4849"/>
    <w:rsid w:val="31EE77C5"/>
    <w:rsid w:val="31F50A29"/>
    <w:rsid w:val="33ED7470"/>
    <w:rsid w:val="343D3BEB"/>
    <w:rsid w:val="34D04D80"/>
    <w:rsid w:val="35421935"/>
    <w:rsid w:val="35D03DB1"/>
    <w:rsid w:val="365B3B1A"/>
    <w:rsid w:val="368469FD"/>
    <w:rsid w:val="39063762"/>
    <w:rsid w:val="399C7E17"/>
    <w:rsid w:val="39D92970"/>
    <w:rsid w:val="39FB1897"/>
    <w:rsid w:val="39FE093D"/>
    <w:rsid w:val="3A523362"/>
    <w:rsid w:val="3BBE24E2"/>
    <w:rsid w:val="3BD07B55"/>
    <w:rsid w:val="3D440195"/>
    <w:rsid w:val="3D8711AA"/>
    <w:rsid w:val="3DBF5E3B"/>
    <w:rsid w:val="3E413ED1"/>
    <w:rsid w:val="3FAE2155"/>
    <w:rsid w:val="4496246A"/>
    <w:rsid w:val="45FB1E0A"/>
    <w:rsid w:val="46365B58"/>
    <w:rsid w:val="47D755C8"/>
    <w:rsid w:val="480E1D32"/>
    <w:rsid w:val="4BAC1AC0"/>
    <w:rsid w:val="4C105D3A"/>
    <w:rsid w:val="4C7813AD"/>
    <w:rsid w:val="4CDA2801"/>
    <w:rsid w:val="4E275F1E"/>
    <w:rsid w:val="4F917FC6"/>
    <w:rsid w:val="4F985A33"/>
    <w:rsid w:val="501B68C6"/>
    <w:rsid w:val="508D27A6"/>
    <w:rsid w:val="510D0E91"/>
    <w:rsid w:val="5115798C"/>
    <w:rsid w:val="51C51D65"/>
    <w:rsid w:val="51C65ED7"/>
    <w:rsid w:val="5236524B"/>
    <w:rsid w:val="533956EC"/>
    <w:rsid w:val="55381AB4"/>
    <w:rsid w:val="56225567"/>
    <w:rsid w:val="57334510"/>
    <w:rsid w:val="579D29FC"/>
    <w:rsid w:val="57C60097"/>
    <w:rsid w:val="59156B87"/>
    <w:rsid w:val="59642F2F"/>
    <w:rsid w:val="59AA14E0"/>
    <w:rsid w:val="59E12472"/>
    <w:rsid w:val="59E52906"/>
    <w:rsid w:val="5A155A44"/>
    <w:rsid w:val="5AF554D4"/>
    <w:rsid w:val="5C2F77C1"/>
    <w:rsid w:val="5C3B15B1"/>
    <w:rsid w:val="5C461FB7"/>
    <w:rsid w:val="5CB70498"/>
    <w:rsid w:val="5D1412C6"/>
    <w:rsid w:val="5E211941"/>
    <w:rsid w:val="5ED512CA"/>
    <w:rsid w:val="600E40C9"/>
    <w:rsid w:val="604E3D2F"/>
    <w:rsid w:val="62200402"/>
    <w:rsid w:val="62A55CA5"/>
    <w:rsid w:val="63277E71"/>
    <w:rsid w:val="6468013A"/>
    <w:rsid w:val="649C46F2"/>
    <w:rsid w:val="64B32C06"/>
    <w:rsid w:val="6643017F"/>
    <w:rsid w:val="68B32ADB"/>
    <w:rsid w:val="69CD2AD0"/>
    <w:rsid w:val="6B14138E"/>
    <w:rsid w:val="6B1C6BC9"/>
    <w:rsid w:val="6B2564B4"/>
    <w:rsid w:val="6B3D3082"/>
    <w:rsid w:val="70B24544"/>
    <w:rsid w:val="711C5429"/>
    <w:rsid w:val="7166357E"/>
    <w:rsid w:val="71A9298B"/>
    <w:rsid w:val="71D57C23"/>
    <w:rsid w:val="71EE5B0E"/>
    <w:rsid w:val="72BD29C0"/>
    <w:rsid w:val="736563C5"/>
    <w:rsid w:val="73CB561A"/>
    <w:rsid w:val="748B06D6"/>
    <w:rsid w:val="75AD3069"/>
    <w:rsid w:val="762A388D"/>
    <w:rsid w:val="767307C7"/>
    <w:rsid w:val="771E7C0A"/>
    <w:rsid w:val="7789230E"/>
    <w:rsid w:val="779C1699"/>
    <w:rsid w:val="796919ED"/>
    <w:rsid w:val="797F6F0E"/>
    <w:rsid w:val="79863882"/>
    <w:rsid w:val="79DC6ADA"/>
    <w:rsid w:val="7A723DD4"/>
    <w:rsid w:val="7B0E49A9"/>
    <w:rsid w:val="7BED06EF"/>
    <w:rsid w:val="7D1D18E6"/>
    <w:rsid w:val="7DC4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3"/>
    <w:basedOn w:val="1"/>
    <w:link w:val="8"/>
    <w:qFormat/>
    <w:uiPriority w:val="99"/>
    <w:pPr>
      <w:jc w:val="center"/>
    </w:pPr>
    <w:rPr>
      <w:rFonts w:ascii="方正小标宋简体" w:hAnsi="方正小标宋简体" w:eastAsia="仿宋" w:cs="方正小标宋简体"/>
      <w:sz w:val="28"/>
      <w:szCs w:val="52"/>
    </w:rPr>
  </w:style>
  <w:style w:type="character" w:customStyle="1" w:styleId="8">
    <w:name w:val="样式3 Char"/>
    <w:basedOn w:val="6"/>
    <w:link w:val="7"/>
    <w:qFormat/>
    <w:locked/>
    <w:uiPriority w:val="99"/>
    <w:rPr>
      <w:rFonts w:ascii="方正小标宋简体" w:hAnsi="方正小标宋简体" w:eastAsia="仿宋" w:cs="方正小标宋简体"/>
      <w:kern w:val="2"/>
      <w:sz w:val="28"/>
      <w:szCs w:val="52"/>
    </w:rPr>
  </w:style>
  <w:style w:type="character" w:customStyle="1" w:styleId="9">
    <w:name w:val="页脚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眉 字符"/>
    <w:basedOn w:val="6"/>
    <w:link w:val="4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30</Pages>
  <Words>11146</Words>
  <Characters>13017</Characters>
  <Lines>117</Lines>
  <Paragraphs>32</Paragraphs>
  <TotalTime>7</TotalTime>
  <ScaleCrop>false</ScaleCrop>
  <LinksUpToDate>false</LinksUpToDate>
  <CharactersWithSpaces>14413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2018-02-02T06:39:00Z</dcterms:created>
  <dc:creator>谢斐</dc:creator>
  <cp:lastModifiedBy>Administrator</cp:lastModifiedBy>
  <cp:lastPrinted>2023-05-12T02:43:00Z</cp:lastPrinted>
  <dcterms:modified xsi:type="dcterms:W3CDTF">2024-03-21T08:56:52Z</dcterms:modified>
  <dc:title>2017年度省级部门预算公开参考格式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C6D45140CB9C40BA8885CAA2EB2A15FF</vt:lpwstr>
  </property>
</Properties>
</file>