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880" w:firstLineChars="200"/>
        <w:jc w:val="center"/>
        <w:rPr>
          <w:rFonts w:hint="eastAsia" w:ascii="方正小标宋简体" w:hAnsi="方正小标宋简体" w:eastAsia="方正小标宋简体" w:cs="方正小标宋简体"/>
          <w:sz w:val="44"/>
          <w:szCs w:val="44"/>
          <w:highlight w:val="none"/>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新乡市卫滨区机关事务中心</w:t>
      </w:r>
    </w:p>
    <w:p>
      <w:pPr>
        <w:jc w:val="center"/>
        <w:rPr>
          <w:rFonts w:hint="eastAsia" w:ascii="方正小标宋简体" w:hAnsi="方正小标宋简体" w:eastAsia="方正小标宋简体" w:cs="方正小标宋简体"/>
          <w:sz w:val="44"/>
          <w:szCs w:val="44"/>
          <w:highlight w:val="red"/>
        </w:rPr>
      </w:pPr>
      <w:r>
        <w:rPr>
          <w:rFonts w:hint="eastAsia" w:ascii="方正小标宋简体" w:hAnsi="方正小标宋简体" w:eastAsia="方正小标宋简体" w:cs="方正小标宋简体"/>
          <w:sz w:val="44"/>
          <w:szCs w:val="44"/>
          <w:highlight w:val="none"/>
          <w:lang w:val="en-US" w:eastAsia="zh-CN"/>
        </w:rPr>
        <w:t>2024年度部门预算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textAlignment w:val="auto"/>
        <w:rPr>
          <w:rFonts w:hint="eastAsia" w:ascii="仿宋_GB2312" w:hAnsi="黑体" w:eastAsia="仿宋_GB2312"/>
          <w:sz w:val="32"/>
          <w:szCs w:val="32"/>
          <w:highlight w:val="red"/>
        </w:rPr>
      </w:pPr>
    </w:p>
    <w:p>
      <w:pPr>
        <w:keepNext w:val="0"/>
        <w:keepLines w:val="0"/>
        <w:pageBreakBefore w:val="0"/>
        <w:widowControl w:val="0"/>
        <w:wordWrap/>
        <w:topLinePunct w:val="0"/>
        <w:bidi w:val="0"/>
        <w:spacing w:line="360" w:lineRule="auto"/>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r>
        <w:rPr>
          <w:rFonts w:hint="eastAsia" w:ascii="黑体" w:hAnsi="Times New Roman" w:eastAsia="黑体" w:cs="黑体"/>
          <w:sz w:val="56"/>
          <w:szCs w:val="56"/>
        </w:rPr>
        <w:t>目 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ascii="黑体" w:hAnsi="黑体" w:eastAsia="黑体" w:cs="黑体"/>
          <w:sz w:val="32"/>
          <w:szCs w:val="32"/>
        </w:rPr>
        <w:t>第一部分 新乡市卫滨区</w:t>
      </w:r>
      <w:r>
        <w:rPr>
          <w:rFonts w:hint="eastAsia" w:ascii="黑体" w:hAnsi="黑体" w:eastAsia="黑体" w:cs="黑体"/>
          <w:sz w:val="32"/>
          <w:szCs w:val="32"/>
          <w:lang w:eastAsia="zh-CN"/>
        </w:rPr>
        <w:t>机关事务中心</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黑体" w:eastAsia="黑体" w:cs="黑体"/>
          <w:sz w:val="32"/>
          <w:szCs w:val="32"/>
          <w:lang w:eastAsia="zh-CN"/>
        </w:rPr>
        <w:t>机关事务中心</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autoSpaceDE/>
        <w:autoSpaceDN/>
        <w:bidi w:val="0"/>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附件：新乡市卫滨区</w:t>
      </w:r>
      <w:r>
        <w:rPr>
          <w:rFonts w:hint="eastAsia" w:ascii="黑体" w:hAnsi="黑体" w:eastAsia="黑体" w:cs="黑体"/>
          <w:sz w:val="32"/>
          <w:szCs w:val="32"/>
          <w:lang w:eastAsia="zh-CN"/>
        </w:rPr>
        <w:t>机关事务中心</w:t>
      </w:r>
      <w:r>
        <w:rPr>
          <w:rFonts w:hint="eastAsia" w:ascii="黑体" w:hAnsi="黑体" w:eastAsia="黑体" w:cs="黑体"/>
          <w:sz w:val="32"/>
          <w:szCs w:val="32"/>
        </w:rPr>
        <w:t>202</w:t>
      </w:r>
      <w:r>
        <w:rPr>
          <w:rFonts w:hint="eastAsia" w:ascii="黑体" w:hAnsi="黑体" w:eastAsia="黑体" w:cs="黑体"/>
          <w:sz w:val="32"/>
          <w:szCs w:val="32"/>
          <w:lang w:val="en-US" w:eastAsia="zh-CN"/>
        </w:rPr>
        <w:t>4</w:t>
      </w:r>
      <w:r>
        <w:rPr>
          <w:rFonts w:hint="eastAsia" w:ascii="黑体" w:hAnsi="黑体"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eastAsia" w:ascii="仿宋_GB2312" w:hAnsi="Times New Roman" w:eastAsia="仿宋_GB2312" w:cs="仿宋_GB2312"/>
          <w:sz w:val="32"/>
          <w:szCs w:val="32"/>
        </w:rPr>
        <w:t>一、</w:t>
      </w:r>
      <w:r>
        <w:rPr>
          <w:rFonts w:hint="default" w:ascii="Times New Roman" w:hAnsi="Times New Roman" w:eastAsia="仿宋_GB2312" w:cs="Times New Roman"/>
          <w:sz w:val="32"/>
          <w:szCs w:val="32"/>
          <w:lang w:val="en-US" w:eastAsia="zh-CN"/>
        </w:rPr>
        <w:t>2024年部门收支总体情况表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年部门收入</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年部门支出</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年一般公共预算支出</w:t>
      </w:r>
      <w:r>
        <w:rPr>
          <w:rFonts w:hint="default" w:ascii="Times New Roman" w:hAnsi="Times New Roman" w:eastAsia="仿宋_GB2312" w:cs="Times New Roman"/>
          <w:sz w:val="32"/>
          <w:szCs w:val="32"/>
          <w:lang w:val="en-US" w:eastAsia="zh-CN"/>
        </w:rPr>
        <w:t>情况</w:t>
      </w:r>
      <w:r>
        <w:rPr>
          <w:rFonts w:hint="default" w:ascii="Times New Roman" w:hAnsi="Times New Roman" w:eastAsia="仿宋_GB2312" w:cs="Times New Roman"/>
          <w:sz w:val="32"/>
          <w:szCs w:val="32"/>
        </w:rPr>
        <w:t>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2024年</w:t>
      </w:r>
      <w:r>
        <w:rPr>
          <w:rFonts w:hint="default" w:ascii="Times New Roman" w:hAnsi="Times New Roman" w:eastAsia="仿宋_GB2312" w:cs="Times New Roman"/>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年一般公共预算“三公”经费</w:t>
      </w:r>
      <w:r>
        <w:rPr>
          <w:rFonts w:hint="default" w:ascii="Times New Roman" w:hAnsi="Times New Roman" w:eastAsia="仿宋_GB2312" w:cs="Times New Roman"/>
          <w:sz w:val="32"/>
          <w:szCs w:val="32"/>
          <w:lang w:eastAsia="zh-CN"/>
        </w:rPr>
        <w:t>支出情况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九、202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年政府性基金预算支出情况表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十、</w:t>
      </w:r>
      <w:r>
        <w:rPr>
          <w:rFonts w:hint="default" w:ascii="Times New Roman" w:hAnsi="Times New Roman" w:eastAsia="仿宋_GB2312" w:cs="Times New Roman"/>
          <w:sz w:val="32"/>
          <w:szCs w:val="32"/>
          <w:highlight w:val="none"/>
          <w:lang w:val="en-US" w:eastAsia="zh-CN"/>
        </w:rPr>
        <w:t>2024年</w:t>
      </w:r>
      <w:r>
        <w:rPr>
          <w:rFonts w:hint="default" w:ascii="Times New Roman" w:hAnsi="Times New Roman" w:eastAsia="仿宋_GB2312" w:cs="Times New Roman"/>
          <w:sz w:val="32"/>
          <w:szCs w:val="32"/>
          <w:highlight w:val="none"/>
          <w:lang w:eastAsia="zh-CN"/>
        </w:rPr>
        <w:t>项目支出表</w:t>
      </w:r>
    </w:p>
    <w:p>
      <w:pPr>
        <w:keepNext w:val="0"/>
        <w:keepLines w:val="0"/>
        <w:pageBreakBefore w:val="0"/>
        <w:widowControl w:val="0"/>
        <w:numPr>
          <w:ilvl w:val="0"/>
          <w:numId w:val="2"/>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部门整体绩效目标表</w:t>
      </w:r>
    </w:p>
    <w:p>
      <w:pPr>
        <w:keepNext w:val="0"/>
        <w:keepLines w:val="0"/>
        <w:pageBreakBefore w:val="0"/>
        <w:widowControl w:val="0"/>
        <w:numPr>
          <w:ilvl w:val="0"/>
          <w:numId w:val="0"/>
        </w:numPr>
        <w:kinsoku w:val="0"/>
        <w:wordWrap/>
        <w:overflowPunct w:val="0"/>
        <w:topLinePunct w:val="0"/>
        <w:bidi w:val="0"/>
        <w:adjustRightInd w:val="0"/>
        <w:snapToGrid w:val="0"/>
        <w:spacing w:line="360" w:lineRule="auto"/>
        <w:ind w:right="51" w:rightChars="0" w:firstLine="640" w:firstLineChars="200"/>
        <w:jc w:val="left"/>
        <w:textAlignment w:val="auto"/>
        <w:rPr>
          <w:rFonts w:hint="default" w:ascii="Times New Roman" w:hAnsi="Times New Roman" w:eastAsia="仿宋_GB2312" w:cs="Times New Roman"/>
          <w:sz w:val="32"/>
          <w:szCs w:val="32"/>
          <w:highlight w:val="red"/>
        </w:rPr>
      </w:pPr>
      <w:r>
        <w:rPr>
          <w:rFonts w:hint="default" w:ascii="Times New Roman" w:hAnsi="Times New Roman" w:eastAsia="仿宋_GB2312" w:cs="Times New Roman"/>
          <w:sz w:val="32"/>
          <w:szCs w:val="32"/>
          <w:highlight w:val="none"/>
        </w:rPr>
        <w:t>十二、202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方正小标宋简体" w:hAnsi="方正小标宋简体" w:eastAsia="方正小标宋简体" w:cs="方正小标宋简体"/>
          <w:sz w:val="36"/>
          <w:szCs w:val="36"/>
        </w:rPr>
        <w:t>新乡市卫滨区</w:t>
      </w:r>
      <w:r>
        <w:rPr>
          <w:rFonts w:hint="eastAsia" w:ascii="方正小标宋简体" w:hAnsi="方正小标宋简体" w:eastAsia="方正小标宋简体" w:cs="方正小标宋简体"/>
          <w:sz w:val="36"/>
          <w:szCs w:val="36"/>
          <w:lang w:eastAsia="zh-CN"/>
        </w:rPr>
        <w:t>机关事务中心</w:t>
      </w:r>
      <w:r>
        <w:rPr>
          <w:rFonts w:hint="eastAsia" w:ascii="方正小标宋简体" w:hAnsi="方正小标宋简体" w:eastAsia="方正小标宋简体" w:cs="方正小标宋简体"/>
          <w:sz w:val="36"/>
          <w:szCs w:val="36"/>
        </w:rPr>
        <w:t>概况</w:t>
      </w:r>
    </w:p>
    <w:p>
      <w:pPr>
        <w:keepNext w:val="0"/>
        <w:keepLines w:val="0"/>
        <w:pageBreakBefore w:val="0"/>
        <w:widowControl w:val="0"/>
        <w:numPr>
          <w:ilvl w:val="0"/>
          <w:numId w:val="3"/>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机关事务中心</w:t>
      </w:r>
      <w:r>
        <w:rPr>
          <w:rFonts w:hint="eastAsia" w:ascii="黑体" w:hAnsi="黑体" w:eastAsia="黑体"/>
          <w:sz w:val="32"/>
          <w:szCs w:val="32"/>
        </w:rPr>
        <w:t>主要职责</w:t>
      </w:r>
    </w:p>
    <w:p>
      <w:pPr>
        <w:widowControl/>
        <w:spacing w:line="590" w:lineRule="exact"/>
        <w:ind w:left="640"/>
        <w:outlineLvl w:val="1"/>
        <w:rPr>
          <w:rFonts w:hint="eastAsia" w:ascii="仿宋_GB2312" w:hAnsi="黑体" w:eastAsia="仿宋_GB2312" w:cs="黑体"/>
          <w:kern w:val="0"/>
          <w:sz w:val="32"/>
          <w:szCs w:val="32"/>
        </w:rPr>
      </w:pPr>
      <w:r>
        <w:rPr>
          <w:rFonts w:hint="eastAsia" w:ascii="仿宋_GB2312" w:hAnsi="仿宋_GB2312" w:eastAsia="仿宋_GB2312" w:cs="仿宋_GB2312"/>
          <w:sz w:val="32"/>
          <w:szCs w:val="32"/>
        </w:rPr>
        <w:t>（一）</w:t>
      </w:r>
      <w:r>
        <w:rPr>
          <w:rFonts w:hint="eastAsia" w:ascii="仿宋_GB2312" w:hAnsi="黑体" w:eastAsia="仿宋_GB2312" w:cs="黑体"/>
          <w:kern w:val="0"/>
          <w:sz w:val="32"/>
          <w:szCs w:val="32"/>
        </w:rPr>
        <w:t>负责贯彻落实国家、省、市、区机关事务相关政策。</w:t>
      </w:r>
    </w:p>
    <w:p>
      <w:pPr>
        <w:widowControl/>
        <w:spacing w:line="590" w:lineRule="exact"/>
        <w:ind w:firstLine="640" w:firstLineChars="200"/>
        <w:outlineLvl w:val="1"/>
        <w:rPr>
          <w:rFonts w:hint="eastAsia" w:ascii="仿宋_GB2312" w:hAnsi="黑体" w:eastAsia="仿宋_GB2312" w:cs="黑体"/>
          <w:kern w:val="0"/>
          <w:sz w:val="32"/>
          <w:szCs w:val="32"/>
        </w:rPr>
      </w:pPr>
      <w:r>
        <w:rPr>
          <w:rFonts w:hint="eastAsia" w:ascii="仿宋_GB2312" w:hAnsi="仿宋_GB2312" w:eastAsia="仿宋_GB2312" w:cs="仿宋_GB2312"/>
          <w:sz w:val="32"/>
          <w:szCs w:val="32"/>
        </w:rPr>
        <w:t>（二）</w:t>
      </w:r>
      <w:r>
        <w:rPr>
          <w:rFonts w:hint="eastAsia" w:ascii="仿宋_GB2312" w:hAnsi="黑体" w:eastAsia="仿宋_GB2312" w:cs="黑体"/>
          <w:kern w:val="0"/>
          <w:sz w:val="32"/>
          <w:szCs w:val="32"/>
        </w:rPr>
        <w:t>负责区级机关事务保障和服务工作。</w:t>
      </w:r>
    </w:p>
    <w:p>
      <w:pPr>
        <w:widowControl/>
        <w:spacing w:line="590" w:lineRule="exact"/>
        <w:ind w:firstLine="640" w:firstLineChars="200"/>
        <w:outlineLvl w:val="1"/>
        <w:rPr>
          <w:rFonts w:hint="eastAsia" w:ascii="仿宋_GB2312" w:hAnsi="黑体" w:eastAsia="仿宋_GB2312" w:cs="黑体"/>
          <w:kern w:val="0"/>
          <w:sz w:val="32"/>
          <w:szCs w:val="32"/>
        </w:rPr>
      </w:pPr>
      <w:r>
        <w:rPr>
          <w:rFonts w:hint="eastAsia" w:ascii="仿宋_GB2312" w:hAnsi="黑体" w:eastAsia="仿宋_GB2312" w:cs="黑体"/>
          <w:kern w:val="0"/>
          <w:sz w:val="32"/>
          <w:szCs w:val="32"/>
        </w:rPr>
        <w:t>（三）负责区级机关办公用房的保障、调剂、维修和服务工作。</w:t>
      </w:r>
    </w:p>
    <w:p>
      <w:pPr>
        <w:widowControl/>
        <w:spacing w:line="590" w:lineRule="exact"/>
        <w:ind w:firstLine="640" w:firstLineChars="200"/>
        <w:outlineLvl w:val="1"/>
        <w:rPr>
          <w:rFonts w:hint="eastAsia" w:ascii="仿宋_GB2312" w:hAnsi="黑体" w:eastAsia="仿宋_GB2312" w:cs="黑体"/>
          <w:kern w:val="0"/>
          <w:sz w:val="32"/>
          <w:szCs w:val="32"/>
        </w:rPr>
      </w:pPr>
      <w:r>
        <w:rPr>
          <w:rFonts w:hint="eastAsia" w:ascii="仿宋_GB2312" w:hAnsi="黑体" w:eastAsia="仿宋_GB2312" w:cs="黑体"/>
          <w:kern w:val="0"/>
          <w:sz w:val="32"/>
          <w:szCs w:val="32"/>
        </w:rPr>
        <w:t>（四）负责区级机关集中办公区安保、消防、绿化、卫生、水电气暖供应、会务服务和机关食堂服务等后勤保障服务工作。</w:t>
      </w:r>
    </w:p>
    <w:p>
      <w:pPr>
        <w:widowControl/>
        <w:spacing w:line="590" w:lineRule="exact"/>
        <w:ind w:firstLine="640" w:firstLineChars="200"/>
        <w:outlineLvl w:val="1"/>
        <w:rPr>
          <w:rFonts w:hint="eastAsia" w:ascii="仿宋_GB2312" w:hAnsi="黑体" w:eastAsia="仿宋_GB2312" w:cs="黑体"/>
          <w:kern w:val="0"/>
          <w:sz w:val="32"/>
          <w:szCs w:val="32"/>
        </w:rPr>
      </w:pPr>
      <w:r>
        <w:rPr>
          <w:rFonts w:hint="eastAsia" w:ascii="仿宋_GB2312" w:hAnsi="黑体" w:eastAsia="仿宋_GB2312" w:cs="黑体"/>
          <w:kern w:val="0"/>
          <w:sz w:val="32"/>
          <w:szCs w:val="32"/>
        </w:rPr>
        <w:t>（五）负责区公车平台的运行、维护及服务工作。</w:t>
      </w:r>
    </w:p>
    <w:p>
      <w:pPr>
        <w:widowControl/>
        <w:spacing w:line="590" w:lineRule="exact"/>
        <w:ind w:firstLine="640" w:firstLineChars="200"/>
        <w:outlineLvl w:val="1"/>
        <w:rPr>
          <w:rFonts w:hint="eastAsia" w:ascii="仿宋_GB2312" w:hAnsi="黑体" w:eastAsia="仿宋_GB2312" w:cs="黑体"/>
          <w:kern w:val="0"/>
          <w:sz w:val="32"/>
          <w:szCs w:val="32"/>
        </w:rPr>
      </w:pPr>
      <w:r>
        <w:rPr>
          <w:rFonts w:hint="eastAsia" w:ascii="仿宋_GB2312" w:hAnsi="黑体" w:eastAsia="仿宋_GB2312" w:cs="黑体"/>
          <w:kern w:val="0"/>
          <w:sz w:val="32"/>
          <w:szCs w:val="32"/>
        </w:rPr>
        <w:t>（六）承办区委区政府交办的其他事项。</w:t>
      </w:r>
    </w:p>
    <w:p>
      <w:pPr>
        <w:pStyle w:val="9"/>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lang w:eastAsia="zh-CN"/>
        </w:rPr>
        <w:t>机关事务中心部门</w:t>
      </w:r>
      <w:r>
        <w:rPr>
          <w:rFonts w:hint="eastAsia" w:ascii="黑体" w:hAnsi="黑体" w:eastAsia="黑体"/>
          <w:sz w:val="32"/>
          <w:szCs w:val="32"/>
          <w:highlight w:val="none"/>
        </w:rPr>
        <w:t>构成</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宋体" w:eastAsia="仿宋_GB2312" w:cs="宋体"/>
          <w:sz w:val="32"/>
          <w:szCs w:val="32"/>
        </w:rPr>
        <w:t>纳入新乡市卫滨区机关事务</w:t>
      </w:r>
      <w:r>
        <w:rPr>
          <w:rFonts w:hint="eastAsia" w:ascii="仿宋_GB2312" w:hAnsi="黑体" w:eastAsia="仿宋_GB2312" w:cs="黑体"/>
          <w:sz w:val="32"/>
          <w:szCs w:val="32"/>
        </w:rPr>
        <w:t>中心</w:t>
      </w:r>
      <w:r>
        <w:rPr>
          <w:rFonts w:hint="eastAsia" w:ascii="Times New Roman" w:hAnsi="Times New Roman" w:eastAsia="黑体"/>
          <w:sz w:val="32"/>
          <w:szCs w:val="32"/>
        </w:rPr>
        <w:t>202</w:t>
      </w:r>
      <w:r>
        <w:rPr>
          <w:rFonts w:hint="eastAsia" w:ascii="Times New Roman" w:hAnsi="Times New Roman" w:eastAsia="黑体"/>
          <w:sz w:val="32"/>
          <w:szCs w:val="32"/>
          <w:lang w:val="en-US" w:eastAsia="zh-CN"/>
        </w:rPr>
        <w:t>4</w:t>
      </w:r>
      <w:r>
        <w:rPr>
          <w:rFonts w:hint="eastAsia" w:ascii="仿宋_GB2312" w:hAnsi="仿宋_GB2312" w:eastAsia="仿宋_GB2312" w:cs="仿宋_GB2312"/>
          <w:sz w:val="32"/>
          <w:szCs w:val="32"/>
        </w:rPr>
        <w:t>年度部门预算只有本级。</w:t>
      </w:r>
    </w:p>
    <w:p>
      <w:pPr>
        <w:spacing w:line="560" w:lineRule="exact"/>
        <w:ind w:firstLine="640" w:firstLineChars="200"/>
        <w:jc w:val="left"/>
        <w:rPr>
          <w:rFonts w:hint="eastAsia" w:ascii="仿宋_GB2312" w:eastAsia="仿宋_GB2312"/>
          <w:sz w:val="32"/>
          <w:szCs w:val="32"/>
        </w:rPr>
      </w:pPr>
      <w:r>
        <w:rPr>
          <w:rFonts w:hint="eastAsia" w:ascii="仿宋_GB2312" w:hAnsi="仿宋_GB2312" w:eastAsia="仿宋_GB2312" w:cs="仿宋_GB2312"/>
          <w:sz w:val="32"/>
          <w:szCs w:val="32"/>
        </w:rPr>
        <w:t>纳入本部门</w:t>
      </w:r>
      <w:r>
        <w:rPr>
          <w:rFonts w:hint="eastAsia" w:ascii="Times New Roman" w:hAnsi="Times New Roman" w:eastAsia="黑体"/>
          <w:sz w:val="32"/>
          <w:szCs w:val="32"/>
        </w:rPr>
        <w:t>202</w:t>
      </w:r>
      <w:r>
        <w:rPr>
          <w:rFonts w:hint="eastAsia" w:ascii="Times New Roman" w:hAnsi="Times New Roman" w:eastAsia="黑体"/>
          <w:sz w:val="32"/>
          <w:szCs w:val="32"/>
          <w:lang w:val="en-US" w:eastAsia="zh-CN"/>
        </w:rPr>
        <w:t>4</w:t>
      </w:r>
      <w:r>
        <w:rPr>
          <w:rFonts w:hint="eastAsia" w:ascii="仿宋_GB2312" w:hAnsi="仿宋_GB2312" w:eastAsia="仿宋_GB2312" w:cs="仿宋_GB2312"/>
          <w:sz w:val="32"/>
          <w:szCs w:val="32"/>
        </w:rPr>
        <w:t>年度部门预算编制范围的单位共一个：</w:t>
      </w:r>
      <w:r>
        <w:rPr>
          <w:rFonts w:hint="eastAsia" w:ascii="仿宋_GB2312" w:hAnsi="宋体" w:eastAsia="仿宋_GB2312" w:cs="宋体"/>
          <w:sz w:val="32"/>
          <w:szCs w:val="32"/>
        </w:rPr>
        <w:t>新乡市</w:t>
      </w:r>
      <w:r>
        <w:rPr>
          <w:rFonts w:hint="eastAsia" w:ascii="仿宋_GB2312" w:hAnsi="仿宋_GB2312" w:eastAsia="仿宋_GB2312" w:cs="仿宋_GB2312"/>
          <w:sz w:val="32"/>
          <w:szCs w:val="32"/>
        </w:rPr>
        <w:t>卫滨区</w:t>
      </w:r>
      <w:r>
        <w:rPr>
          <w:rFonts w:hint="eastAsia" w:ascii="仿宋_GB2312" w:hAnsi="黑体" w:eastAsia="仿宋_GB2312" w:cs="黑体"/>
          <w:sz w:val="32"/>
          <w:szCs w:val="32"/>
        </w:rPr>
        <w:t>机关事务中心</w:t>
      </w:r>
      <w:r>
        <w:rPr>
          <w:rFonts w:hint="eastAsia" w:ascii="仿宋_GB2312" w:hAnsi="仿宋_GB2312" w:eastAsia="仿宋_GB2312" w:cs="仿宋_GB2312"/>
          <w:sz w:val="32"/>
          <w:szCs w:val="32"/>
        </w:rPr>
        <w:t>本级，无二级预算单位。</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w:t>
      </w:r>
      <w:r>
        <w:rPr>
          <w:rFonts w:hint="eastAsia" w:ascii="方正小标宋简体" w:hAnsi="方正小标宋简体" w:eastAsia="方正小标宋简体" w:cs="方正小标宋简体"/>
          <w:sz w:val="36"/>
          <w:szCs w:val="36"/>
          <w:lang w:eastAsia="zh-CN"/>
        </w:rPr>
        <w:t>机关事务中心</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widowControl/>
        <w:suppressLineNumbers w:val="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lang w:eastAsia="zh-CN"/>
        </w:rPr>
        <w:t>新乡市卫滨区机关事务中心</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年收入总计</w:t>
      </w:r>
      <w:r>
        <w:rPr>
          <w:rFonts w:hint="default" w:ascii="Times New Roman" w:hAnsi="Times New Roman" w:eastAsia="仿宋_GB2312" w:cs="Times New Roman"/>
          <w:sz w:val="32"/>
          <w:szCs w:val="32"/>
          <w:lang w:val="en-US" w:eastAsia="zh-CN"/>
        </w:rPr>
        <w:t>852.84</w:t>
      </w:r>
      <w:r>
        <w:rPr>
          <w:rFonts w:hint="default" w:ascii="Times New Roman" w:hAnsi="Times New Roman" w:eastAsia="仿宋_GB2312" w:cs="Times New Roman"/>
          <w:sz w:val="32"/>
          <w:szCs w:val="32"/>
        </w:rPr>
        <w:t>万元，支出总计</w:t>
      </w:r>
      <w:r>
        <w:rPr>
          <w:rFonts w:hint="default" w:ascii="Times New Roman" w:hAnsi="Times New Roman" w:eastAsia="仿宋_GB2312" w:cs="Times New Roman"/>
          <w:sz w:val="32"/>
          <w:szCs w:val="32"/>
          <w:lang w:val="en-US" w:eastAsia="zh-CN"/>
        </w:rPr>
        <w:t>852.84</w:t>
      </w:r>
      <w:r>
        <w:rPr>
          <w:rFonts w:hint="default" w:ascii="Times New Roman" w:hAnsi="Times New Roman" w:eastAsia="仿宋_GB2312" w:cs="Times New Roman"/>
          <w:sz w:val="32"/>
          <w:szCs w:val="32"/>
        </w:rPr>
        <w:t>万元，与20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eastAsia="zh-CN"/>
        </w:rPr>
        <w:t>预算</w:t>
      </w:r>
      <w:r>
        <w:rPr>
          <w:rFonts w:hint="default" w:ascii="Times New Roman" w:hAnsi="Times New Roman" w:eastAsia="仿宋_GB2312" w:cs="Times New Roman"/>
          <w:sz w:val="32"/>
          <w:szCs w:val="32"/>
        </w:rPr>
        <w:t>相比，收</w:t>
      </w:r>
      <w:r>
        <w:rPr>
          <w:rFonts w:hint="default" w:ascii="Times New Roman" w:hAnsi="Times New Roman" w:eastAsia="仿宋_GB2312" w:cs="Times New Roman"/>
          <w:sz w:val="32"/>
          <w:szCs w:val="32"/>
          <w:lang w:eastAsia="zh-CN"/>
        </w:rPr>
        <w:t>入</w:t>
      </w:r>
      <w:r>
        <w:rPr>
          <w:rFonts w:hint="default" w:ascii="Times New Roman" w:hAnsi="Times New Roman" w:eastAsia="仿宋_GB2312" w:cs="Times New Roman"/>
          <w:sz w:val="32"/>
          <w:szCs w:val="32"/>
        </w:rPr>
        <w:t>增加</w:t>
      </w:r>
      <w:r>
        <w:rPr>
          <w:rFonts w:hint="default" w:ascii="Times New Roman" w:hAnsi="Times New Roman" w:eastAsia="仿宋_GB2312" w:cs="Times New Roman"/>
          <w:sz w:val="32"/>
          <w:szCs w:val="32"/>
          <w:lang w:val="en-US" w:eastAsia="zh-CN"/>
        </w:rPr>
        <w:t>213.63</w:t>
      </w:r>
      <w:r>
        <w:rPr>
          <w:rFonts w:hint="default" w:ascii="Times New Roman" w:hAnsi="Times New Roman" w:eastAsia="仿宋_GB2312" w:cs="Times New Roman"/>
          <w:sz w:val="32"/>
          <w:szCs w:val="32"/>
        </w:rPr>
        <w:t>万元，增长</w:t>
      </w:r>
      <w:r>
        <w:rPr>
          <w:rFonts w:hint="default" w:ascii="Times New Roman" w:hAnsi="Times New Roman" w:eastAsia="仿宋_GB2312" w:cs="Times New Roman"/>
          <w:sz w:val="32"/>
          <w:szCs w:val="32"/>
          <w:lang w:val="en-US" w:eastAsia="zh-CN"/>
        </w:rPr>
        <w:t>33.42%</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eastAsia="zh-CN"/>
        </w:rPr>
        <w:t>机关大院运转经费增加、</w:t>
      </w:r>
      <w:r>
        <w:rPr>
          <w:rFonts w:hint="default" w:ascii="Times New Roman" w:hAnsi="Times New Roman" w:eastAsia="仿宋_GB2312" w:cs="Times New Roman"/>
          <w:color w:val="000000"/>
          <w:kern w:val="0"/>
          <w:sz w:val="31"/>
          <w:szCs w:val="31"/>
          <w:lang w:val="en-US" w:eastAsia="zh-CN" w:bidi="ar"/>
        </w:rPr>
        <w:t xml:space="preserve">项目预算增加区委督察组工作经费1项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支出</w:t>
      </w:r>
      <w:r>
        <w:rPr>
          <w:rFonts w:hint="default" w:ascii="Times New Roman" w:hAnsi="Times New Roman" w:eastAsia="仿宋_GB2312" w:cs="Times New Roman"/>
          <w:sz w:val="32"/>
          <w:szCs w:val="32"/>
        </w:rPr>
        <w:t>增加</w:t>
      </w:r>
      <w:r>
        <w:rPr>
          <w:rFonts w:hint="default" w:ascii="Times New Roman" w:hAnsi="Times New Roman" w:eastAsia="仿宋_GB2312" w:cs="Times New Roman"/>
          <w:sz w:val="32"/>
          <w:szCs w:val="32"/>
          <w:lang w:val="en-US" w:eastAsia="zh-CN"/>
        </w:rPr>
        <w:t>213.63</w:t>
      </w:r>
      <w:r>
        <w:rPr>
          <w:rFonts w:hint="default" w:ascii="Times New Roman" w:hAnsi="Times New Roman" w:eastAsia="仿宋_GB2312" w:cs="Times New Roman"/>
          <w:sz w:val="32"/>
          <w:szCs w:val="32"/>
        </w:rPr>
        <w:t>万元，增长</w:t>
      </w:r>
      <w:r>
        <w:rPr>
          <w:rFonts w:hint="default" w:ascii="Times New Roman" w:hAnsi="Times New Roman" w:eastAsia="仿宋_GB2312" w:cs="Times New Roman"/>
          <w:sz w:val="32"/>
          <w:szCs w:val="32"/>
          <w:lang w:val="en-US" w:eastAsia="zh-CN"/>
        </w:rPr>
        <w:t>33.42%</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eastAsia="zh-CN"/>
        </w:rPr>
        <w:t>机关大院运转经费增加、</w:t>
      </w:r>
      <w:r>
        <w:rPr>
          <w:rFonts w:hint="default" w:ascii="Times New Roman" w:hAnsi="Times New Roman" w:eastAsia="仿宋_GB2312" w:cs="Times New Roman"/>
          <w:color w:val="000000"/>
          <w:kern w:val="0"/>
          <w:sz w:val="31"/>
          <w:szCs w:val="31"/>
          <w:lang w:val="en-US" w:eastAsia="zh-CN" w:bidi="ar"/>
        </w:rPr>
        <w:t xml:space="preserve">项目预算增加区委督察组工作经费1项 </w:t>
      </w:r>
      <w:r>
        <w:rPr>
          <w:rFonts w:hint="default" w:ascii="Times New Roman" w:hAnsi="Times New Roman" w:eastAsia="仿宋_GB2312" w:cs="Times New Roman"/>
          <w:sz w:val="32"/>
          <w:szCs w:val="32"/>
        </w:rPr>
        <w:t>。</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auto"/>
          <w:sz w:val="32"/>
          <w:szCs w:val="32"/>
          <w:highlight w:val="none"/>
          <w:lang w:eastAsia="zh-CN"/>
        </w:rPr>
        <w:t>新乡市卫滨区机关事务中心</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年收入预算合计</w:t>
      </w:r>
      <w:r>
        <w:rPr>
          <w:rFonts w:hint="default" w:ascii="Times New Roman" w:hAnsi="Times New Roman" w:eastAsia="仿宋_GB2312" w:cs="Times New Roman"/>
          <w:sz w:val="32"/>
          <w:szCs w:val="32"/>
          <w:lang w:val="en-US" w:eastAsia="zh-CN"/>
        </w:rPr>
        <w:t>852.84</w:t>
      </w:r>
      <w:r>
        <w:rPr>
          <w:rFonts w:hint="default" w:ascii="Times New Roman" w:hAnsi="Times New Roman" w:eastAsia="仿宋_GB2312" w:cs="Times New Roman"/>
          <w:sz w:val="32"/>
          <w:szCs w:val="32"/>
        </w:rPr>
        <w:t>万元，收入预算总计增加</w:t>
      </w:r>
      <w:r>
        <w:rPr>
          <w:rFonts w:hint="default" w:ascii="Times New Roman" w:hAnsi="Times New Roman" w:eastAsia="仿宋_GB2312" w:cs="Times New Roman"/>
          <w:sz w:val="32"/>
          <w:szCs w:val="32"/>
          <w:lang w:val="en-US" w:eastAsia="zh-CN"/>
        </w:rPr>
        <w:t>213.63</w:t>
      </w:r>
      <w:r>
        <w:rPr>
          <w:rFonts w:hint="default" w:ascii="Times New Roman" w:hAnsi="Times New Roman" w:eastAsia="仿宋_GB2312" w:cs="Times New Roman"/>
          <w:sz w:val="32"/>
          <w:szCs w:val="32"/>
        </w:rPr>
        <w:t>万元，增长</w:t>
      </w:r>
      <w:r>
        <w:rPr>
          <w:rFonts w:hint="default" w:ascii="Times New Roman" w:hAnsi="Times New Roman" w:eastAsia="仿宋_GB2312" w:cs="Times New Roman"/>
          <w:sz w:val="32"/>
          <w:szCs w:val="32"/>
          <w:lang w:val="en-US" w:eastAsia="zh-CN"/>
        </w:rPr>
        <w:t>33.42%</w:t>
      </w:r>
      <w:r>
        <w:rPr>
          <w:rFonts w:hint="default" w:ascii="Times New Roman" w:hAnsi="Times New Roman" w:eastAsia="仿宋_GB2312" w:cs="Times New Roman"/>
          <w:sz w:val="32"/>
          <w:szCs w:val="32"/>
        </w:rPr>
        <w:t>，原因为</w:t>
      </w:r>
      <w:r>
        <w:rPr>
          <w:rFonts w:hint="default" w:ascii="Times New Roman" w:hAnsi="Times New Roman" w:eastAsia="仿宋_GB2312" w:cs="Times New Roman"/>
          <w:sz w:val="32"/>
          <w:szCs w:val="32"/>
          <w:lang w:eastAsia="zh-CN"/>
        </w:rPr>
        <w:t>机关大院运转经费增加、</w:t>
      </w:r>
      <w:r>
        <w:rPr>
          <w:rFonts w:hint="default" w:ascii="Times New Roman" w:hAnsi="Times New Roman" w:eastAsia="仿宋_GB2312" w:cs="Times New Roman"/>
          <w:color w:val="000000"/>
          <w:kern w:val="0"/>
          <w:sz w:val="31"/>
          <w:szCs w:val="31"/>
          <w:lang w:val="en-US" w:eastAsia="zh-CN" w:bidi="ar"/>
        </w:rPr>
        <w:t xml:space="preserve">项目预算增加区委督察组工作经费1项 </w:t>
      </w:r>
      <w:r>
        <w:rPr>
          <w:rFonts w:hint="default" w:ascii="Times New Roman" w:hAnsi="Times New Roman" w:eastAsia="仿宋_GB2312" w:cs="Times New Roman"/>
          <w:sz w:val="32"/>
          <w:szCs w:val="32"/>
        </w:rPr>
        <w:t>。其中：一般公共预算</w:t>
      </w:r>
      <w:r>
        <w:rPr>
          <w:rFonts w:hint="default" w:ascii="Times New Roman" w:hAnsi="Times New Roman" w:eastAsia="仿宋_GB2312" w:cs="Times New Roman"/>
          <w:sz w:val="32"/>
          <w:szCs w:val="32"/>
          <w:lang w:val="en-US" w:eastAsia="zh-CN"/>
        </w:rPr>
        <w:t>852.84</w:t>
      </w:r>
      <w:r>
        <w:rPr>
          <w:rFonts w:hint="default" w:ascii="Times New Roman" w:hAnsi="Times New Roman" w:eastAsia="仿宋_GB2312" w:cs="Times New Roman"/>
          <w:sz w:val="32"/>
          <w:szCs w:val="32"/>
        </w:rPr>
        <w:t>万元; 政府性基金收入0万元；国有资本</w:t>
      </w:r>
      <w:r>
        <w:rPr>
          <w:rFonts w:hint="default" w:ascii="Times New Roman" w:hAnsi="Times New Roman" w:eastAsia="仿宋_GB2312" w:cs="Times New Roman"/>
          <w:sz w:val="32"/>
          <w:szCs w:val="32"/>
          <w:lang w:eastAsia="zh-CN"/>
        </w:rPr>
        <w:t>经营</w:t>
      </w:r>
      <w:r>
        <w:rPr>
          <w:rFonts w:hint="default" w:ascii="Times New Roman" w:hAnsi="Times New Roman" w:eastAsia="仿宋_GB2312" w:cs="Times New Roman"/>
          <w:sz w:val="32"/>
          <w:szCs w:val="32"/>
        </w:rPr>
        <w:t>预算收入0万元；财政专户管理</w:t>
      </w:r>
      <w:r>
        <w:rPr>
          <w:rFonts w:hint="default" w:ascii="Times New Roman" w:hAnsi="Times New Roman" w:eastAsia="仿宋_GB2312" w:cs="Times New Roman"/>
          <w:sz w:val="32"/>
          <w:szCs w:val="32"/>
          <w:lang w:eastAsia="zh-CN"/>
        </w:rPr>
        <w:t>资金</w:t>
      </w:r>
      <w:r>
        <w:rPr>
          <w:rFonts w:hint="default" w:ascii="Times New Roman" w:hAnsi="Times New Roman" w:eastAsia="仿宋_GB2312" w:cs="Times New Roman"/>
          <w:sz w:val="32"/>
          <w:szCs w:val="32"/>
        </w:rPr>
        <w:t>收入0万元</w:t>
      </w:r>
      <w:r>
        <w:rPr>
          <w:rFonts w:hint="default" w:ascii="Times New Roman" w:hAnsi="Times New Roman" w:eastAsia="仿宋_GB2312" w:cs="Times New Roman"/>
          <w:sz w:val="32"/>
          <w:szCs w:val="32"/>
          <w:highlight w:val="none"/>
          <w:lang w:eastAsia="zh-CN"/>
        </w:rPr>
        <w:t>（其中专户管理的教育收费</w:t>
      </w:r>
      <w:r>
        <w:rPr>
          <w:rFonts w:hint="default" w:ascii="Times New Roman" w:hAnsi="Times New Roman" w:eastAsia="仿宋_GB2312" w:cs="Times New Roman"/>
          <w:sz w:val="32"/>
          <w:szCs w:val="32"/>
        </w:rPr>
        <w:t>0</w:t>
      </w:r>
      <w:r>
        <w:rPr>
          <w:rFonts w:hint="default" w:ascii="Times New Roman" w:hAnsi="Times New Roman" w:eastAsia="仿宋_GB2312" w:cs="Times New Roman"/>
          <w:sz w:val="32"/>
          <w:szCs w:val="32"/>
          <w:highlight w:val="none"/>
          <w:lang w:val="en-US" w:eastAsia="zh-CN"/>
        </w:rPr>
        <w:t>万元</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事业</w:t>
      </w:r>
      <w:r>
        <w:rPr>
          <w:rFonts w:hint="default" w:ascii="Times New Roman" w:hAnsi="Times New Roman" w:eastAsia="仿宋_GB2312" w:cs="Times New Roman"/>
          <w:sz w:val="32"/>
          <w:szCs w:val="32"/>
        </w:rPr>
        <w:t>收入0万元</w:t>
      </w:r>
      <w:r>
        <w:rPr>
          <w:rFonts w:hint="default" w:ascii="Times New Roman" w:hAnsi="Times New Roman" w:eastAsia="仿宋_GB2312" w:cs="Times New Roman"/>
          <w:sz w:val="32"/>
          <w:szCs w:val="32"/>
          <w:lang w:eastAsia="zh-CN"/>
        </w:rPr>
        <w:t>；事业单位经营</w:t>
      </w:r>
      <w:r>
        <w:rPr>
          <w:rFonts w:hint="default" w:ascii="Times New Roman" w:hAnsi="Times New Roman" w:eastAsia="仿宋_GB2312" w:cs="Times New Roman"/>
          <w:sz w:val="32"/>
          <w:szCs w:val="32"/>
        </w:rPr>
        <w:t>收入0万元</w:t>
      </w:r>
      <w:r>
        <w:rPr>
          <w:rFonts w:hint="default" w:ascii="Times New Roman" w:hAnsi="Times New Roman" w:eastAsia="仿宋_GB2312" w:cs="Times New Roman"/>
          <w:sz w:val="32"/>
          <w:szCs w:val="32"/>
          <w:lang w:eastAsia="zh-CN"/>
        </w:rPr>
        <w:t>；上级补助</w:t>
      </w:r>
      <w:r>
        <w:rPr>
          <w:rFonts w:hint="default" w:ascii="Times New Roman" w:hAnsi="Times New Roman" w:eastAsia="仿宋_GB2312" w:cs="Times New Roman"/>
          <w:sz w:val="32"/>
          <w:szCs w:val="32"/>
        </w:rPr>
        <w:t>收入0万元</w:t>
      </w:r>
      <w:r>
        <w:rPr>
          <w:rFonts w:hint="default" w:ascii="Times New Roman" w:hAnsi="Times New Roman" w:eastAsia="仿宋_GB2312" w:cs="Times New Roman"/>
          <w:sz w:val="32"/>
          <w:szCs w:val="32"/>
          <w:lang w:eastAsia="zh-CN"/>
        </w:rPr>
        <w:t>；附属单位上缴</w:t>
      </w:r>
      <w:r>
        <w:rPr>
          <w:rFonts w:hint="default" w:ascii="Times New Roman" w:hAnsi="Times New Roman" w:eastAsia="仿宋_GB2312" w:cs="Times New Roman"/>
          <w:sz w:val="32"/>
          <w:szCs w:val="32"/>
        </w:rPr>
        <w:t>收入0万元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其他收入0万元</w:t>
      </w:r>
      <w:r>
        <w:rPr>
          <w:rFonts w:hint="default" w:ascii="Times New Roman" w:hAnsi="Times New Roman" w:eastAsia="仿宋_GB2312" w:cs="Times New Roman"/>
          <w:sz w:val="32"/>
          <w:szCs w:val="32"/>
          <w:lang w:eastAsia="zh-CN"/>
        </w:rPr>
        <w:t>；上年结转结余中一般公共预算</w:t>
      </w:r>
      <w:r>
        <w:rPr>
          <w:rFonts w:hint="default" w:ascii="Times New Roman" w:hAnsi="Times New Roman" w:eastAsia="仿宋_GB2312" w:cs="Times New Roman"/>
          <w:sz w:val="32"/>
          <w:szCs w:val="32"/>
        </w:rPr>
        <w:t>0万元</w:t>
      </w:r>
      <w:r>
        <w:rPr>
          <w:rFonts w:hint="default" w:ascii="Times New Roman" w:hAnsi="Times New Roman" w:eastAsia="仿宋_GB2312" w:cs="Times New Roman"/>
          <w:sz w:val="32"/>
          <w:szCs w:val="32"/>
          <w:lang w:eastAsia="zh-CN"/>
        </w:rPr>
        <w:t>；上年结转结余中</w:t>
      </w:r>
      <w:r>
        <w:rPr>
          <w:rFonts w:hint="default" w:ascii="Times New Roman" w:hAnsi="Times New Roman" w:eastAsia="仿宋_GB2312" w:cs="Times New Roman"/>
          <w:sz w:val="32"/>
          <w:szCs w:val="32"/>
        </w:rPr>
        <w:t>政府性基金0万元</w:t>
      </w:r>
      <w:r>
        <w:rPr>
          <w:rFonts w:hint="default" w:ascii="Times New Roman" w:hAnsi="Times New Roman" w:eastAsia="仿宋_GB2312" w:cs="Times New Roman"/>
          <w:sz w:val="32"/>
          <w:szCs w:val="32"/>
          <w:lang w:eastAsia="zh-CN"/>
        </w:rPr>
        <w:t>；上年结转结余中</w:t>
      </w:r>
      <w:r>
        <w:rPr>
          <w:rFonts w:hint="default" w:ascii="Times New Roman" w:hAnsi="Times New Roman" w:eastAsia="仿宋_GB2312" w:cs="Times New Roman"/>
          <w:sz w:val="32"/>
          <w:szCs w:val="32"/>
        </w:rPr>
        <w:t>国有资本</w:t>
      </w:r>
      <w:r>
        <w:rPr>
          <w:rFonts w:hint="default" w:ascii="Times New Roman" w:hAnsi="Times New Roman" w:eastAsia="仿宋_GB2312" w:cs="Times New Roman"/>
          <w:sz w:val="32"/>
          <w:szCs w:val="32"/>
          <w:lang w:eastAsia="zh-CN"/>
        </w:rPr>
        <w:t>经营</w:t>
      </w:r>
      <w:r>
        <w:rPr>
          <w:rFonts w:hint="default" w:ascii="Times New Roman" w:hAnsi="Times New Roman" w:eastAsia="仿宋_GB2312" w:cs="Times New Roman"/>
          <w:sz w:val="32"/>
          <w:szCs w:val="32"/>
        </w:rPr>
        <w:t>预算0万元</w:t>
      </w:r>
      <w:r>
        <w:rPr>
          <w:rFonts w:hint="default" w:ascii="Times New Roman" w:hAnsi="Times New Roman" w:eastAsia="仿宋_GB2312" w:cs="Times New Roman"/>
          <w:sz w:val="32"/>
          <w:szCs w:val="32"/>
          <w:lang w:eastAsia="zh-CN"/>
        </w:rPr>
        <w:t>；上年结转结余中</w:t>
      </w:r>
      <w:r>
        <w:rPr>
          <w:rFonts w:hint="default" w:ascii="Times New Roman" w:hAnsi="Times New Roman" w:eastAsia="仿宋_GB2312" w:cs="Times New Roman"/>
          <w:sz w:val="32"/>
          <w:szCs w:val="32"/>
        </w:rPr>
        <w:t>财政专户管理</w:t>
      </w:r>
      <w:r>
        <w:rPr>
          <w:rFonts w:hint="default" w:ascii="Times New Roman" w:hAnsi="Times New Roman" w:eastAsia="仿宋_GB2312" w:cs="Times New Roman"/>
          <w:sz w:val="32"/>
          <w:szCs w:val="32"/>
          <w:lang w:eastAsia="zh-CN"/>
        </w:rPr>
        <w:t>资金</w:t>
      </w:r>
      <w:r>
        <w:rPr>
          <w:rFonts w:hint="default" w:ascii="Times New Roman" w:hAnsi="Times New Roman" w:eastAsia="仿宋_GB2312" w:cs="Times New Roman"/>
          <w:sz w:val="32"/>
          <w:szCs w:val="32"/>
        </w:rPr>
        <w:t>0万元</w:t>
      </w:r>
      <w:r>
        <w:rPr>
          <w:rFonts w:hint="default" w:ascii="Times New Roman" w:hAnsi="Times New Roman" w:eastAsia="仿宋_GB2312" w:cs="Times New Roman"/>
          <w:sz w:val="32"/>
          <w:szCs w:val="32"/>
          <w:lang w:eastAsia="zh-CN"/>
        </w:rPr>
        <w:t>；上年结转结余中单位资金</w:t>
      </w:r>
      <w:r>
        <w:rPr>
          <w:rFonts w:hint="default" w:ascii="Times New Roman" w:hAnsi="Times New Roman" w:eastAsia="仿宋_GB2312" w:cs="Times New Roman"/>
          <w:sz w:val="32"/>
          <w:szCs w:val="32"/>
        </w:rPr>
        <w:t>0万元。</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highlight w:val="red"/>
        </w:rPr>
      </w:pPr>
      <w:r>
        <w:rPr>
          <w:rFonts w:hint="default" w:ascii="Times New Roman" w:hAnsi="Times New Roman" w:eastAsia="仿宋_GB2312" w:cs="Times New Roman"/>
          <w:sz w:val="32"/>
          <w:szCs w:val="32"/>
          <w:highlight w:val="none"/>
          <w:lang w:eastAsia="zh-CN"/>
        </w:rPr>
        <w:t>新乡市卫滨区机关事务中心</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年支出预算合计</w:t>
      </w:r>
      <w:r>
        <w:rPr>
          <w:rFonts w:hint="default" w:ascii="Times New Roman" w:hAnsi="Times New Roman" w:eastAsia="仿宋_GB2312" w:cs="Times New Roman"/>
          <w:sz w:val="32"/>
          <w:szCs w:val="32"/>
          <w:lang w:val="en-US" w:eastAsia="zh-CN"/>
        </w:rPr>
        <w:t>852.84</w:t>
      </w:r>
      <w:r>
        <w:rPr>
          <w:rFonts w:hint="default" w:ascii="Times New Roman" w:hAnsi="Times New Roman" w:eastAsia="仿宋_GB2312" w:cs="Times New Roman"/>
          <w:sz w:val="32"/>
          <w:szCs w:val="32"/>
        </w:rPr>
        <w:t>万元，其中：基本支出</w:t>
      </w:r>
      <w:r>
        <w:rPr>
          <w:rFonts w:hint="default" w:ascii="Times New Roman" w:hAnsi="Times New Roman" w:eastAsia="仿宋_GB2312" w:cs="Times New Roman"/>
          <w:sz w:val="32"/>
          <w:szCs w:val="32"/>
          <w:lang w:val="en-US" w:eastAsia="zh-CN"/>
        </w:rPr>
        <w:t>171.52</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20.11</w:t>
      </w:r>
      <w:r>
        <w:rPr>
          <w:rFonts w:hint="default" w:ascii="Times New Roman" w:hAnsi="Times New Roman" w:eastAsia="仿宋_GB2312" w:cs="Times New Roman"/>
          <w:sz w:val="32"/>
          <w:szCs w:val="32"/>
        </w:rPr>
        <w:t>%；项目支出</w:t>
      </w:r>
      <w:r>
        <w:rPr>
          <w:rFonts w:hint="default" w:ascii="Times New Roman" w:hAnsi="Times New Roman" w:eastAsia="仿宋_GB2312" w:cs="Times New Roman"/>
          <w:sz w:val="32"/>
          <w:szCs w:val="32"/>
          <w:lang w:val="en-US" w:eastAsia="zh-CN"/>
        </w:rPr>
        <w:t>681.32</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79.89</w:t>
      </w:r>
      <w:r>
        <w:rPr>
          <w:rFonts w:hint="default" w:ascii="Times New Roman" w:hAnsi="Times New Roman" w:eastAsia="仿宋_GB2312" w:cs="Times New Roman"/>
          <w:sz w:val="32"/>
          <w:szCs w:val="32"/>
        </w:rPr>
        <w:t>%。</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sz w:val="32"/>
          <w:szCs w:val="32"/>
          <w:highlight w:val="none"/>
          <w:lang w:eastAsia="zh-CN"/>
        </w:rPr>
        <w:t>新乡市卫滨区机关事务中心</w:t>
      </w:r>
      <w:r>
        <w:rPr>
          <w:rFonts w:hint="default" w:ascii="Times New Roman" w:hAnsi="Times New Roman" w:eastAsia="仿宋_GB2312" w:cs="Times New Roman"/>
          <w:b w:val="0"/>
          <w:bCs w:val="0"/>
          <w:sz w:val="32"/>
          <w:szCs w:val="32"/>
        </w:rPr>
        <w:t>202</w:t>
      </w:r>
      <w:r>
        <w:rPr>
          <w:rFonts w:hint="default" w:ascii="Times New Roman" w:hAnsi="Times New Roman" w:eastAsia="仿宋_GB2312" w:cs="Times New Roman"/>
          <w:b w:val="0"/>
          <w:bCs w:val="0"/>
          <w:sz w:val="32"/>
          <w:szCs w:val="32"/>
          <w:lang w:val="en-US" w:eastAsia="zh-CN"/>
        </w:rPr>
        <w:t>4</w:t>
      </w:r>
      <w:r>
        <w:rPr>
          <w:rFonts w:hint="default" w:ascii="Times New Roman" w:hAnsi="Times New Roman" w:eastAsia="仿宋_GB2312" w:cs="Times New Roman"/>
          <w:b w:val="0"/>
          <w:bCs w:val="0"/>
          <w:sz w:val="32"/>
          <w:szCs w:val="32"/>
        </w:rPr>
        <w:t>年一般公共财政预算拨款收支预算</w:t>
      </w:r>
      <w:r>
        <w:rPr>
          <w:rFonts w:hint="default" w:ascii="Times New Roman" w:hAnsi="Times New Roman" w:eastAsia="仿宋_GB2312" w:cs="Times New Roman"/>
          <w:sz w:val="32"/>
          <w:szCs w:val="32"/>
          <w:lang w:val="en-US" w:eastAsia="zh-CN"/>
        </w:rPr>
        <w:t>852.84</w:t>
      </w:r>
      <w:r>
        <w:rPr>
          <w:rFonts w:hint="default" w:ascii="Times New Roman" w:hAnsi="Times New Roman" w:eastAsia="仿宋_GB2312" w:cs="Times New Roman"/>
          <w:b w:val="0"/>
          <w:bCs w:val="0"/>
          <w:sz w:val="32"/>
          <w:szCs w:val="32"/>
        </w:rPr>
        <w:t>万元，政府性基金收支预算</w:t>
      </w:r>
      <w:r>
        <w:rPr>
          <w:rFonts w:hint="default" w:ascii="Times New Roman" w:hAnsi="Times New Roman" w:eastAsia="仿宋_GB2312" w:cs="Times New Roman"/>
          <w:b w:val="0"/>
          <w:bCs w:val="0"/>
          <w:sz w:val="32"/>
          <w:szCs w:val="32"/>
          <w:lang w:val="en-US" w:eastAsia="zh-CN"/>
        </w:rPr>
        <w:t>0</w:t>
      </w:r>
      <w:r>
        <w:rPr>
          <w:rFonts w:hint="default" w:ascii="Times New Roman" w:hAnsi="Times New Roman" w:eastAsia="仿宋_GB2312" w:cs="Times New Roman"/>
          <w:b w:val="0"/>
          <w:bCs w:val="0"/>
          <w:sz w:val="32"/>
          <w:szCs w:val="32"/>
        </w:rPr>
        <w:t>万元。与 20</w:t>
      </w:r>
      <w:r>
        <w:rPr>
          <w:rFonts w:hint="default" w:ascii="Times New Roman" w:hAnsi="Times New Roman" w:eastAsia="仿宋_GB2312" w:cs="Times New Roman"/>
          <w:b w:val="0"/>
          <w:bCs w:val="0"/>
          <w:sz w:val="32"/>
          <w:szCs w:val="32"/>
          <w:lang w:val="en-US" w:eastAsia="zh-CN"/>
        </w:rPr>
        <w:t>23</w:t>
      </w:r>
      <w:r>
        <w:rPr>
          <w:rFonts w:hint="default" w:ascii="Times New Roman" w:hAnsi="Times New Roman" w:eastAsia="仿宋_GB2312" w:cs="Times New Roman"/>
          <w:b w:val="0"/>
          <w:bCs w:val="0"/>
          <w:sz w:val="32"/>
          <w:szCs w:val="32"/>
        </w:rPr>
        <w:t>年相比，一般公共预算收支预算增加</w:t>
      </w:r>
      <w:r>
        <w:rPr>
          <w:rFonts w:hint="default" w:ascii="Times New Roman" w:hAnsi="Times New Roman" w:eastAsia="仿宋_GB2312" w:cs="Times New Roman"/>
          <w:sz w:val="32"/>
          <w:szCs w:val="32"/>
          <w:lang w:val="en-US" w:eastAsia="zh-CN"/>
        </w:rPr>
        <w:t>213.63</w:t>
      </w:r>
      <w:r>
        <w:rPr>
          <w:rFonts w:hint="default" w:ascii="Times New Roman" w:hAnsi="Times New Roman" w:eastAsia="仿宋_GB2312" w:cs="Times New Roman"/>
          <w:b w:val="0"/>
          <w:bCs w:val="0"/>
          <w:sz w:val="32"/>
          <w:szCs w:val="32"/>
        </w:rPr>
        <w:t>万元，增长</w:t>
      </w:r>
      <w:r>
        <w:rPr>
          <w:rFonts w:hint="default" w:ascii="Times New Roman" w:hAnsi="Times New Roman" w:eastAsia="仿宋_GB2312" w:cs="Times New Roman"/>
          <w:sz w:val="32"/>
          <w:szCs w:val="32"/>
          <w:lang w:val="en-US" w:eastAsia="zh-CN"/>
        </w:rPr>
        <w:t>33.42</w:t>
      </w:r>
      <w:r>
        <w:rPr>
          <w:rFonts w:hint="default" w:ascii="Times New Roman" w:hAnsi="Times New Roman" w:eastAsia="仿宋_GB2312" w:cs="Times New Roman"/>
          <w:b w:val="0"/>
          <w:bCs w:val="0"/>
          <w:sz w:val="32"/>
          <w:szCs w:val="32"/>
        </w:rPr>
        <w:t>%，主要原因是</w:t>
      </w:r>
      <w:r>
        <w:rPr>
          <w:rFonts w:hint="default" w:ascii="Times New Roman" w:hAnsi="Times New Roman" w:eastAsia="仿宋_GB2312" w:cs="Times New Roman"/>
          <w:sz w:val="32"/>
          <w:szCs w:val="32"/>
          <w:lang w:eastAsia="zh-CN"/>
        </w:rPr>
        <w:t>机关大院运转经费增加、</w:t>
      </w:r>
      <w:r>
        <w:rPr>
          <w:rFonts w:hint="default" w:ascii="Times New Roman" w:hAnsi="Times New Roman" w:eastAsia="仿宋_GB2312" w:cs="Times New Roman"/>
          <w:color w:val="000000"/>
          <w:kern w:val="0"/>
          <w:sz w:val="31"/>
          <w:szCs w:val="31"/>
          <w:lang w:val="en-US" w:eastAsia="zh-CN" w:bidi="ar"/>
        </w:rPr>
        <w:t xml:space="preserve">项目预算增加区委督察组工作经费1项 </w:t>
      </w:r>
      <w:r>
        <w:rPr>
          <w:rFonts w:hint="default" w:ascii="Times New Roman" w:hAnsi="Times New Roman" w:eastAsia="仿宋_GB2312" w:cs="Times New Roman"/>
          <w:b w:val="0"/>
          <w:bCs w:val="0"/>
          <w:sz w:val="32"/>
          <w:szCs w:val="32"/>
        </w:rPr>
        <w:t>；政府性基金收支预算增加</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b w:val="0"/>
          <w:bCs w:val="0"/>
          <w:sz w:val="32"/>
          <w:szCs w:val="32"/>
        </w:rPr>
        <w:t>万元，增长</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b w:val="0"/>
          <w:bCs w:val="0"/>
          <w:sz w:val="32"/>
          <w:szCs w:val="32"/>
        </w:rPr>
        <w:t>%，主要是</w:t>
      </w:r>
      <w:r>
        <w:rPr>
          <w:rFonts w:hint="default" w:ascii="Times New Roman" w:hAnsi="Times New Roman" w:eastAsia="仿宋_GB2312" w:cs="Times New Roman"/>
          <w:b w:val="0"/>
          <w:bCs w:val="0"/>
          <w:sz w:val="32"/>
          <w:szCs w:val="32"/>
          <w:lang w:eastAsia="zh-CN"/>
        </w:rPr>
        <w:t>无</w:t>
      </w:r>
      <w:r>
        <w:rPr>
          <w:rFonts w:hint="default" w:ascii="Times New Roman" w:hAnsi="Times New Roman" w:eastAsia="仿宋_GB2312" w:cs="Times New Roman"/>
          <w:b w:val="0"/>
          <w:bCs w:val="0"/>
          <w:sz w:val="32"/>
          <w:szCs w:val="32"/>
        </w:rPr>
        <w:t>。</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黑体" w:cs="Times New Roman"/>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lang w:eastAsia="zh-CN"/>
        </w:rPr>
        <w:t>新乡市卫滨区机关事务中心</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年一般公共预算支出年初预算</w:t>
      </w:r>
      <w:r>
        <w:rPr>
          <w:rFonts w:hint="default" w:ascii="Times New Roman" w:hAnsi="Times New Roman" w:eastAsia="仿宋_GB2312" w:cs="Times New Roman"/>
          <w:sz w:val="32"/>
          <w:szCs w:val="32"/>
          <w:lang w:val="en-US" w:eastAsia="zh-CN"/>
        </w:rPr>
        <w:t>852.84</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其中：基本</w:t>
      </w:r>
      <w:r>
        <w:rPr>
          <w:rFonts w:hint="default" w:ascii="Times New Roman" w:hAnsi="Times New Roman" w:eastAsia="仿宋_GB2312" w:cs="Times New Roman"/>
          <w:sz w:val="32"/>
          <w:szCs w:val="32"/>
        </w:rPr>
        <w:t>支出</w:t>
      </w:r>
      <w:r>
        <w:rPr>
          <w:rFonts w:hint="default" w:ascii="Times New Roman" w:hAnsi="Times New Roman" w:eastAsia="仿宋_GB2312" w:cs="Times New Roman"/>
          <w:sz w:val="32"/>
          <w:szCs w:val="32"/>
          <w:lang w:val="en-US" w:eastAsia="zh-CN"/>
        </w:rPr>
        <w:t>171.52</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20.11</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项目</w:t>
      </w:r>
      <w:r>
        <w:rPr>
          <w:rFonts w:hint="default" w:ascii="Times New Roman" w:hAnsi="Times New Roman" w:eastAsia="仿宋_GB2312" w:cs="Times New Roman"/>
          <w:sz w:val="32"/>
          <w:szCs w:val="32"/>
        </w:rPr>
        <w:t>支出</w:t>
      </w:r>
      <w:r>
        <w:rPr>
          <w:rFonts w:hint="default" w:ascii="Times New Roman" w:hAnsi="Times New Roman" w:eastAsia="仿宋_GB2312" w:cs="Times New Roman"/>
          <w:sz w:val="32"/>
          <w:szCs w:val="32"/>
          <w:lang w:val="en-US" w:eastAsia="zh-CN"/>
        </w:rPr>
        <w:t>681.32</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79.89</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highlight w:val="none"/>
          <w:lang w:val="en-US" w:eastAsia="zh-CN"/>
        </w:rPr>
        <w:t>主要用于以下方面：社会保障和就业（类）支出14.38万元，占1.69%；卫生健康（类）支出6.74万元，占0.79%；住房保障（类）支出10.13万元，占1.19%。</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highlight w:val="red"/>
        </w:rPr>
      </w:pPr>
      <w:r>
        <w:rPr>
          <w:rFonts w:hint="default" w:ascii="Times New Roman" w:hAnsi="Times New Roman" w:eastAsia="黑体" w:cs="Times New Roman"/>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lang w:eastAsia="zh-CN"/>
        </w:rPr>
        <w:t>新乡市卫滨区机关事务中心</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年一般公共预算基本支出</w:t>
      </w:r>
      <w:r>
        <w:rPr>
          <w:rFonts w:hint="default" w:ascii="Times New Roman" w:hAnsi="Times New Roman" w:eastAsia="仿宋_GB2312" w:cs="Times New Roman"/>
          <w:sz w:val="32"/>
          <w:szCs w:val="32"/>
          <w:lang w:val="en-US" w:eastAsia="zh-CN"/>
        </w:rPr>
        <w:t>171.52</w:t>
      </w:r>
      <w:r>
        <w:rPr>
          <w:rFonts w:hint="default" w:ascii="Times New Roman" w:hAnsi="Times New Roman" w:eastAsia="仿宋_GB2312" w:cs="Times New Roman"/>
          <w:sz w:val="32"/>
          <w:szCs w:val="32"/>
        </w:rPr>
        <w:t>万元，其中：</w:t>
      </w:r>
      <w:r>
        <w:rPr>
          <w:rFonts w:hint="default" w:ascii="Times New Roman" w:hAnsi="Times New Roman" w:eastAsia="仿宋_GB2312" w:cs="Times New Roman"/>
          <w:b/>
          <w:spacing w:val="-1"/>
          <w:kern w:val="0"/>
          <w:sz w:val="32"/>
          <w:szCs w:val="32"/>
        </w:rPr>
        <w:t>人员经费</w:t>
      </w:r>
      <w:r>
        <w:rPr>
          <w:rFonts w:hint="default" w:ascii="Times New Roman" w:hAnsi="Times New Roman" w:eastAsia="仿宋_GB2312" w:cs="Times New Roman"/>
          <w:b/>
          <w:spacing w:val="-1"/>
          <w:kern w:val="0"/>
          <w:sz w:val="32"/>
          <w:szCs w:val="32"/>
          <w:highlight w:val="none"/>
          <w:lang w:eastAsia="zh-CN"/>
        </w:rPr>
        <w:t>支出</w:t>
      </w:r>
      <w:r>
        <w:rPr>
          <w:rFonts w:hint="default" w:ascii="Times New Roman" w:hAnsi="Times New Roman" w:eastAsia="仿宋_GB2312" w:cs="Times New Roman"/>
          <w:sz w:val="32"/>
          <w:szCs w:val="32"/>
          <w:lang w:val="en-US" w:eastAsia="zh-CN"/>
        </w:rPr>
        <w:t>124.07</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72.34</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default" w:ascii="Times New Roman" w:hAnsi="Times New Roman" w:eastAsia="仿宋_GB2312" w:cs="Times New Roman"/>
          <w:b/>
          <w:spacing w:val="-1"/>
          <w:kern w:val="0"/>
          <w:sz w:val="32"/>
          <w:szCs w:val="32"/>
        </w:rPr>
        <w:t>公用经费</w:t>
      </w:r>
      <w:r>
        <w:rPr>
          <w:rFonts w:hint="default" w:ascii="Times New Roman" w:hAnsi="Times New Roman" w:eastAsia="仿宋_GB2312" w:cs="Times New Roman"/>
          <w:b/>
          <w:spacing w:val="-1"/>
          <w:kern w:val="0"/>
          <w:sz w:val="32"/>
          <w:szCs w:val="32"/>
          <w:highlight w:val="none"/>
          <w:lang w:eastAsia="zh-CN"/>
        </w:rPr>
        <w:t>支出</w:t>
      </w:r>
      <w:r>
        <w:rPr>
          <w:rFonts w:hint="default" w:ascii="Times New Roman" w:hAnsi="Times New Roman" w:eastAsia="仿宋_GB2312" w:cs="Times New Roman"/>
          <w:sz w:val="32"/>
          <w:szCs w:val="32"/>
          <w:lang w:val="en-US" w:eastAsia="zh-CN"/>
        </w:rPr>
        <w:t>47.45</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27.66</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年一般公共预算安排项目支出预算</w:t>
      </w:r>
      <w:r>
        <w:rPr>
          <w:rFonts w:hint="default" w:ascii="Times New Roman" w:hAnsi="Times New Roman" w:eastAsia="仿宋_GB2312" w:cs="Times New Roman"/>
          <w:sz w:val="32"/>
          <w:szCs w:val="32"/>
          <w:lang w:val="en-US" w:eastAsia="zh-CN"/>
        </w:rPr>
        <w:t>681.32</w:t>
      </w:r>
      <w:r>
        <w:rPr>
          <w:rFonts w:hint="default" w:ascii="Times New Roman" w:hAnsi="Times New Roman" w:eastAsia="仿宋_GB2312" w:cs="Times New Roman"/>
          <w:sz w:val="32"/>
          <w:szCs w:val="32"/>
          <w:highlight w:val="none"/>
        </w:rPr>
        <w:t>万元，全部纳入项目绩效目标管理。其中：运转类项目</w:t>
      </w:r>
      <w:r>
        <w:rPr>
          <w:rFonts w:hint="default" w:ascii="Times New Roman" w:hAnsi="Times New Roman" w:eastAsia="仿宋_GB2312" w:cs="Times New Roman"/>
          <w:sz w:val="32"/>
          <w:szCs w:val="32"/>
          <w:lang w:val="en-US" w:eastAsia="zh-CN"/>
        </w:rPr>
        <w:t>681.32</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特定目标</w:t>
      </w:r>
      <w:r>
        <w:rPr>
          <w:rFonts w:hint="default" w:ascii="Times New Roman" w:hAnsi="Times New Roman" w:eastAsia="仿宋_GB2312" w:cs="Times New Roman"/>
          <w:sz w:val="32"/>
          <w:szCs w:val="32"/>
          <w:highlight w:val="none"/>
        </w:rPr>
        <w:t>类项目</w:t>
      </w:r>
      <w:r>
        <w:rPr>
          <w:rFonts w:hint="default" w:ascii="Times New Roman" w:hAnsi="Times New Roman" w:eastAsia="仿宋_GB2312" w:cs="Times New Roman"/>
          <w:sz w:val="32"/>
          <w:szCs w:val="32"/>
        </w:rPr>
        <w:t>0</w:t>
      </w:r>
      <w:r>
        <w:rPr>
          <w:rFonts w:hint="default" w:ascii="Times New Roman" w:hAnsi="Times New Roman" w:eastAsia="仿宋_GB2312" w:cs="Times New Roman"/>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highlight w:val="red"/>
        </w:rPr>
      </w:pPr>
      <w:r>
        <w:rPr>
          <w:rFonts w:hint="default" w:ascii="Times New Roman" w:hAnsi="Times New Roman" w:eastAsia="黑体" w:cs="Times New Roman"/>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新乡市卫滨区机关事务中心202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年无使用政府性基金预算拨款安排的支出，年初预算为0万元</w:t>
      </w:r>
      <w:r>
        <w:rPr>
          <w:rFonts w:hint="default" w:ascii="Times New Roman" w:hAnsi="Times New Roman" w:eastAsia="仿宋_GB2312" w:cs="Times New Roman"/>
          <w:sz w:val="32"/>
          <w:szCs w:val="32"/>
          <w:lang w:eastAsia="zh-CN"/>
        </w:rPr>
        <w:t>。</w:t>
      </w:r>
    </w:p>
    <w:p>
      <w:pPr>
        <w:keepNext w:val="0"/>
        <w:keepLines w:val="0"/>
        <w:pageBreakBefore w:val="0"/>
        <w:widowControl w:val="0"/>
        <w:numPr>
          <w:ilvl w:val="0"/>
          <w:numId w:val="1"/>
        </w:numPr>
        <w:wordWrap/>
        <w:topLinePunct w:val="0"/>
        <w:bidi w:val="0"/>
        <w:spacing w:line="360" w:lineRule="auto"/>
        <w:ind w:left="0" w:leftChars="0"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“三公”经费支出预算情况说明</w:t>
      </w:r>
    </w:p>
    <w:p>
      <w:pPr>
        <w:keepNext w:val="0"/>
        <w:keepLines w:val="0"/>
        <w:pageBreakBefore w:val="0"/>
        <w:widowControl w:val="0"/>
        <w:numPr>
          <w:ilvl w:val="0"/>
          <w:numId w:val="0"/>
        </w:numPr>
        <w:wordWrap/>
        <w:topLinePunct w:val="0"/>
        <w:bidi w:val="0"/>
        <w:spacing w:line="360" w:lineRule="auto"/>
        <w:ind w:leftChars="200" w:firstLine="320" w:firstLine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lang w:eastAsia="zh-CN"/>
        </w:rPr>
        <w:t>新乡市卫滨区机关事务中心</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年“三公”经费预算为</w:t>
      </w:r>
      <w:r>
        <w:rPr>
          <w:rFonts w:hint="default" w:ascii="Times New Roman" w:hAnsi="Times New Roman" w:eastAsia="仿宋_GB2312" w:cs="Times New Roman"/>
          <w:sz w:val="32"/>
          <w:szCs w:val="32"/>
          <w:lang w:val="en-US" w:eastAsia="zh-CN"/>
        </w:rPr>
        <w:t>42.9</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年“三公”经费支出预算数比 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年减少</w:t>
      </w:r>
      <w:r>
        <w:rPr>
          <w:rFonts w:hint="default" w:ascii="Times New Roman" w:hAnsi="Times New Roman" w:eastAsia="仿宋_GB2312" w:cs="Times New Roman"/>
          <w:sz w:val="32"/>
          <w:szCs w:val="32"/>
          <w:lang w:val="en-US" w:eastAsia="zh-CN"/>
        </w:rPr>
        <w:t>7.8</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具体支出情况如下：</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华文楷体" w:cs="Times New Roman"/>
          <w:spacing w:val="-1"/>
          <w:kern w:val="0"/>
          <w:sz w:val="32"/>
          <w:szCs w:val="32"/>
        </w:rPr>
        <w:t>因公出国（境）费</w:t>
      </w:r>
      <w:r>
        <w:rPr>
          <w:rFonts w:hint="default" w:ascii="Times New Roman" w:hAnsi="Times New Roman" w:eastAsia="华文楷体" w:cs="Times New Roman"/>
          <w:sz w:val="32"/>
          <w:szCs w:val="32"/>
        </w:rPr>
        <w:t>0</w:t>
      </w:r>
      <w:r>
        <w:rPr>
          <w:rFonts w:hint="default" w:ascii="Times New Roman" w:hAnsi="Times New Roman" w:eastAsia="华文楷体" w:cs="Times New Roman"/>
          <w:spacing w:val="-1"/>
          <w:kern w:val="0"/>
          <w:sz w:val="32"/>
          <w:szCs w:val="32"/>
        </w:rPr>
        <w:t>万元</w:t>
      </w:r>
      <w:r>
        <w:rPr>
          <w:rFonts w:hint="default" w:ascii="Times New Roman" w:hAnsi="Times New Roman" w:eastAsia="楷体" w:cs="Times New Roman"/>
          <w:spacing w:val="-1"/>
          <w:kern w:val="0"/>
          <w:sz w:val="32"/>
          <w:szCs w:val="32"/>
        </w:rPr>
        <w:t>，</w:t>
      </w:r>
      <w:r>
        <w:rPr>
          <w:rFonts w:hint="default" w:ascii="Times New Roman" w:hAnsi="Times New Roman" w:eastAsia="仿宋_GB2312" w:cs="Times New Roman"/>
          <w:sz w:val="32"/>
          <w:szCs w:val="32"/>
        </w:rPr>
        <w:t>主要用于单位工作人员公务出国（境）的住宿费、旅费、伙食补助费、杂费、培训费等支出。</w:t>
      </w:r>
      <w:r>
        <w:rPr>
          <w:rFonts w:hint="default" w:ascii="Times New Roman" w:hAnsi="Times New Roman" w:eastAsia="仿宋_GB2312" w:cs="Times New Roman"/>
          <w:sz w:val="32"/>
          <w:szCs w:val="32"/>
        </w:rPr>
        <w:t>预算数</w:t>
      </w:r>
      <w:r>
        <w:rPr>
          <w:rFonts w:hint="default" w:ascii="Times New Roman" w:hAnsi="Times New Roman" w:eastAsia="仿宋_GB2312" w:cs="Times New Roman"/>
          <w:sz w:val="32"/>
          <w:szCs w:val="32"/>
          <w:lang w:eastAsia="zh-CN"/>
        </w:rPr>
        <w:t>与</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年保持一致，主要原因是无因公出国（境）费支出。</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华文楷体" w:cs="Times New Roman"/>
          <w:spacing w:val="-1"/>
          <w:kern w:val="0"/>
          <w:sz w:val="32"/>
          <w:szCs w:val="32"/>
        </w:rPr>
        <w:t>（二）公务用车购置及运行费</w:t>
      </w:r>
      <w:r>
        <w:rPr>
          <w:rFonts w:hint="default" w:ascii="Times New Roman" w:hAnsi="Times New Roman" w:eastAsia="仿宋_GB2312" w:cs="Times New Roman"/>
          <w:sz w:val="32"/>
          <w:szCs w:val="32"/>
          <w:lang w:val="en-US" w:eastAsia="zh-CN"/>
        </w:rPr>
        <w:t>42.9</w:t>
      </w:r>
      <w:r>
        <w:rPr>
          <w:rFonts w:hint="eastAsia" w:ascii="Times New Roman" w:hAnsi="Times New Roman" w:eastAsia="仿宋_GB2312" w:cs="Times New Roman"/>
          <w:sz w:val="32"/>
          <w:szCs w:val="32"/>
          <w:lang w:val="en-US" w:eastAsia="zh-CN"/>
        </w:rPr>
        <w:t>0</w:t>
      </w:r>
      <w:r>
        <w:rPr>
          <w:rFonts w:hint="default" w:ascii="Times New Roman" w:hAnsi="Times New Roman" w:eastAsia="华文楷体" w:cs="Times New Roman"/>
          <w:kern w:val="0"/>
          <w:sz w:val="32"/>
          <w:szCs w:val="32"/>
        </w:rPr>
        <w:t>万</w:t>
      </w:r>
      <w:r>
        <w:rPr>
          <w:rFonts w:hint="default" w:ascii="Times New Roman" w:hAnsi="Times New Roman" w:eastAsia="华文楷体" w:cs="Times New Roman"/>
          <w:sz w:val="32"/>
          <w:szCs w:val="32"/>
        </w:rPr>
        <w:t>元</w:t>
      </w:r>
      <w:r>
        <w:rPr>
          <w:rFonts w:hint="default" w:ascii="Times New Roman" w:hAnsi="Times New Roman" w:eastAsia="楷体" w:cs="Times New Roman"/>
          <w:sz w:val="32"/>
          <w:szCs w:val="32"/>
        </w:rPr>
        <w:t>，</w:t>
      </w:r>
      <w:r>
        <w:rPr>
          <w:rFonts w:hint="default" w:ascii="Times New Roman" w:hAnsi="Times New Roman" w:eastAsia="仿宋_GB2312" w:cs="Times New Roman"/>
          <w:sz w:val="32"/>
          <w:szCs w:val="32"/>
        </w:rPr>
        <w:t>其中，公务用车购置费</w:t>
      </w:r>
      <w:r>
        <w:rPr>
          <w:rFonts w:hint="default" w:ascii="Times New Roman" w:hAnsi="Times New Roman" w:eastAsia="华文楷体" w:cs="Times New Roman"/>
          <w:sz w:val="32"/>
          <w:szCs w:val="32"/>
        </w:rPr>
        <w:t>0</w:t>
      </w:r>
      <w:r>
        <w:rPr>
          <w:rFonts w:hint="default" w:ascii="Times New Roman" w:hAnsi="Times New Roman" w:eastAsia="仿宋_GB2312" w:cs="Times New Roman"/>
          <w:sz w:val="32"/>
          <w:szCs w:val="32"/>
        </w:rPr>
        <w:t>万元；公务用车运行维护费</w:t>
      </w:r>
      <w:r>
        <w:rPr>
          <w:rFonts w:hint="default" w:ascii="Times New Roman" w:hAnsi="Times New Roman" w:eastAsia="仿宋_GB2312" w:cs="Times New Roman"/>
          <w:sz w:val="32"/>
          <w:szCs w:val="32"/>
          <w:lang w:val="en-US" w:eastAsia="zh-CN"/>
        </w:rPr>
        <w:t>42.9</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万元，主要用于开展工作所需公务用车的燃料费、维修费、过路过桥费、保险费、安全奖励费用等支出。公务用车购置费预算数与202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年预算保持一致，主要原因是无公务用车购置费支出。公务用车运行维护费预算数比20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年减少</w:t>
      </w:r>
      <w:r>
        <w:rPr>
          <w:rFonts w:hint="default" w:ascii="Times New Roman" w:hAnsi="Times New Roman" w:eastAsia="仿宋_GB2312" w:cs="Times New Roman"/>
          <w:sz w:val="32"/>
          <w:szCs w:val="32"/>
          <w:lang w:val="en-US" w:eastAsia="zh-CN"/>
        </w:rPr>
        <w:t>7.8</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万元，减少的主要原因是</w:t>
      </w:r>
      <w:r>
        <w:rPr>
          <w:rFonts w:hint="default" w:ascii="Times New Roman" w:hAnsi="Times New Roman" w:eastAsia="仿宋_GB2312" w:cs="Times New Roman"/>
          <w:sz w:val="32"/>
          <w:szCs w:val="32"/>
          <w:lang w:val="en-US" w:eastAsia="zh-CN"/>
        </w:rPr>
        <w:t>2023年每辆车运行费1.3</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万元、2024年每辆车运行费1.1</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rPr>
        <w:t>。</w:t>
      </w:r>
    </w:p>
    <w:p>
      <w:pPr>
        <w:keepNext w:val="0"/>
        <w:keepLines w:val="0"/>
        <w:pageBreakBefore w:val="0"/>
        <w:widowControl w:val="0"/>
        <w:wordWrap/>
        <w:topLinePunct w:val="0"/>
        <w:bidi w:val="0"/>
        <w:spacing w:line="360" w:lineRule="auto"/>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华文楷体" w:cs="Times New Roman"/>
          <w:spacing w:val="-1"/>
          <w:kern w:val="0"/>
          <w:sz w:val="32"/>
          <w:szCs w:val="32"/>
        </w:rPr>
        <w:t>（三）公务接待费</w:t>
      </w:r>
      <w:r>
        <w:rPr>
          <w:rFonts w:hint="default" w:ascii="Times New Roman" w:hAnsi="Times New Roman" w:eastAsia="华文楷体" w:cs="Times New Roman"/>
          <w:sz w:val="32"/>
          <w:szCs w:val="32"/>
        </w:rPr>
        <w:t>0万元</w:t>
      </w:r>
      <w:r>
        <w:rPr>
          <w:rFonts w:hint="default" w:ascii="Times New Roman" w:hAnsi="Times New Roman" w:eastAsia="楷体" w:cs="Times New Roman"/>
          <w:sz w:val="32"/>
          <w:szCs w:val="32"/>
        </w:rPr>
        <w:t>，</w:t>
      </w:r>
      <w:r>
        <w:rPr>
          <w:rFonts w:hint="default" w:ascii="Times New Roman" w:hAnsi="Times New Roman" w:eastAsia="仿宋_GB2312" w:cs="Times New Roman"/>
          <w:sz w:val="32"/>
          <w:szCs w:val="32"/>
        </w:rPr>
        <w:t>主要用于按规定开支的各类公务接待（含外宾接待）支出。</w:t>
      </w:r>
      <w:r>
        <w:rPr>
          <w:rFonts w:hint="default" w:ascii="Times New Roman" w:hAnsi="Times New Roman" w:eastAsia="仿宋_GB2312" w:cs="Times New Roman"/>
          <w:sz w:val="32"/>
          <w:szCs w:val="32"/>
        </w:rPr>
        <w:t>预算数与202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年保持一致，主要原因是无公务接待费支出。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楷体" w:cs="Times New Roman"/>
          <w:sz w:val="32"/>
          <w:szCs w:val="32"/>
          <w:highlight w:val="darkBlue"/>
        </w:rPr>
      </w:pPr>
      <w:r>
        <w:rPr>
          <w:rFonts w:hint="default" w:ascii="Times New Roman" w:hAnsi="Times New Roman" w:eastAsia="楷体" w:cs="Times New Roman"/>
          <w:kern w:val="0"/>
          <w:sz w:val="32"/>
          <w:szCs w:val="32"/>
          <w:highlight w:val="none"/>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default" w:ascii="Times New Roman" w:hAnsi="Times New Roman" w:eastAsia="楷体" w:cs="Times New Roman"/>
          <w:sz w:val="32"/>
          <w:szCs w:val="32"/>
          <w:highlight w:val="yellow"/>
        </w:rPr>
      </w:pPr>
      <w:r>
        <w:rPr>
          <w:rFonts w:hint="default" w:ascii="Times New Roman" w:hAnsi="Times New Roman" w:eastAsia="仿宋_GB2312" w:cs="Times New Roman"/>
          <w:sz w:val="32"/>
          <w:szCs w:val="32"/>
          <w:highlight w:val="none"/>
          <w:lang w:eastAsia="zh-CN"/>
        </w:rPr>
        <w:t>新乡市卫滨区机关事务中心</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年机关运行经费支出预算</w:t>
      </w:r>
      <w:r>
        <w:rPr>
          <w:rFonts w:hint="default" w:ascii="Times New Roman" w:hAnsi="Times New Roman" w:eastAsia="黑体" w:cs="Times New Roman"/>
          <w:sz w:val="32"/>
          <w:szCs w:val="32"/>
          <w:lang w:val="en-US" w:eastAsia="zh-CN"/>
        </w:rPr>
        <w:t>47.45</w:t>
      </w:r>
      <w:r>
        <w:rPr>
          <w:rFonts w:hint="default" w:ascii="Times New Roman" w:hAnsi="Times New Roman" w:eastAsia="仿宋_GB2312" w:cs="Times New Roman"/>
          <w:sz w:val="32"/>
          <w:szCs w:val="32"/>
        </w:rPr>
        <w:t>万元，主要保障机关机构正常运转及正常履职需要，主要包括办公费、印刷费、水费、电费、邮电费、取暖费、物业管理费、差旅费、维修（护）费、会议费、专用材料费、被装购置费、办公设备购置、福利费、公务用车运行维护费等</w:t>
      </w:r>
      <w:r>
        <w:rPr>
          <w:rFonts w:hint="default" w:ascii="Times New Roman" w:hAnsi="Times New Roman" w:eastAsia="仿宋_GB2312" w:cs="Times New Roman"/>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楷体" w:cs="Times New Roman"/>
          <w:kern w:val="0"/>
          <w:sz w:val="32"/>
          <w:szCs w:val="32"/>
        </w:rPr>
      </w:pPr>
      <w:r>
        <w:rPr>
          <w:rFonts w:hint="default" w:ascii="Times New Roman" w:hAnsi="Times New Roman" w:eastAsia="楷体" w:cs="Times New Roman"/>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楷体_GB2312" w:cs="Times New Roman"/>
          <w:b/>
          <w:kern w:val="0"/>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年政府采购预算安排</w:t>
      </w:r>
      <w:r>
        <w:rPr>
          <w:rFonts w:hint="default" w:ascii="Times New Roman" w:hAnsi="Times New Roman" w:eastAsia="黑体" w:cs="Times New Roman"/>
          <w:sz w:val="32"/>
          <w:szCs w:val="32"/>
        </w:rPr>
        <w:t>0</w:t>
      </w:r>
      <w:r>
        <w:rPr>
          <w:rFonts w:hint="default" w:ascii="Times New Roman" w:hAnsi="Times New Roman" w:eastAsia="仿宋_GB2312" w:cs="Times New Roman"/>
          <w:sz w:val="32"/>
          <w:szCs w:val="32"/>
        </w:rPr>
        <w:t>万元，其中：政府采购货物预算</w:t>
      </w:r>
      <w:r>
        <w:rPr>
          <w:rFonts w:hint="default" w:ascii="Times New Roman" w:hAnsi="Times New Roman" w:eastAsia="黑体" w:cs="Times New Roman"/>
          <w:sz w:val="32"/>
          <w:szCs w:val="32"/>
        </w:rPr>
        <w:t>0</w:t>
      </w:r>
      <w:r>
        <w:rPr>
          <w:rFonts w:hint="default" w:ascii="Times New Roman" w:hAnsi="Times New Roman" w:eastAsia="仿宋_GB2312" w:cs="Times New Roman"/>
          <w:sz w:val="32"/>
          <w:szCs w:val="32"/>
        </w:rPr>
        <w:t>万元、政府采购工程预算</w:t>
      </w:r>
      <w:r>
        <w:rPr>
          <w:rFonts w:hint="default" w:ascii="Times New Roman" w:hAnsi="Times New Roman" w:eastAsia="黑体" w:cs="Times New Roman"/>
          <w:sz w:val="32"/>
          <w:szCs w:val="32"/>
        </w:rPr>
        <w:t>0</w:t>
      </w:r>
      <w:r>
        <w:rPr>
          <w:rFonts w:hint="default" w:ascii="Times New Roman" w:hAnsi="Times New Roman" w:eastAsia="仿宋_GB2312" w:cs="Times New Roman"/>
          <w:sz w:val="32"/>
          <w:szCs w:val="32"/>
        </w:rPr>
        <w:t>万元、政府采购服务预算</w:t>
      </w:r>
      <w:r>
        <w:rPr>
          <w:rFonts w:hint="default" w:ascii="Times New Roman" w:hAnsi="Times New Roman" w:eastAsia="黑体" w:cs="Times New Roman"/>
          <w:sz w:val="32"/>
          <w:szCs w:val="32"/>
        </w:rPr>
        <w:t>0</w:t>
      </w:r>
      <w:r>
        <w:rPr>
          <w:rFonts w:hint="default" w:ascii="Times New Roman" w:hAnsi="Times New Roman" w:eastAsia="仿宋_GB2312" w:cs="Times New Roman"/>
          <w:sz w:val="32"/>
          <w:szCs w:val="32"/>
        </w:rPr>
        <w:t>万元。</w:t>
      </w:r>
    </w:p>
    <w:p>
      <w:pPr>
        <w:keepNext w:val="0"/>
        <w:keepLines w:val="0"/>
        <w:pageBreakBefore w:val="0"/>
        <w:widowControl w:val="0"/>
        <w:numPr>
          <w:ilvl w:val="0"/>
          <w:numId w:val="5"/>
        </w:numPr>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楷体" w:cs="Times New Roman"/>
          <w:kern w:val="0"/>
          <w:sz w:val="32"/>
          <w:szCs w:val="32"/>
        </w:rPr>
      </w:pPr>
      <w:r>
        <w:rPr>
          <w:rFonts w:hint="default" w:ascii="Times New Roman" w:hAnsi="Times New Roman" w:eastAsia="楷体" w:cs="Times New Roman"/>
          <w:kern w:val="0"/>
          <w:sz w:val="32"/>
          <w:szCs w:val="32"/>
          <w:lang w:eastAsia="zh-CN"/>
        </w:rPr>
        <w:t>绩效目标设置及</w:t>
      </w:r>
      <w:r>
        <w:rPr>
          <w:rFonts w:hint="default" w:ascii="Times New Roman" w:hAnsi="Times New Roman" w:eastAsia="楷体" w:cs="Times New Roman"/>
          <w:kern w:val="0"/>
          <w:sz w:val="32"/>
          <w:szCs w:val="32"/>
        </w:rPr>
        <w:t>预算绩效管理工作开展情况</w:t>
      </w:r>
    </w:p>
    <w:p>
      <w:pPr>
        <w:kinsoku w:val="0"/>
        <w:overflowPunct w:val="0"/>
        <w:autoSpaceDE w:val="0"/>
        <w:autoSpaceDN w:val="0"/>
        <w:adjustRightInd w:val="0"/>
        <w:snapToGrid w:val="0"/>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w:t>
      </w:r>
      <w:r>
        <w:rPr>
          <w:rFonts w:hint="eastAsia" w:ascii="Times New Roman" w:hAnsi="Times New Roman" w:eastAsia="仿宋_GB2312" w:cs="Times New Roman"/>
          <w:sz w:val="32"/>
          <w:szCs w:val="32"/>
          <w:lang w:eastAsia="zh-CN"/>
        </w:rPr>
        <w:t>部门</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年预算项目均按要求编制了绩效目标，从项目产出、项目效益、满意度等方面设置了绩效指标，综合反映项目预期完成的数量、实效、质量，预期达到的社会经济效益、可持续影响以及服务对象满意度等情况。我</w:t>
      </w:r>
      <w:r>
        <w:rPr>
          <w:rFonts w:hint="eastAsia" w:ascii="Times New Roman" w:hAnsi="Times New Roman" w:eastAsia="仿宋_GB2312" w:cs="Times New Roman"/>
          <w:sz w:val="32"/>
          <w:szCs w:val="32"/>
          <w:lang w:eastAsia="zh-CN"/>
        </w:rPr>
        <w:t>部门</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年未开展重点项目预算的绩效目标。</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年，共组织对</w:t>
      </w:r>
      <w:r>
        <w:rPr>
          <w:rFonts w:hint="default" w:ascii="Times New Roman" w:hAnsi="Times New Roman" w:eastAsia="黑体" w:cs="Times New Roman"/>
          <w:sz w:val="32"/>
          <w:szCs w:val="32"/>
        </w:rPr>
        <w:t>4</w:t>
      </w:r>
      <w:r>
        <w:rPr>
          <w:rFonts w:hint="default" w:ascii="Times New Roman" w:hAnsi="Times New Roman" w:eastAsia="仿宋_GB2312" w:cs="Times New Roman"/>
          <w:sz w:val="32"/>
          <w:szCs w:val="32"/>
        </w:rPr>
        <w:t>个项目进行了预算绩效评价，涉及资金</w:t>
      </w:r>
      <w:r>
        <w:rPr>
          <w:rFonts w:hint="default" w:ascii="Times New Roman" w:hAnsi="Times New Roman" w:eastAsia="黑体" w:cs="Times New Roman"/>
          <w:sz w:val="32"/>
          <w:szCs w:val="32"/>
        </w:rPr>
        <w:t>472.72</w:t>
      </w:r>
      <w:r>
        <w:rPr>
          <w:rFonts w:hint="default" w:ascii="Times New Roman" w:hAnsi="Times New Roman" w:eastAsia="仿宋_GB2312" w:cs="Times New Roman"/>
          <w:sz w:val="32"/>
          <w:szCs w:val="32"/>
        </w:rPr>
        <w:t>万元，绩效评价结果显示，项目支出绩效情况较为理想，达到了项目申请时设定的各项绩效目标。</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24</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sz w:val="32"/>
          <w:szCs w:val="32"/>
        </w:rPr>
        <w:t>，组织对</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sz w:val="32"/>
          <w:szCs w:val="32"/>
        </w:rPr>
        <w:t>个项目进行预算绩效评价，涉及资金</w:t>
      </w:r>
      <w:r>
        <w:rPr>
          <w:rFonts w:hint="default" w:ascii="Times New Roman" w:hAnsi="Times New Roman" w:eastAsia="仿宋_GB2312" w:cs="Times New Roman"/>
          <w:color w:val="auto"/>
          <w:sz w:val="32"/>
          <w:szCs w:val="32"/>
          <w:lang w:val="en-US" w:eastAsia="zh-CN"/>
        </w:rPr>
        <w:t>681.32</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楷体" w:cs="Times New Roman"/>
          <w:kern w:val="0"/>
          <w:sz w:val="32"/>
          <w:szCs w:val="32"/>
        </w:rPr>
      </w:pPr>
      <w:r>
        <w:rPr>
          <w:rFonts w:hint="default" w:ascii="Times New Roman" w:hAnsi="Times New Roman" w:eastAsia="楷体" w:cs="Times New Roman"/>
          <w:kern w:val="0"/>
          <w:sz w:val="32"/>
          <w:szCs w:val="32"/>
        </w:rPr>
        <w:t>（四）国有资产占用情况</w:t>
      </w:r>
    </w:p>
    <w:p>
      <w:pPr>
        <w:keepNext w:val="0"/>
        <w:keepLines w:val="0"/>
        <w:widowControl/>
        <w:suppressLineNumbers w:val="0"/>
        <w:ind w:firstLine="640" w:firstLineChars="200"/>
        <w:jc w:val="left"/>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20</w:t>
      </w:r>
      <w:r>
        <w:rPr>
          <w:rFonts w:hint="default" w:ascii="Times New Roman" w:hAnsi="Times New Roman" w:eastAsia="仿宋_GB2312" w:cs="Times New Roman"/>
          <w:sz w:val="32"/>
          <w:szCs w:val="32"/>
          <w:highlight w:val="none"/>
          <w:lang w:val="en-US" w:eastAsia="zh-CN"/>
        </w:rPr>
        <w:t>23</w:t>
      </w:r>
      <w:r>
        <w:rPr>
          <w:rFonts w:hint="default" w:ascii="Times New Roman" w:hAnsi="Times New Roman" w:eastAsia="仿宋_GB2312" w:cs="Times New Roman"/>
          <w:sz w:val="32"/>
          <w:szCs w:val="32"/>
          <w:highlight w:val="none"/>
        </w:rPr>
        <w:t>年资产总额</w:t>
      </w:r>
      <w:r>
        <w:rPr>
          <w:rFonts w:hint="default" w:ascii="Times New Roman" w:hAnsi="Times New Roman" w:eastAsia="仿宋_GB2312" w:cs="Times New Roman"/>
          <w:sz w:val="32"/>
          <w:szCs w:val="32"/>
          <w:highlight w:val="none"/>
          <w:lang w:val="en-US" w:eastAsia="zh-CN"/>
        </w:rPr>
        <w:t>3989.87</w:t>
      </w:r>
      <w:r>
        <w:rPr>
          <w:rFonts w:hint="default" w:ascii="Times New Roman" w:hAnsi="Times New Roman" w:eastAsia="仿宋_GB2312" w:cs="Times New Roman"/>
          <w:sz w:val="32"/>
          <w:szCs w:val="32"/>
          <w:highlight w:val="none"/>
        </w:rPr>
        <w:t>万元，较上年，</w:t>
      </w:r>
      <w:r>
        <w:rPr>
          <w:rFonts w:hint="default" w:ascii="Times New Roman" w:hAnsi="Times New Roman" w:eastAsia="仿宋_GB2312" w:cs="Times New Roman"/>
          <w:color w:val="000000"/>
          <w:sz w:val="32"/>
          <w:szCs w:val="32"/>
          <w:highlight w:val="none"/>
        </w:rPr>
        <w:t>下降</w:t>
      </w:r>
      <w:r>
        <w:rPr>
          <w:rFonts w:hint="default" w:ascii="Times New Roman" w:hAnsi="Times New Roman" w:eastAsia="仿宋_GB2312" w:cs="Times New Roman"/>
          <w:color w:val="000000"/>
          <w:sz w:val="32"/>
          <w:szCs w:val="32"/>
          <w:highlight w:val="none"/>
          <w:lang w:val="en-US" w:eastAsia="zh-CN"/>
        </w:rPr>
        <w:t>0.14</w:t>
      </w:r>
      <w:r>
        <w:rPr>
          <w:rFonts w:hint="default" w:ascii="Times New Roman" w:hAnsi="Times New Roman" w:eastAsia="仿宋_GB2312" w:cs="Times New Roman"/>
          <w:sz w:val="32"/>
          <w:szCs w:val="32"/>
          <w:highlight w:val="none"/>
        </w:rPr>
        <w:t>%。其中：固定资产</w:t>
      </w:r>
      <w:r>
        <w:rPr>
          <w:rFonts w:hint="default" w:ascii="Times New Roman" w:hAnsi="Times New Roman" w:eastAsia="仿宋_GB2312" w:cs="Times New Roman"/>
          <w:sz w:val="32"/>
          <w:szCs w:val="32"/>
          <w:highlight w:val="none"/>
          <w:lang w:val="en-US" w:eastAsia="zh-CN"/>
        </w:rPr>
        <w:t>776.4</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万元，无形资产</w:t>
      </w:r>
      <w:r>
        <w:rPr>
          <w:rFonts w:hint="default" w:ascii="Times New Roman" w:hAnsi="Times New Roman" w:eastAsia="宋体" w:cs="Times New Roman"/>
          <w:color w:val="000000"/>
          <w:kern w:val="0"/>
          <w:sz w:val="31"/>
          <w:szCs w:val="31"/>
          <w:highlight w:val="none"/>
          <w:lang w:val="en-US" w:eastAsia="zh-CN" w:bidi="ar"/>
        </w:rPr>
        <w:t>3560</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color w:val="000000"/>
          <w:sz w:val="32"/>
          <w:szCs w:val="32"/>
          <w:highlight w:val="none"/>
        </w:rPr>
        <w:t>下降</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处置固定资产</w:t>
      </w:r>
      <w:r>
        <w:rPr>
          <w:rFonts w:hint="default" w:ascii="Times New Roman" w:hAnsi="Times New Roman" w:eastAsia="仿宋_GB2312" w:cs="Times New Roman"/>
          <w:sz w:val="32"/>
          <w:szCs w:val="32"/>
          <w:highlight w:val="none"/>
        </w:rPr>
        <w:t>。20</w:t>
      </w:r>
      <w:r>
        <w:rPr>
          <w:rFonts w:hint="default" w:ascii="Times New Roman" w:hAnsi="Times New Roman" w:eastAsia="仿宋_GB2312" w:cs="Times New Roman"/>
          <w:sz w:val="32"/>
          <w:szCs w:val="32"/>
          <w:highlight w:val="none"/>
          <w:lang w:val="en-US" w:eastAsia="zh-CN"/>
        </w:rPr>
        <w:t>23</w:t>
      </w:r>
      <w:r>
        <w:rPr>
          <w:rFonts w:hint="default" w:ascii="Times New Roman" w:hAnsi="Times New Roman" w:eastAsia="仿宋_GB2312" w:cs="Times New Roman"/>
          <w:sz w:val="32"/>
          <w:szCs w:val="32"/>
          <w:highlight w:val="none"/>
        </w:rPr>
        <w:t>年期末，</w:t>
      </w:r>
      <w:r>
        <w:rPr>
          <w:rFonts w:hint="default" w:ascii="Times New Roman" w:hAnsi="Times New Roman" w:eastAsia="仿宋_GB2312" w:cs="Times New Roman"/>
          <w:sz w:val="32"/>
          <w:szCs w:val="32"/>
          <w:highlight w:val="none"/>
          <w:lang w:eastAsia="zh-CN"/>
        </w:rPr>
        <w:t>新乡市卫滨区机关事务中心</w:t>
      </w:r>
      <w:r>
        <w:rPr>
          <w:rFonts w:hint="default" w:ascii="Times New Roman" w:hAnsi="Times New Roman" w:eastAsia="仿宋_GB2312" w:cs="Times New Roman"/>
          <w:sz w:val="32"/>
          <w:szCs w:val="32"/>
          <w:highlight w:val="none"/>
        </w:rPr>
        <w:t>共有车辆</w:t>
      </w:r>
      <w:r>
        <w:rPr>
          <w:rFonts w:hint="default" w:ascii="Times New Roman" w:hAnsi="Times New Roman" w:eastAsia="仿宋_GB2312" w:cs="Times New Roman"/>
          <w:sz w:val="32"/>
          <w:szCs w:val="32"/>
          <w:highlight w:val="none"/>
          <w:lang w:val="en-US" w:eastAsia="zh-CN"/>
        </w:rPr>
        <w:t>39</w:t>
      </w:r>
      <w:r>
        <w:rPr>
          <w:rFonts w:hint="default" w:ascii="Times New Roman" w:hAnsi="Times New Roman" w:eastAsia="仿宋_GB2312" w:cs="Times New Roman"/>
          <w:sz w:val="32"/>
          <w:szCs w:val="32"/>
          <w:highlight w:val="none"/>
        </w:rPr>
        <w:t>辆，其中：一般公务用车</w:t>
      </w:r>
      <w:r>
        <w:rPr>
          <w:rFonts w:hint="default" w:ascii="Times New Roman" w:hAnsi="Times New Roman" w:eastAsia="仿宋_GB2312" w:cs="Times New Roman"/>
          <w:sz w:val="32"/>
          <w:szCs w:val="32"/>
          <w:highlight w:val="none"/>
          <w:lang w:val="en-US" w:eastAsia="zh-CN"/>
        </w:rPr>
        <w:t>39</w:t>
      </w:r>
      <w:r>
        <w:rPr>
          <w:rFonts w:hint="default" w:ascii="Times New Roman" w:hAnsi="Times New Roman" w:eastAsia="仿宋_GB2312" w:cs="Times New Roman"/>
          <w:sz w:val="32"/>
          <w:szCs w:val="32"/>
          <w:highlight w:val="none"/>
        </w:rPr>
        <w:t>辆、一般执法执勤用车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辆、特种专业技术用车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辆，其他用车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单价50万元以上通用设备</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台（套），单位价值100万元以上专用设备</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台（套）。注</w:t>
      </w:r>
      <w:r>
        <w:rPr>
          <w:rFonts w:hint="default" w:ascii="Times New Roman" w:hAnsi="Times New Roman" w:eastAsia="仿宋_GB2312" w:cs="Times New Roman"/>
          <w:sz w:val="32"/>
          <w:szCs w:val="32"/>
          <w:highlight w:val="none"/>
          <w:lang w:eastAsia="zh-CN"/>
        </w:rPr>
        <w:t>意</w:t>
      </w:r>
      <w:r>
        <w:rPr>
          <w:rFonts w:hint="default" w:ascii="Times New Roman" w:hAnsi="Times New Roman" w:eastAsia="仿宋_GB2312" w:cs="Times New Roman"/>
          <w:sz w:val="32"/>
          <w:szCs w:val="32"/>
          <w:highlight w:val="none"/>
        </w:rPr>
        <w:t>：文字说明总数应于分项数相符</w:t>
      </w:r>
      <w:r>
        <w:rPr>
          <w:rFonts w:hint="default" w:ascii="Times New Roman" w:hAnsi="Times New Roman" w:eastAsia="仿宋_GB2312" w:cs="Times New Roman"/>
          <w:sz w:val="32"/>
          <w:szCs w:val="32"/>
          <w:highlight w:val="none"/>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楷体" w:cs="Times New Roman"/>
          <w:kern w:val="0"/>
          <w:sz w:val="32"/>
          <w:szCs w:val="32"/>
        </w:rPr>
      </w:pPr>
      <w:r>
        <w:rPr>
          <w:rFonts w:hint="default" w:ascii="Times New Roman" w:hAnsi="Times New Roman" w:eastAsia="楷体" w:cs="Times New Roman"/>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lang w:eastAsia="zh-CN"/>
        </w:rPr>
        <w:t>新乡市卫滨区机关事务中心</w:t>
      </w:r>
      <w:r>
        <w:rPr>
          <w:rFonts w:hint="default" w:ascii="Times New Roman" w:hAnsi="Times New Roman" w:eastAsia="仿宋_GB2312" w:cs="Times New Roman"/>
          <w:sz w:val="32"/>
          <w:szCs w:val="32"/>
        </w:rPr>
        <w:t>按照《财政部关于印发&lt;支出经济分类科目改革方案&gt;的通知》(财预〔2018〕98号)要求，从2018年起全面实施支出经济分类科目改革，根据政府预算管理和部门预算管理的不同特点，分设部门预算支出经济分类科目和政府预算支出经济分类科目，两套科目之间保持对应关系。为适应改革要求，</w:t>
      </w:r>
      <w:r>
        <w:rPr>
          <w:rFonts w:hint="default" w:ascii="Times New Roman" w:hAnsi="Times New Roman" w:eastAsia="仿宋_GB2312" w:cs="Times New Roman"/>
          <w:sz w:val="32"/>
          <w:szCs w:val="32"/>
          <w:highlight w:val="none"/>
          <w:lang w:eastAsia="zh-CN"/>
        </w:rPr>
        <w:t>新乡市卫滨区机关事务中心</w:t>
      </w:r>
      <w:r>
        <w:rPr>
          <w:rFonts w:hint="default" w:ascii="Times New Roman" w:hAnsi="Times New Roman" w:eastAsia="仿宋_GB2312" w:cs="Times New Roman"/>
          <w:sz w:val="32"/>
          <w:szCs w:val="32"/>
          <w:highlight w:val="none"/>
          <w:lang w:eastAsia="zh-CN"/>
        </w:rPr>
        <w:t>《支出经济分类汇总表》从2018年起从仅反映一般公共预算基本支出经济分类科目预算调整为按</w:t>
      </w:r>
      <w:r>
        <w:rPr>
          <w:rFonts w:hint="default" w:ascii="Times New Roman" w:hAnsi="Times New Roman" w:eastAsia="仿宋_GB2312" w:cs="Times New Roman"/>
          <w:sz w:val="32"/>
          <w:szCs w:val="32"/>
        </w:rPr>
        <w:t>两套经济分类科目分别反映不同资金来源的全部预算支出。</w:t>
      </w:r>
    </w:p>
    <w:p>
      <w:pPr>
        <w:keepNext w:val="0"/>
        <w:keepLines w:val="0"/>
        <w:pageBreakBefore w:val="0"/>
        <w:widowControl w:val="0"/>
        <w:numPr>
          <w:ilvl w:val="0"/>
          <w:numId w:val="6"/>
        </w:numPr>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lang w:eastAsia="zh-CN"/>
        </w:rPr>
        <w:t>新乡市卫滨区机关事务中心</w:t>
      </w:r>
      <w:r>
        <w:rPr>
          <w:rFonts w:hint="default" w:ascii="Times New Roman" w:hAnsi="Times New Roman" w:eastAsia="仿宋_GB2312" w:cs="Times New Roman"/>
          <w:sz w:val="32"/>
          <w:szCs w:val="32"/>
          <w:highlight w:val="none"/>
        </w:rPr>
        <w:t>负责管理的专项转移支付项目共有</w:t>
      </w:r>
      <w:r>
        <w:rPr>
          <w:rFonts w:hint="default" w:ascii="Times New Roman" w:hAnsi="Times New Roman" w:eastAsia="仿宋_GB2312" w:cs="Times New Roman"/>
          <w:sz w:val="32"/>
          <w:szCs w:val="32"/>
        </w:rPr>
        <w:t>0</w:t>
      </w:r>
      <w:r>
        <w:rPr>
          <w:rFonts w:hint="default" w:ascii="Times New Roman" w:hAnsi="Times New Roman" w:eastAsia="仿宋_GB2312" w:cs="Times New Roman"/>
          <w:sz w:val="32"/>
          <w:szCs w:val="32"/>
          <w:highlight w:val="none"/>
        </w:rPr>
        <w:t>项，我</w:t>
      </w:r>
      <w:r>
        <w:rPr>
          <w:rFonts w:hint="eastAsia" w:ascii="Times New Roman" w:hAnsi="Times New Roman" w:eastAsia="仿宋_GB2312" w:cs="Times New Roman"/>
          <w:sz w:val="32"/>
          <w:szCs w:val="32"/>
          <w:highlight w:val="none"/>
          <w:lang w:val="en-US" w:eastAsia="zh-CN"/>
        </w:rPr>
        <w:t>部门</w:t>
      </w:r>
      <w:r>
        <w:rPr>
          <w:rFonts w:hint="default" w:ascii="Times New Roman" w:hAnsi="Times New Roman" w:eastAsia="仿宋_GB2312" w:cs="Times New Roman"/>
          <w:sz w:val="32"/>
          <w:szCs w:val="32"/>
          <w:highlight w:val="none"/>
        </w:rPr>
        <w:t>将按照《预算法》等有关规定，积极做好项目分配前期准备工作，在规定的时间内向财政部门提出资金分配意见，根据有关要求做好项目申报公开等相关工作</w:t>
      </w:r>
      <w:r>
        <w:rPr>
          <w:rFonts w:hint="default" w:ascii="Times New Roman" w:hAnsi="Times New Roman" w:eastAsia="黑体" w:cs="Times New Roman"/>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insoku w:val="0"/>
        <w:overflowPunct w:val="0"/>
        <w:adjustRightInd w:val="0"/>
        <w:snapToGrid w:val="0"/>
        <w:spacing w:line="560" w:lineRule="exact"/>
        <w:ind w:firstLine="640" w:firstLineChars="200"/>
        <w:rPr>
          <w:rFonts w:hint="eastAsia" w:ascii="黑体" w:hAnsi="黑体"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卫滨区机关事务中心</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黑体" w:hAnsi="黑体" w:eastAsia="黑体" w:cs="黑体"/>
          <w:sz w:val="32"/>
          <w:szCs w:val="32"/>
        </w:rPr>
        <w:t>年度部门预算</w:t>
      </w:r>
      <w:bookmarkStart w:id="0" w:name="_GoBack"/>
      <w:bookmarkEnd w:id="0"/>
      <w:r>
        <w:rPr>
          <w:rFonts w:hint="eastAsia" w:ascii="黑体" w:hAnsi="黑体" w:eastAsia="黑体" w:cs="黑体"/>
          <w:sz w:val="32"/>
          <w:szCs w:val="32"/>
        </w:rPr>
        <w:t>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8"/>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新乡市卫滨区机关事务中心</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 xml:space="preserve">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821.59</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widowControl/>
              <w:wordWrap w:val="0"/>
              <w:jc w:val="righ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14.38</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6.74</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10.13</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852.84</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852.84</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852.84</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852.84</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8"/>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部门名称： </w:t>
            </w:r>
            <w:r>
              <w:rPr>
                <w:rFonts w:hint="eastAsia" w:ascii="宋体" w:hAnsi="宋体" w:cs="宋体"/>
                <w:kern w:val="0"/>
                <w:sz w:val="18"/>
                <w:szCs w:val="18"/>
                <w:highlight w:val="none"/>
                <w:lang w:eastAsia="zh-CN"/>
              </w:rPr>
              <w:t>新乡市卫滨区机关事务中心</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总计</w:t>
            </w:r>
          </w:p>
        </w:tc>
        <w:tc>
          <w:tcPr>
            <w:tcW w:w="722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852.84</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852.84</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852.84</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852.84</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027</w:t>
            </w: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新乡市卫滨区机关事务中心</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852.84</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852.84</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852.84</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852.84</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027001</w:t>
            </w: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新乡市卫滨区机关事务中心</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852.84</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852.84</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852.84</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852.84</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预算03表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214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lang w:eastAsia="zh-CN"/>
              </w:rPr>
              <w:t>新乡市卫滨区机关事务中心</w:t>
            </w:r>
            <w:r>
              <w:rPr>
                <w:rFonts w:hint="eastAsia" w:ascii="宋体" w:hAnsi="宋体" w:cs="宋体"/>
                <w:kern w:val="0"/>
                <w:sz w:val="18"/>
                <w:szCs w:val="18"/>
                <w:highlight w:val="none"/>
                <w:lang w:val="en-US" w:eastAsia="zh-CN"/>
              </w:rPr>
              <w:t xml:space="preserve"> </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852.84</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171.52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120.12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3.95</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47.45</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xml:space="preserve"> </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027</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新乡市卫滨区机关事务中心</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852.84</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171.52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120.12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3.95</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47.45</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03</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03</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机关服务</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03</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50</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事业运行</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140.27</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140.27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89.78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3.04</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47.45</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13.47</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13.47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13.47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死亡抚恤</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0.91</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0.91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0.91</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行政单位医疗</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6.74</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6.74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6.74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住房公积金</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10.13</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10.13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10.13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8"/>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w:t>
            </w:r>
            <w:r>
              <w:rPr>
                <w:rFonts w:hint="eastAsia" w:ascii="宋体" w:hAnsi="宋体" w:cs="宋体"/>
                <w:kern w:val="0"/>
                <w:sz w:val="15"/>
                <w:szCs w:val="15"/>
                <w:highlight w:val="none"/>
                <w:lang w:val="en-US" w:eastAsia="zh-CN"/>
              </w:rPr>
              <w:t xml:space="preserve"> </w:t>
            </w:r>
            <w:r>
              <w:rPr>
                <w:rFonts w:hint="eastAsia" w:ascii="宋体" w:hAnsi="宋体" w:cs="宋体"/>
                <w:kern w:val="0"/>
                <w:sz w:val="18"/>
                <w:szCs w:val="18"/>
                <w:highlight w:val="none"/>
                <w:lang w:eastAsia="zh-CN"/>
              </w:rPr>
              <w:t>新乡市卫滨区机关事务中心</w:t>
            </w:r>
            <w:r>
              <w:rPr>
                <w:rFonts w:hint="eastAsia" w:ascii="宋体" w:hAnsi="宋体" w:cs="宋体"/>
                <w:kern w:val="0"/>
                <w:sz w:val="18"/>
                <w:szCs w:val="18"/>
                <w:highlight w:val="none"/>
                <w:lang w:val="en-US" w:eastAsia="zh-CN"/>
              </w:rPr>
              <w:t xml:space="preserve"> </w:t>
            </w: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Layout w:type="fixed"/>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8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6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22"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auto"/>
                <w:kern w:val="0"/>
                <w:sz w:val="18"/>
                <w:szCs w:val="18"/>
                <w:u w:val="none"/>
                <w:lang w:val="en-US" w:eastAsia="zh-CN" w:bidi="ar"/>
              </w:rPr>
              <w:t>852.84</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auto"/>
                <w:kern w:val="0"/>
                <w:sz w:val="18"/>
                <w:szCs w:val="18"/>
                <w:u w:val="none"/>
                <w:lang w:val="en-US" w:eastAsia="zh-CN" w:bidi="ar"/>
              </w:rPr>
              <w:t>852.84</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auto"/>
                <w:kern w:val="0"/>
                <w:sz w:val="18"/>
                <w:szCs w:val="18"/>
                <w:u w:val="none"/>
                <w:lang w:val="en-US" w:eastAsia="zh-CN" w:bidi="ar"/>
              </w:rPr>
              <w:t>852.84</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auto"/>
                <w:kern w:val="0"/>
                <w:sz w:val="18"/>
                <w:szCs w:val="18"/>
                <w:u w:val="none"/>
                <w:lang w:val="en-US" w:eastAsia="zh-CN" w:bidi="ar"/>
              </w:rPr>
              <w:t>821.59</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auto"/>
                <w:kern w:val="0"/>
                <w:sz w:val="18"/>
                <w:szCs w:val="18"/>
                <w:u w:val="none"/>
                <w:lang w:val="en-US" w:eastAsia="zh-CN" w:bidi="ar"/>
              </w:rPr>
              <w:t>821.59</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auto"/>
                <w:kern w:val="0"/>
                <w:sz w:val="18"/>
                <w:szCs w:val="18"/>
                <w:u w:val="none"/>
                <w:lang w:val="en-US" w:eastAsia="zh-CN" w:bidi="ar"/>
              </w:rPr>
              <w:t>821.59</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auto"/>
                <w:kern w:val="0"/>
                <w:sz w:val="18"/>
                <w:szCs w:val="18"/>
                <w:u w:val="none"/>
                <w:lang w:val="en-US" w:eastAsia="zh-CN" w:bidi="ar"/>
              </w:rPr>
              <w:t>14.38</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auto"/>
                <w:kern w:val="0"/>
                <w:sz w:val="18"/>
                <w:szCs w:val="18"/>
                <w:u w:val="none"/>
                <w:lang w:val="en-US" w:eastAsia="zh-CN" w:bidi="ar"/>
              </w:rPr>
              <w:t>14.38</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auto"/>
                <w:kern w:val="0"/>
                <w:sz w:val="18"/>
                <w:szCs w:val="18"/>
                <w:u w:val="none"/>
                <w:lang w:val="en-US" w:eastAsia="zh-CN" w:bidi="ar"/>
              </w:rPr>
              <w:t>14.38</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auto"/>
                <w:kern w:val="0"/>
                <w:sz w:val="18"/>
                <w:szCs w:val="18"/>
                <w:u w:val="none"/>
                <w:lang w:val="en-US" w:eastAsia="zh-CN" w:bidi="ar"/>
              </w:rPr>
              <w:t>6.74</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auto"/>
                <w:kern w:val="0"/>
                <w:sz w:val="18"/>
                <w:szCs w:val="18"/>
                <w:u w:val="none"/>
                <w:lang w:val="en-US" w:eastAsia="zh-CN" w:bidi="ar"/>
              </w:rPr>
              <w:t>6.74</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auto"/>
                <w:kern w:val="0"/>
                <w:sz w:val="18"/>
                <w:szCs w:val="18"/>
                <w:u w:val="none"/>
                <w:lang w:val="en-US" w:eastAsia="zh-CN" w:bidi="ar"/>
              </w:rPr>
              <w:t>6.74</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auto"/>
                <w:kern w:val="0"/>
                <w:sz w:val="18"/>
                <w:szCs w:val="18"/>
                <w:u w:val="none"/>
                <w:lang w:val="en-US" w:eastAsia="zh-CN" w:bidi="ar"/>
              </w:rPr>
              <w:t>10.13</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auto"/>
                <w:kern w:val="0"/>
                <w:sz w:val="18"/>
                <w:szCs w:val="18"/>
                <w:u w:val="none"/>
                <w:lang w:val="en-US" w:eastAsia="zh-CN" w:bidi="ar"/>
              </w:rPr>
              <w:t>10.13</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auto"/>
                <w:kern w:val="0"/>
                <w:sz w:val="18"/>
                <w:szCs w:val="18"/>
                <w:u w:val="none"/>
                <w:lang w:val="en-US" w:eastAsia="zh-CN" w:bidi="ar"/>
              </w:rPr>
              <w:t>10.13</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ascii="宋体" w:hAnsi="宋体" w:eastAsia="宋体" w:cs="宋体"/>
                <w:i w:val="0"/>
                <w:iCs w:val="0"/>
                <w:color w:val="auto"/>
                <w:sz w:val="18"/>
                <w:szCs w:val="18"/>
                <w:u w:val="none"/>
              </w:rPr>
              <w:t>852.84</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auto"/>
                <w:kern w:val="0"/>
                <w:sz w:val="18"/>
                <w:szCs w:val="18"/>
                <w:u w:val="none"/>
                <w:lang w:val="en-US" w:eastAsia="zh-CN" w:bidi="ar"/>
              </w:rPr>
              <w:t>852.84</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auto"/>
                <w:kern w:val="0"/>
                <w:sz w:val="18"/>
                <w:szCs w:val="18"/>
                <w:u w:val="none"/>
                <w:lang w:val="en-US" w:eastAsia="zh-CN" w:bidi="ar"/>
              </w:rPr>
              <w:t>852.84</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auto"/>
                <w:kern w:val="0"/>
                <w:sz w:val="18"/>
                <w:szCs w:val="18"/>
                <w:u w:val="none"/>
                <w:lang w:val="en-US" w:eastAsia="zh-CN" w:bidi="ar"/>
              </w:rPr>
              <w:t>852.84</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w:t>
            </w:r>
            <w:r>
              <w:rPr>
                <w:rFonts w:hint="eastAsia" w:ascii="宋体" w:hAnsi="宋体" w:cs="宋体"/>
                <w:b/>
                <w:bCs/>
                <w:kern w:val="0"/>
                <w:sz w:val="38"/>
                <w:szCs w:val="38"/>
                <w:highlight w:val="none"/>
                <w:lang w:eastAsia="zh-CN"/>
              </w:rPr>
              <w:t>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部门名称：</w:t>
            </w:r>
          </w:p>
        </w:tc>
        <w:tc>
          <w:tcPr>
            <w:tcW w:w="1264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lang w:eastAsia="zh-CN"/>
              </w:rPr>
              <w:t>新乡市卫滨区机关事务中心</w:t>
            </w:r>
            <w:r>
              <w:rPr>
                <w:rFonts w:hint="eastAsia" w:ascii="宋体" w:hAnsi="宋体" w:cs="宋体"/>
                <w:kern w:val="0"/>
                <w:sz w:val="18"/>
                <w:szCs w:val="18"/>
                <w:highlight w:val="none"/>
                <w:lang w:val="en-US" w:eastAsia="zh-CN"/>
              </w:rPr>
              <w:t xml:space="preserve"> </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852.84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171.52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120.12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3.95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47.45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027</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新乡市卫滨区机关事务中心</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852.84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171.52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120.12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3.95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47.45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03</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03</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机关服务</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03</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50</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事业运行</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140.27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140.27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89.78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3.04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47.45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13.47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13.47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13.47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死亡抚恤</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0.91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0.91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0.91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行政单位医疗</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6.74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6.74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6.74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住房公积金</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10.13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10.13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10.13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614" w:type="dxa"/>
        <w:tblInd w:w="0" w:type="dxa"/>
        <w:tblLayout w:type="fixed"/>
        <w:tblCellMar>
          <w:top w:w="0" w:type="dxa"/>
          <w:left w:w="108" w:type="dxa"/>
          <w:bottom w:w="0" w:type="dxa"/>
          <w:right w:w="108" w:type="dxa"/>
        </w:tblCellMar>
      </w:tblPr>
      <w:tblGrid>
        <w:gridCol w:w="502"/>
        <w:gridCol w:w="502"/>
        <w:gridCol w:w="80"/>
        <w:gridCol w:w="559"/>
        <w:gridCol w:w="1697"/>
        <w:gridCol w:w="609"/>
        <w:gridCol w:w="320"/>
        <w:gridCol w:w="261"/>
        <w:gridCol w:w="1094"/>
        <w:gridCol w:w="738"/>
        <w:gridCol w:w="887"/>
        <w:gridCol w:w="735"/>
        <w:gridCol w:w="161"/>
        <w:gridCol w:w="771"/>
        <w:gridCol w:w="372"/>
        <w:gridCol w:w="219"/>
        <w:gridCol w:w="567"/>
        <w:gridCol w:w="245"/>
        <w:gridCol w:w="709"/>
        <w:gridCol w:w="214"/>
        <w:gridCol w:w="631"/>
        <w:gridCol w:w="223"/>
        <w:gridCol w:w="537"/>
        <w:gridCol w:w="678"/>
        <w:gridCol w:w="677"/>
        <w:gridCol w:w="151"/>
        <w:gridCol w:w="722"/>
        <w:gridCol w:w="753"/>
      </w:tblGrid>
      <w:tr>
        <w:tblPrEx>
          <w:tblLayout w:type="fixed"/>
          <w:tblCellMar>
            <w:top w:w="0" w:type="dxa"/>
            <w:left w:w="108" w:type="dxa"/>
            <w:bottom w:w="0" w:type="dxa"/>
            <w:right w:w="108" w:type="dxa"/>
          </w:tblCellMar>
        </w:tblPrEx>
        <w:trPr>
          <w:gridAfter w:val="3"/>
          <w:wAfter w:w="1626" w:type="dxa"/>
          <w:trHeight w:val="312" w:hRule="atLeast"/>
        </w:trPr>
        <w:tc>
          <w:tcPr>
            <w:tcW w:w="13988" w:type="dxa"/>
            <w:gridSpan w:val="25"/>
            <w:tcBorders>
              <w:top w:val="nil"/>
              <w:left w:val="nil"/>
              <w:bottom w:val="nil"/>
              <w:right w:val="nil"/>
            </w:tcBorders>
            <w:shd w:val="clear" w:color="auto" w:fill="auto"/>
            <w:vAlign w:val="center"/>
          </w:tcPr>
          <w:p>
            <w:pPr>
              <w:widowControl/>
              <w:jc w:val="right"/>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预算06表</w:t>
            </w:r>
          </w:p>
        </w:tc>
      </w:tr>
      <w:tr>
        <w:tblPrEx>
          <w:tblLayout w:type="fixed"/>
          <w:tblCellMar>
            <w:top w:w="0" w:type="dxa"/>
            <w:left w:w="108" w:type="dxa"/>
            <w:bottom w:w="0" w:type="dxa"/>
            <w:right w:w="108" w:type="dxa"/>
          </w:tblCellMar>
        </w:tblPrEx>
        <w:trPr>
          <w:gridAfter w:val="3"/>
          <w:wAfter w:w="1626" w:type="dxa"/>
          <w:trHeight w:val="312" w:hRule="atLeast"/>
        </w:trPr>
        <w:tc>
          <w:tcPr>
            <w:tcW w:w="13988" w:type="dxa"/>
            <w:gridSpan w:val="2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一般公共预算基本支出表</w:t>
            </w:r>
          </w:p>
        </w:tc>
      </w:tr>
      <w:tr>
        <w:tblPrEx>
          <w:tblLayout w:type="fixed"/>
          <w:tblCellMar>
            <w:top w:w="0" w:type="dxa"/>
            <w:left w:w="108" w:type="dxa"/>
            <w:bottom w:w="0" w:type="dxa"/>
            <w:right w:w="108" w:type="dxa"/>
          </w:tblCellMar>
        </w:tblPrEx>
        <w:trPr>
          <w:gridAfter w:val="3"/>
          <w:wAfter w:w="1626" w:type="dxa"/>
          <w:trHeight w:val="312" w:hRule="atLeast"/>
        </w:trPr>
        <w:tc>
          <w:tcPr>
            <w:tcW w:w="1084" w:type="dxa"/>
            <w:gridSpan w:val="3"/>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0158" w:type="dxa"/>
            <w:gridSpan w:val="17"/>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eastAsia="zh-CN"/>
              </w:rPr>
              <w:t>新乡市卫滨区机关事务中心</w:t>
            </w:r>
            <w:r>
              <w:rPr>
                <w:rFonts w:hint="eastAsia" w:ascii="宋体" w:hAnsi="宋体" w:cs="宋体"/>
                <w:kern w:val="0"/>
                <w:sz w:val="18"/>
                <w:szCs w:val="18"/>
                <w:highlight w:val="none"/>
                <w:lang w:val="en-US" w:eastAsia="zh-CN"/>
              </w:rPr>
              <w:t xml:space="preserve"> </w:t>
            </w:r>
          </w:p>
        </w:tc>
        <w:tc>
          <w:tcPr>
            <w:tcW w:w="2746" w:type="dxa"/>
            <w:gridSpan w:val="5"/>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gridAfter w:val="3"/>
          <w:wAfter w:w="1626" w:type="dxa"/>
          <w:trHeight w:val="312" w:hRule="atLeast"/>
        </w:trPr>
        <w:tc>
          <w:tcPr>
            <w:tcW w:w="426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715"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04" w:type="dxa"/>
            <w:gridSpan w:val="1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Layout w:type="fixed"/>
          <w:tblCellMar>
            <w:top w:w="0" w:type="dxa"/>
            <w:left w:w="108" w:type="dxa"/>
            <w:bottom w:w="0" w:type="dxa"/>
            <w:right w:w="108" w:type="dxa"/>
          </w:tblCellMar>
        </w:tblPrEx>
        <w:trPr>
          <w:gridAfter w:val="3"/>
          <w:wAfter w:w="1626" w:type="dxa"/>
          <w:trHeight w:val="312" w:hRule="atLeast"/>
        </w:trPr>
        <w:tc>
          <w:tcPr>
            <w:tcW w:w="1643" w:type="dxa"/>
            <w:gridSpan w:val="4"/>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626"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355"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360"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2090"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799"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115"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r>
      <w:tr>
        <w:tblPrEx>
          <w:tblLayout w:type="fixed"/>
        </w:tblPrEx>
        <w:trPr>
          <w:gridAfter w:val="3"/>
          <w:wAfter w:w="1626" w:type="dxa"/>
          <w:trHeight w:val="312" w:hRule="atLeast"/>
        </w:trPr>
        <w:tc>
          <w:tcPr>
            <w:tcW w:w="1643" w:type="dxa"/>
            <w:gridSpan w:val="4"/>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2626" w:type="dxa"/>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1355"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360" w:type="dxa"/>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09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171.52</w:t>
            </w:r>
          </w:p>
        </w:tc>
        <w:tc>
          <w:tcPr>
            <w:tcW w:w="1799"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124.07</w:t>
            </w:r>
          </w:p>
        </w:tc>
        <w:tc>
          <w:tcPr>
            <w:tcW w:w="211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47.45</w:t>
            </w:r>
          </w:p>
        </w:tc>
      </w:tr>
      <w:tr>
        <w:tblPrEx>
          <w:tblLayout w:type="fixed"/>
          <w:tblCellMar>
            <w:top w:w="0" w:type="dxa"/>
            <w:left w:w="108" w:type="dxa"/>
            <w:bottom w:w="0" w:type="dxa"/>
            <w:right w:w="108" w:type="dxa"/>
          </w:tblCellMar>
        </w:tblPrEx>
        <w:trPr>
          <w:gridAfter w:val="3"/>
          <w:wAfter w:w="1626" w:type="dxa"/>
          <w:trHeight w:val="312" w:hRule="atLeast"/>
        </w:trPr>
        <w:tc>
          <w:tcPr>
            <w:tcW w:w="1643"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30103</w:t>
            </w:r>
          </w:p>
        </w:tc>
        <w:tc>
          <w:tcPr>
            <w:tcW w:w="2626"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奖金</w:t>
            </w:r>
          </w:p>
        </w:tc>
        <w:tc>
          <w:tcPr>
            <w:tcW w:w="135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50101</w:t>
            </w:r>
          </w:p>
        </w:tc>
        <w:tc>
          <w:tcPr>
            <w:tcW w:w="236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工资奖金津补贴</w:t>
            </w:r>
          </w:p>
        </w:tc>
        <w:tc>
          <w:tcPr>
            <w:tcW w:w="209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4.77</w:t>
            </w:r>
          </w:p>
        </w:tc>
        <w:tc>
          <w:tcPr>
            <w:tcW w:w="1799"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4.77</w:t>
            </w:r>
          </w:p>
        </w:tc>
        <w:tc>
          <w:tcPr>
            <w:tcW w:w="211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r>
      <w:tr>
        <w:tblPrEx>
          <w:tblLayout w:type="fixed"/>
          <w:tblCellMar>
            <w:top w:w="0" w:type="dxa"/>
            <w:left w:w="108" w:type="dxa"/>
            <w:bottom w:w="0" w:type="dxa"/>
            <w:right w:w="108" w:type="dxa"/>
          </w:tblCellMar>
        </w:tblPrEx>
        <w:trPr>
          <w:gridAfter w:val="3"/>
          <w:wAfter w:w="1626" w:type="dxa"/>
          <w:trHeight w:val="312" w:hRule="atLeast"/>
        </w:trPr>
        <w:tc>
          <w:tcPr>
            <w:tcW w:w="1643"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30107</w:t>
            </w:r>
          </w:p>
        </w:tc>
        <w:tc>
          <w:tcPr>
            <w:tcW w:w="2626"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绩效工资</w:t>
            </w:r>
          </w:p>
        </w:tc>
        <w:tc>
          <w:tcPr>
            <w:tcW w:w="135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50501</w:t>
            </w:r>
          </w:p>
        </w:tc>
        <w:tc>
          <w:tcPr>
            <w:tcW w:w="236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工资福利支出</w:t>
            </w:r>
          </w:p>
        </w:tc>
        <w:tc>
          <w:tcPr>
            <w:tcW w:w="209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23.48</w:t>
            </w:r>
          </w:p>
        </w:tc>
        <w:tc>
          <w:tcPr>
            <w:tcW w:w="1799"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23.48</w:t>
            </w:r>
          </w:p>
        </w:tc>
        <w:tc>
          <w:tcPr>
            <w:tcW w:w="211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r>
      <w:tr>
        <w:tblPrEx>
          <w:tblLayout w:type="fixed"/>
          <w:tblCellMar>
            <w:top w:w="0" w:type="dxa"/>
            <w:left w:w="108" w:type="dxa"/>
            <w:bottom w:w="0" w:type="dxa"/>
            <w:right w:w="108" w:type="dxa"/>
          </w:tblCellMar>
        </w:tblPrEx>
        <w:trPr>
          <w:gridAfter w:val="3"/>
          <w:wAfter w:w="1626" w:type="dxa"/>
          <w:trHeight w:val="312" w:hRule="atLeast"/>
        </w:trPr>
        <w:tc>
          <w:tcPr>
            <w:tcW w:w="1643"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30101</w:t>
            </w:r>
          </w:p>
        </w:tc>
        <w:tc>
          <w:tcPr>
            <w:tcW w:w="2626"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基本工资</w:t>
            </w:r>
          </w:p>
        </w:tc>
        <w:tc>
          <w:tcPr>
            <w:tcW w:w="135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50101</w:t>
            </w:r>
          </w:p>
        </w:tc>
        <w:tc>
          <w:tcPr>
            <w:tcW w:w="236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工资奖金津补贴</w:t>
            </w:r>
          </w:p>
        </w:tc>
        <w:tc>
          <w:tcPr>
            <w:tcW w:w="209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50.68</w:t>
            </w:r>
          </w:p>
        </w:tc>
        <w:tc>
          <w:tcPr>
            <w:tcW w:w="1799"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50.68</w:t>
            </w:r>
          </w:p>
        </w:tc>
        <w:tc>
          <w:tcPr>
            <w:tcW w:w="211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r>
      <w:tr>
        <w:tblPrEx>
          <w:tblLayout w:type="fixed"/>
          <w:tblCellMar>
            <w:top w:w="0" w:type="dxa"/>
            <w:left w:w="108" w:type="dxa"/>
            <w:bottom w:w="0" w:type="dxa"/>
            <w:right w:w="108" w:type="dxa"/>
          </w:tblCellMar>
        </w:tblPrEx>
        <w:trPr>
          <w:gridAfter w:val="3"/>
          <w:wAfter w:w="1626" w:type="dxa"/>
          <w:trHeight w:val="312" w:hRule="atLeast"/>
        </w:trPr>
        <w:tc>
          <w:tcPr>
            <w:tcW w:w="1643"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30102</w:t>
            </w:r>
          </w:p>
        </w:tc>
        <w:tc>
          <w:tcPr>
            <w:tcW w:w="2626"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津贴补贴</w:t>
            </w:r>
          </w:p>
        </w:tc>
        <w:tc>
          <w:tcPr>
            <w:tcW w:w="135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50101</w:t>
            </w:r>
          </w:p>
        </w:tc>
        <w:tc>
          <w:tcPr>
            <w:tcW w:w="236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工资奖金津补贴</w:t>
            </w:r>
          </w:p>
        </w:tc>
        <w:tc>
          <w:tcPr>
            <w:tcW w:w="209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10.85</w:t>
            </w:r>
          </w:p>
        </w:tc>
        <w:tc>
          <w:tcPr>
            <w:tcW w:w="1799"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10.85</w:t>
            </w:r>
          </w:p>
        </w:tc>
        <w:tc>
          <w:tcPr>
            <w:tcW w:w="211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r>
      <w:tr>
        <w:tblPrEx>
          <w:tblLayout w:type="fixed"/>
        </w:tblPrEx>
        <w:trPr>
          <w:gridAfter w:val="3"/>
          <w:wAfter w:w="1626" w:type="dxa"/>
          <w:trHeight w:val="312" w:hRule="atLeast"/>
        </w:trPr>
        <w:tc>
          <w:tcPr>
            <w:tcW w:w="1643"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30302</w:t>
            </w:r>
          </w:p>
        </w:tc>
        <w:tc>
          <w:tcPr>
            <w:tcW w:w="2626"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退休费</w:t>
            </w:r>
          </w:p>
        </w:tc>
        <w:tc>
          <w:tcPr>
            <w:tcW w:w="135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50905</w:t>
            </w:r>
          </w:p>
        </w:tc>
        <w:tc>
          <w:tcPr>
            <w:tcW w:w="236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离退休费</w:t>
            </w:r>
          </w:p>
        </w:tc>
        <w:tc>
          <w:tcPr>
            <w:tcW w:w="209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3.04</w:t>
            </w:r>
          </w:p>
        </w:tc>
        <w:tc>
          <w:tcPr>
            <w:tcW w:w="1799"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3.04</w:t>
            </w:r>
          </w:p>
        </w:tc>
        <w:tc>
          <w:tcPr>
            <w:tcW w:w="211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r>
      <w:tr>
        <w:tblPrEx>
          <w:tblLayout w:type="fixed"/>
          <w:tblCellMar>
            <w:top w:w="0" w:type="dxa"/>
            <w:left w:w="108" w:type="dxa"/>
            <w:bottom w:w="0" w:type="dxa"/>
            <w:right w:w="108" w:type="dxa"/>
          </w:tblCellMar>
        </w:tblPrEx>
        <w:trPr>
          <w:gridAfter w:val="3"/>
          <w:wAfter w:w="1626" w:type="dxa"/>
          <w:trHeight w:val="312" w:hRule="atLeast"/>
        </w:trPr>
        <w:tc>
          <w:tcPr>
            <w:tcW w:w="1643"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30201</w:t>
            </w:r>
          </w:p>
        </w:tc>
        <w:tc>
          <w:tcPr>
            <w:tcW w:w="2626"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办公费</w:t>
            </w:r>
          </w:p>
        </w:tc>
        <w:tc>
          <w:tcPr>
            <w:tcW w:w="135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50201</w:t>
            </w:r>
          </w:p>
        </w:tc>
        <w:tc>
          <w:tcPr>
            <w:tcW w:w="236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办公经费</w:t>
            </w:r>
          </w:p>
        </w:tc>
        <w:tc>
          <w:tcPr>
            <w:tcW w:w="209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1.55</w:t>
            </w:r>
          </w:p>
        </w:tc>
        <w:tc>
          <w:tcPr>
            <w:tcW w:w="1799"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211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1.55</w:t>
            </w:r>
          </w:p>
        </w:tc>
      </w:tr>
      <w:tr>
        <w:tblPrEx>
          <w:tblLayout w:type="fixed"/>
          <w:tblCellMar>
            <w:top w:w="0" w:type="dxa"/>
            <w:left w:w="108" w:type="dxa"/>
            <w:bottom w:w="0" w:type="dxa"/>
            <w:right w:w="108" w:type="dxa"/>
          </w:tblCellMar>
        </w:tblPrEx>
        <w:trPr>
          <w:gridAfter w:val="3"/>
          <w:wAfter w:w="1626" w:type="dxa"/>
          <w:trHeight w:val="312" w:hRule="atLeast"/>
        </w:trPr>
        <w:tc>
          <w:tcPr>
            <w:tcW w:w="1643"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30239</w:t>
            </w:r>
          </w:p>
        </w:tc>
        <w:tc>
          <w:tcPr>
            <w:tcW w:w="2626"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其他交通费用</w:t>
            </w:r>
          </w:p>
        </w:tc>
        <w:tc>
          <w:tcPr>
            <w:tcW w:w="135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50201</w:t>
            </w:r>
          </w:p>
        </w:tc>
        <w:tc>
          <w:tcPr>
            <w:tcW w:w="236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办公经费</w:t>
            </w:r>
          </w:p>
        </w:tc>
        <w:tc>
          <w:tcPr>
            <w:tcW w:w="209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0.78</w:t>
            </w:r>
          </w:p>
        </w:tc>
        <w:tc>
          <w:tcPr>
            <w:tcW w:w="1799"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211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0.78</w:t>
            </w:r>
          </w:p>
        </w:tc>
      </w:tr>
      <w:tr>
        <w:tblPrEx>
          <w:tblLayout w:type="fixed"/>
          <w:tblCellMar>
            <w:top w:w="0" w:type="dxa"/>
            <w:left w:w="108" w:type="dxa"/>
            <w:bottom w:w="0" w:type="dxa"/>
            <w:right w:w="108" w:type="dxa"/>
          </w:tblCellMar>
        </w:tblPrEx>
        <w:trPr>
          <w:gridAfter w:val="3"/>
          <w:wAfter w:w="1626" w:type="dxa"/>
          <w:trHeight w:val="312" w:hRule="atLeast"/>
        </w:trPr>
        <w:tc>
          <w:tcPr>
            <w:tcW w:w="1643"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30207</w:t>
            </w:r>
          </w:p>
        </w:tc>
        <w:tc>
          <w:tcPr>
            <w:tcW w:w="2626"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邮电费</w:t>
            </w:r>
          </w:p>
        </w:tc>
        <w:tc>
          <w:tcPr>
            <w:tcW w:w="135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50201</w:t>
            </w:r>
          </w:p>
        </w:tc>
        <w:tc>
          <w:tcPr>
            <w:tcW w:w="236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办公经费</w:t>
            </w:r>
          </w:p>
        </w:tc>
        <w:tc>
          <w:tcPr>
            <w:tcW w:w="209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1.00</w:t>
            </w:r>
          </w:p>
        </w:tc>
        <w:tc>
          <w:tcPr>
            <w:tcW w:w="1799"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211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1.00</w:t>
            </w:r>
          </w:p>
        </w:tc>
      </w:tr>
      <w:tr>
        <w:tblPrEx>
          <w:tblLayout w:type="fixed"/>
          <w:tblCellMar>
            <w:top w:w="0" w:type="dxa"/>
            <w:left w:w="108" w:type="dxa"/>
            <w:bottom w:w="0" w:type="dxa"/>
            <w:right w:w="108" w:type="dxa"/>
          </w:tblCellMar>
        </w:tblPrEx>
        <w:trPr>
          <w:gridAfter w:val="3"/>
          <w:wAfter w:w="1626" w:type="dxa"/>
          <w:trHeight w:val="312" w:hRule="atLeast"/>
        </w:trPr>
        <w:tc>
          <w:tcPr>
            <w:tcW w:w="1643"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30299</w:t>
            </w:r>
          </w:p>
        </w:tc>
        <w:tc>
          <w:tcPr>
            <w:tcW w:w="2626"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其他商品和服务支出</w:t>
            </w:r>
          </w:p>
        </w:tc>
        <w:tc>
          <w:tcPr>
            <w:tcW w:w="135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50299</w:t>
            </w:r>
          </w:p>
        </w:tc>
        <w:tc>
          <w:tcPr>
            <w:tcW w:w="236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其他商品和服务支出</w:t>
            </w:r>
          </w:p>
        </w:tc>
        <w:tc>
          <w:tcPr>
            <w:tcW w:w="209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0.12</w:t>
            </w:r>
          </w:p>
        </w:tc>
        <w:tc>
          <w:tcPr>
            <w:tcW w:w="1799"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211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0.12</w:t>
            </w:r>
          </w:p>
        </w:tc>
      </w:tr>
      <w:tr>
        <w:tblPrEx>
          <w:tblLayout w:type="fixed"/>
          <w:tblCellMar>
            <w:top w:w="0" w:type="dxa"/>
            <w:left w:w="108" w:type="dxa"/>
            <w:bottom w:w="0" w:type="dxa"/>
            <w:right w:w="108" w:type="dxa"/>
          </w:tblCellMar>
        </w:tblPrEx>
        <w:trPr>
          <w:gridAfter w:val="3"/>
          <w:wAfter w:w="1626" w:type="dxa"/>
          <w:trHeight w:val="312" w:hRule="atLeast"/>
        </w:trPr>
        <w:tc>
          <w:tcPr>
            <w:tcW w:w="1643"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30228</w:t>
            </w:r>
          </w:p>
        </w:tc>
        <w:tc>
          <w:tcPr>
            <w:tcW w:w="2626"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工会经费</w:t>
            </w:r>
          </w:p>
        </w:tc>
        <w:tc>
          <w:tcPr>
            <w:tcW w:w="135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50201</w:t>
            </w:r>
          </w:p>
        </w:tc>
        <w:tc>
          <w:tcPr>
            <w:tcW w:w="236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办公经费</w:t>
            </w:r>
          </w:p>
        </w:tc>
        <w:tc>
          <w:tcPr>
            <w:tcW w:w="209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1.10</w:t>
            </w:r>
          </w:p>
        </w:tc>
        <w:tc>
          <w:tcPr>
            <w:tcW w:w="1799"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211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1.10</w:t>
            </w:r>
          </w:p>
        </w:tc>
      </w:tr>
      <w:tr>
        <w:tblPrEx>
          <w:tblLayout w:type="fixed"/>
          <w:tblCellMar>
            <w:top w:w="0" w:type="dxa"/>
            <w:left w:w="108" w:type="dxa"/>
            <w:bottom w:w="0" w:type="dxa"/>
            <w:right w:w="108" w:type="dxa"/>
          </w:tblCellMar>
        </w:tblPrEx>
        <w:trPr>
          <w:gridAfter w:val="3"/>
          <w:wAfter w:w="1626" w:type="dxa"/>
          <w:trHeight w:val="312" w:hRule="atLeast"/>
        </w:trPr>
        <w:tc>
          <w:tcPr>
            <w:tcW w:w="1643"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30231</w:t>
            </w:r>
          </w:p>
        </w:tc>
        <w:tc>
          <w:tcPr>
            <w:tcW w:w="2626"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公务用车运行维护费</w:t>
            </w:r>
          </w:p>
        </w:tc>
        <w:tc>
          <w:tcPr>
            <w:tcW w:w="135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50208</w:t>
            </w:r>
          </w:p>
        </w:tc>
        <w:tc>
          <w:tcPr>
            <w:tcW w:w="236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公务用车运行维护费</w:t>
            </w:r>
          </w:p>
        </w:tc>
        <w:tc>
          <w:tcPr>
            <w:tcW w:w="209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42.90</w:t>
            </w:r>
          </w:p>
        </w:tc>
        <w:tc>
          <w:tcPr>
            <w:tcW w:w="1799"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211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42.90</w:t>
            </w:r>
          </w:p>
        </w:tc>
      </w:tr>
      <w:tr>
        <w:tblPrEx>
          <w:tblLayout w:type="fixed"/>
          <w:tblCellMar>
            <w:top w:w="0" w:type="dxa"/>
            <w:left w:w="108" w:type="dxa"/>
            <w:bottom w:w="0" w:type="dxa"/>
            <w:right w:w="108" w:type="dxa"/>
          </w:tblCellMar>
        </w:tblPrEx>
        <w:trPr>
          <w:gridAfter w:val="3"/>
          <w:wAfter w:w="1626" w:type="dxa"/>
          <w:trHeight w:val="312" w:hRule="atLeast"/>
        </w:trPr>
        <w:tc>
          <w:tcPr>
            <w:tcW w:w="1643"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30108</w:t>
            </w:r>
          </w:p>
        </w:tc>
        <w:tc>
          <w:tcPr>
            <w:tcW w:w="2626"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机关事业单位基本养老保险缴费</w:t>
            </w:r>
          </w:p>
        </w:tc>
        <w:tc>
          <w:tcPr>
            <w:tcW w:w="135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50102</w:t>
            </w:r>
          </w:p>
        </w:tc>
        <w:tc>
          <w:tcPr>
            <w:tcW w:w="236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社会保障缴费</w:t>
            </w:r>
          </w:p>
        </w:tc>
        <w:tc>
          <w:tcPr>
            <w:tcW w:w="209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13.47</w:t>
            </w:r>
          </w:p>
        </w:tc>
        <w:tc>
          <w:tcPr>
            <w:tcW w:w="1799"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13.47</w:t>
            </w:r>
          </w:p>
        </w:tc>
        <w:tc>
          <w:tcPr>
            <w:tcW w:w="211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r>
      <w:tr>
        <w:tblPrEx>
          <w:tblLayout w:type="fixed"/>
          <w:tblCellMar>
            <w:top w:w="0" w:type="dxa"/>
            <w:left w:w="108" w:type="dxa"/>
            <w:bottom w:w="0" w:type="dxa"/>
            <w:right w:w="108" w:type="dxa"/>
          </w:tblCellMar>
        </w:tblPrEx>
        <w:trPr>
          <w:gridAfter w:val="3"/>
          <w:wAfter w:w="1626" w:type="dxa"/>
          <w:trHeight w:val="312" w:hRule="atLeast"/>
        </w:trPr>
        <w:tc>
          <w:tcPr>
            <w:tcW w:w="1643"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30305</w:t>
            </w:r>
          </w:p>
        </w:tc>
        <w:tc>
          <w:tcPr>
            <w:tcW w:w="2626"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生活补助</w:t>
            </w:r>
          </w:p>
        </w:tc>
        <w:tc>
          <w:tcPr>
            <w:tcW w:w="135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50901</w:t>
            </w:r>
          </w:p>
        </w:tc>
        <w:tc>
          <w:tcPr>
            <w:tcW w:w="236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社会福利和救助</w:t>
            </w:r>
          </w:p>
        </w:tc>
        <w:tc>
          <w:tcPr>
            <w:tcW w:w="209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0.91</w:t>
            </w:r>
          </w:p>
        </w:tc>
        <w:tc>
          <w:tcPr>
            <w:tcW w:w="1799"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0.91</w:t>
            </w:r>
          </w:p>
        </w:tc>
        <w:tc>
          <w:tcPr>
            <w:tcW w:w="211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r>
      <w:tr>
        <w:tblPrEx>
          <w:tblLayout w:type="fixed"/>
          <w:tblCellMar>
            <w:top w:w="0" w:type="dxa"/>
            <w:left w:w="108" w:type="dxa"/>
            <w:bottom w:w="0" w:type="dxa"/>
            <w:right w:w="108" w:type="dxa"/>
          </w:tblCellMar>
        </w:tblPrEx>
        <w:trPr>
          <w:gridAfter w:val="3"/>
          <w:wAfter w:w="1626" w:type="dxa"/>
          <w:trHeight w:val="312" w:hRule="atLeast"/>
        </w:trPr>
        <w:tc>
          <w:tcPr>
            <w:tcW w:w="1643"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30110</w:t>
            </w:r>
          </w:p>
        </w:tc>
        <w:tc>
          <w:tcPr>
            <w:tcW w:w="2626"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职工基本医疗保险缴费</w:t>
            </w:r>
          </w:p>
        </w:tc>
        <w:tc>
          <w:tcPr>
            <w:tcW w:w="135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50102</w:t>
            </w:r>
          </w:p>
        </w:tc>
        <w:tc>
          <w:tcPr>
            <w:tcW w:w="236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社会保障缴费</w:t>
            </w:r>
          </w:p>
        </w:tc>
        <w:tc>
          <w:tcPr>
            <w:tcW w:w="209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6.74</w:t>
            </w:r>
          </w:p>
        </w:tc>
        <w:tc>
          <w:tcPr>
            <w:tcW w:w="1799"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6.74</w:t>
            </w:r>
          </w:p>
        </w:tc>
        <w:tc>
          <w:tcPr>
            <w:tcW w:w="211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r>
      <w:tr>
        <w:tblPrEx>
          <w:tblLayout w:type="fixed"/>
          <w:tblCellMar>
            <w:top w:w="0" w:type="dxa"/>
            <w:left w:w="108" w:type="dxa"/>
            <w:bottom w:w="0" w:type="dxa"/>
            <w:right w:w="108" w:type="dxa"/>
          </w:tblCellMar>
        </w:tblPrEx>
        <w:trPr>
          <w:gridAfter w:val="3"/>
          <w:wAfter w:w="1626" w:type="dxa"/>
          <w:trHeight w:val="312" w:hRule="atLeast"/>
        </w:trPr>
        <w:tc>
          <w:tcPr>
            <w:tcW w:w="1643"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30113</w:t>
            </w:r>
          </w:p>
        </w:tc>
        <w:tc>
          <w:tcPr>
            <w:tcW w:w="2626"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住房公积金</w:t>
            </w:r>
          </w:p>
        </w:tc>
        <w:tc>
          <w:tcPr>
            <w:tcW w:w="135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50103</w:t>
            </w:r>
          </w:p>
        </w:tc>
        <w:tc>
          <w:tcPr>
            <w:tcW w:w="236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住房公积金</w:t>
            </w:r>
          </w:p>
        </w:tc>
        <w:tc>
          <w:tcPr>
            <w:tcW w:w="2090"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10.13</w:t>
            </w:r>
          </w:p>
        </w:tc>
        <w:tc>
          <w:tcPr>
            <w:tcW w:w="1799"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10.13</w:t>
            </w:r>
          </w:p>
        </w:tc>
        <w:tc>
          <w:tcPr>
            <w:tcW w:w="2115"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r>
      <w:tr>
        <w:tblPrEx>
          <w:tblLayout w:type="fixed"/>
          <w:tblCellMar>
            <w:top w:w="0" w:type="dxa"/>
            <w:left w:w="108" w:type="dxa"/>
            <w:bottom w:w="0" w:type="dxa"/>
            <w:right w:w="108" w:type="dxa"/>
          </w:tblCellMar>
        </w:tblPrEx>
        <w:trPr>
          <w:trHeight w:val="346" w:hRule="atLeast"/>
        </w:trPr>
        <w:tc>
          <w:tcPr>
            <w:tcW w:w="15614" w:type="dxa"/>
            <w:gridSpan w:val="28"/>
            <w:tcBorders>
              <w:top w:val="nil"/>
              <w:left w:val="nil"/>
              <w:bottom w:val="nil"/>
              <w:right w:val="nil"/>
            </w:tcBorders>
            <w:shd w:val="clear" w:color="auto" w:fill="auto"/>
            <w:vAlign w:val="center"/>
          </w:tcPr>
          <w:p>
            <w:pPr>
              <w:keepNext w:val="0"/>
              <w:keepLines w:val="0"/>
              <w:pageBreakBefore w:val="0"/>
              <w:widowControl/>
              <w:wordWrap/>
              <w:topLinePunct w:val="0"/>
              <w:autoSpaceDE/>
              <w:autoSpaceDN/>
              <w:bidi w:val="0"/>
              <w:spacing w:line="240" w:lineRule="atLeast"/>
              <w:jc w:val="both"/>
              <w:rPr>
                <w:rFonts w:hint="eastAsia" w:ascii="宋体" w:hAnsi="宋体" w:cs="宋体"/>
                <w:kern w:val="0"/>
                <w:sz w:val="18"/>
                <w:szCs w:val="18"/>
                <w:highlight w:val="none"/>
              </w:rPr>
            </w:pPr>
          </w:p>
          <w:p>
            <w:pPr>
              <w:keepNext w:val="0"/>
              <w:keepLines w:val="0"/>
              <w:pageBreakBefore w:val="0"/>
              <w:widowControl/>
              <w:wordWrap/>
              <w:topLinePunct w:val="0"/>
              <w:autoSpaceDE/>
              <w:autoSpaceDN/>
              <w:bidi w:val="0"/>
              <w:spacing w:line="240" w:lineRule="atLeast"/>
              <w:jc w:val="both"/>
              <w:rPr>
                <w:rFonts w:hint="eastAsia" w:ascii="宋体" w:hAnsi="宋体" w:cs="宋体"/>
                <w:kern w:val="0"/>
                <w:sz w:val="18"/>
                <w:szCs w:val="18"/>
                <w:highlight w:val="none"/>
              </w:rPr>
            </w:pPr>
          </w:p>
          <w:p>
            <w:pPr>
              <w:keepNext w:val="0"/>
              <w:keepLines w:val="0"/>
              <w:pageBreakBefore w:val="0"/>
              <w:widowControl/>
              <w:wordWrap/>
              <w:topLinePunct w:val="0"/>
              <w:autoSpaceDE/>
              <w:autoSpaceDN/>
              <w:bidi w:val="0"/>
              <w:spacing w:line="240" w:lineRule="atLeast"/>
              <w:jc w:val="both"/>
              <w:rPr>
                <w:rFonts w:hint="eastAsia" w:ascii="宋体" w:hAnsi="宋体" w:cs="宋体"/>
                <w:kern w:val="0"/>
                <w:sz w:val="18"/>
                <w:szCs w:val="18"/>
                <w:highlight w:val="none"/>
              </w:rPr>
            </w:pPr>
          </w:p>
          <w:p>
            <w:pPr>
              <w:keepNext w:val="0"/>
              <w:keepLines w:val="0"/>
              <w:pageBreakBefore w:val="0"/>
              <w:widowControl/>
              <w:wordWrap/>
              <w:topLinePunct w:val="0"/>
              <w:autoSpaceDE/>
              <w:autoSpaceDN/>
              <w:bidi w:val="0"/>
              <w:spacing w:line="240" w:lineRule="atLeast"/>
              <w:jc w:val="both"/>
              <w:rPr>
                <w:rFonts w:hint="eastAsia" w:ascii="宋体" w:hAnsi="宋体" w:cs="宋体"/>
                <w:kern w:val="0"/>
                <w:sz w:val="18"/>
                <w:szCs w:val="18"/>
                <w:highlight w:val="none"/>
              </w:rPr>
            </w:pPr>
          </w:p>
          <w:p>
            <w:pPr>
              <w:keepNext w:val="0"/>
              <w:keepLines w:val="0"/>
              <w:pageBreakBefore w:val="0"/>
              <w:widowControl/>
              <w:wordWrap/>
              <w:topLinePunct w:val="0"/>
              <w:autoSpaceDE/>
              <w:autoSpaceDN/>
              <w:bidi w:val="0"/>
              <w:spacing w:line="240" w:lineRule="atLeast"/>
              <w:jc w:val="both"/>
              <w:rPr>
                <w:rFonts w:hint="eastAsia" w:ascii="宋体" w:hAnsi="宋体" w:cs="宋体"/>
                <w:kern w:val="0"/>
                <w:sz w:val="18"/>
                <w:szCs w:val="18"/>
                <w:highlight w:val="none"/>
              </w:rPr>
            </w:pPr>
          </w:p>
          <w:p>
            <w:pPr>
              <w:keepNext w:val="0"/>
              <w:keepLines w:val="0"/>
              <w:pageBreakBefore w:val="0"/>
              <w:widowControl/>
              <w:wordWrap/>
              <w:topLinePunct w:val="0"/>
              <w:autoSpaceDE/>
              <w:autoSpaceDN/>
              <w:bidi w:val="0"/>
              <w:spacing w:line="240" w:lineRule="atLeast"/>
              <w:jc w:val="both"/>
              <w:rPr>
                <w:rFonts w:hint="eastAsia" w:ascii="宋体" w:hAnsi="宋体" w:cs="宋体"/>
                <w:kern w:val="0"/>
                <w:sz w:val="18"/>
                <w:szCs w:val="18"/>
                <w:highlight w:val="none"/>
              </w:rPr>
            </w:pPr>
          </w:p>
          <w:p>
            <w:pPr>
              <w:keepNext w:val="0"/>
              <w:keepLines w:val="0"/>
              <w:pageBreakBefore w:val="0"/>
              <w:widowControl/>
              <w:wordWrap/>
              <w:topLinePunct w:val="0"/>
              <w:autoSpaceDE/>
              <w:autoSpaceDN/>
              <w:bidi w:val="0"/>
              <w:spacing w:line="240" w:lineRule="atLeast"/>
              <w:jc w:val="both"/>
              <w:rPr>
                <w:rFonts w:hint="eastAsia" w:ascii="宋体" w:hAnsi="宋体" w:cs="宋体"/>
                <w:kern w:val="0"/>
                <w:sz w:val="18"/>
                <w:szCs w:val="18"/>
                <w:highlight w:val="none"/>
              </w:rPr>
            </w:pPr>
          </w:p>
          <w:p>
            <w:pPr>
              <w:keepNext w:val="0"/>
              <w:keepLines w:val="0"/>
              <w:pageBreakBefore w:val="0"/>
              <w:widowControl/>
              <w:wordWrap/>
              <w:topLinePunct w:val="0"/>
              <w:autoSpaceDE/>
              <w:autoSpaceDN/>
              <w:bidi w:val="0"/>
              <w:spacing w:line="240" w:lineRule="atLeast"/>
              <w:ind w:firstLine="14220" w:firstLineChars="7900"/>
              <w:jc w:val="both"/>
              <w:rPr>
                <w:rFonts w:hint="eastAsia" w:ascii="宋体" w:hAnsi="宋体" w:cs="宋体"/>
                <w:kern w:val="0"/>
                <w:sz w:val="18"/>
                <w:szCs w:val="18"/>
                <w:highlight w:val="none"/>
              </w:rPr>
            </w:pPr>
          </w:p>
          <w:p>
            <w:pPr>
              <w:keepNext w:val="0"/>
              <w:keepLines w:val="0"/>
              <w:pageBreakBefore w:val="0"/>
              <w:widowControl/>
              <w:wordWrap/>
              <w:topLinePunct w:val="0"/>
              <w:autoSpaceDE/>
              <w:autoSpaceDN/>
              <w:bidi w:val="0"/>
              <w:spacing w:line="240" w:lineRule="atLeast"/>
              <w:ind w:firstLine="14220" w:firstLineChars="7900"/>
              <w:jc w:val="both"/>
              <w:rPr>
                <w:rFonts w:hint="eastAsia" w:ascii="宋体" w:hAnsi="宋体" w:cs="宋体"/>
                <w:kern w:val="0"/>
                <w:sz w:val="18"/>
                <w:szCs w:val="18"/>
                <w:highlight w:val="none"/>
              </w:rPr>
            </w:pPr>
          </w:p>
          <w:p>
            <w:pPr>
              <w:keepNext w:val="0"/>
              <w:keepLines w:val="0"/>
              <w:pageBreakBefore w:val="0"/>
              <w:widowControl/>
              <w:wordWrap/>
              <w:topLinePunct w:val="0"/>
              <w:autoSpaceDE/>
              <w:autoSpaceDN/>
              <w:bidi w:val="0"/>
              <w:spacing w:line="240" w:lineRule="atLeast"/>
              <w:ind w:firstLine="14220" w:firstLineChars="7900"/>
              <w:jc w:val="both"/>
              <w:rPr>
                <w:rFonts w:ascii="宋体" w:hAnsi="宋体" w:cs="宋体"/>
                <w:kern w:val="0"/>
                <w:sz w:val="18"/>
                <w:szCs w:val="18"/>
                <w:highlight w:val="none"/>
              </w:rPr>
            </w:pPr>
            <w:r>
              <w:rPr>
                <w:rFonts w:hint="eastAsia" w:ascii="宋体" w:hAnsi="宋体" w:cs="宋体"/>
                <w:kern w:val="0"/>
                <w:sz w:val="18"/>
                <w:szCs w:val="18"/>
                <w:highlight w:val="none"/>
              </w:rPr>
              <w:t>预算07表</w:t>
            </w:r>
          </w:p>
        </w:tc>
      </w:tr>
      <w:tr>
        <w:tblPrEx>
          <w:tblLayout w:type="fixed"/>
          <w:tblCellMar>
            <w:top w:w="0" w:type="dxa"/>
            <w:left w:w="108" w:type="dxa"/>
            <w:bottom w:w="0" w:type="dxa"/>
            <w:right w:w="108" w:type="dxa"/>
          </w:tblCellMar>
        </w:tblPrEx>
        <w:trPr>
          <w:trHeight w:val="474" w:hRule="atLeast"/>
        </w:trPr>
        <w:tc>
          <w:tcPr>
            <w:tcW w:w="15614" w:type="dxa"/>
            <w:gridSpan w:val="28"/>
            <w:tcBorders>
              <w:top w:val="nil"/>
              <w:left w:val="nil"/>
              <w:bottom w:val="nil"/>
              <w:right w:val="nil"/>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b/>
                <w:bCs/>
                <w:kern w:val="0"/>
                <w:sz w:val="18"/>
                <w:szCs w:val="18"/>
                <w:highlight w:val="none"/>
              </w:rPr>
            </w:pPr>
            <w:r>
              <w:rPr>
                <w:rFonts w:hint="eastAsia" w:ascii="宋体" w:hAnsi="宋体" w:cs="宋体"/>
                <w:b/>
                <w:bCs/>
                <w:kern w:val="0"/>
                <w:sz w:val="32"/>
                <w:szCs w:val="32"/>
                <w:highlight w:val="none"/>
              </w:rPr>
              <w:t>202</w:t>
            </w:r>
            <w:r>
              <w:rPr>
                <w:rFonts w:hint="eastAsia" w:ascii="宋体" w:hAnsi="宋体" w:cs="宋体"/>
                <w:b/>
                <w:bCs/>
                <w:kern w:val="0"/>
                <w:sz w:val="32"/>
                <w:szCs w:val="32"/>
                <w:highlight w:val="none"/>
                <w:lang w:val="en-US" w:eastAsia="zh-CN"/>
              </w:rPr>
              <w:t>4</w:t>
            </w:r>
            <w:r>
              <w:rPr>
                <w:rFonts w:hint="eastAsia" w:ascii="宋体" w:hAnsi="宋体" w:cs="宋体"/>
                <w:b/>
                <w:bCs/>
                <w:kern w:val="0"/>
                <w:sz w:val="32"/>
                <w:szCs w:val="32"/>
                <w:highlight w:val="none"/>
              </w:rPr>
              <w:t>年支出经济分类汇总表</w:t>
            </w:r>
          </w:p>
        </w:tc>
      </w:tr>
      <w:tr>
        <w:tblPrEx>
          <w:tblLayout w:type="fixed"/>
          <w:tblCellMar>
            <w:top w:w="0" w:type="dxa"/>
            <w:left w:w="108" w:type="dxa"/>
            <w:bottom w:w="0" w:type="dxa"/>
            <w:right w:w="108" w:type="dxa"/>
          </w:tblCellMar>
        </w:tblPrEx>
        <w:trPr>
          <w:trHeight w:val="154" w:hRule="atLeast"/>
        </w:trPr>
        <w:tc>
          <w:tcPr>
            <w:tcW w:w="3340" w:type="dxa"/>
            <w:gridSpan w:val="5"/>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left"/>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新乡市卫滨区机关事务中心</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w:t>
            </w:r>
          </w:p>
        </w:tc>
        <w:tc>
          <w:tcPr>
            <w:tcW w:w="5948" w:type="dxa"/>
            <w:gridSpan w:val="10"/>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both"/>
              <w:textAlignment w:val="auto"/>
              <w:outlineLvl w:val="9"/>
              <w:rPr>
                <w:rFonts w:hint="eastAsia" w:ascii="宋体" w:hAnsi="宋体" w:cs="宋体"/>
                <w:kern w:val="0"/>
                <w:sz w:val="18"/>
                <w:szCs w:val="18"/>
                <w:highlight w:val="none"/>
              </w:rPr>
            </w:pPr>
          </w:p>
        </w:tc>
        <w:tc>
          <w:tcPr>
            <w:tcW w:w="6326" w:type="dxa"/>
            <w:gridSpan w:val="1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142" w:hRule="atLeast"/>
        </w:trPr>
        <w:tc>
          <w:tcPr>
            <w:tcW w:w="33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 xml:space="preserve"> 部门预算经济分类  </w:t>
            </w:r>
          </w:p>
        </w:tc>
        <w:tc>
          <w:tcPr>
            <w:tcW w:w="3022"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政府预算经济分类</w:t>
            </w:r>
          </w:p>
        </w:tc>
        <w:tc>
          <w:tcPr>
            <w:tcW w:w="8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总计</w:t>
            </w:r>
          </w:p>
        </w:tc>
        <w:tc>
          <w:tcPr>
            <w:tcW w:w="1667"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9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政府性基金</w:t>
            </w:r>
          </w:p>
        </w:tc>
        <w:tc>
          <w:tcPr>
            <w:tcW w:w="8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06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事业收入</w:t>
            </w:r>
          </w:p>
        </w:tc>
        <w:tc>
          <w:tcPr>
            <w:tcW w:w="6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8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7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 xml:space="preserve"> 其他收入  </w:t>
            </w:r>
          </w:p>
        </w:tc>
      </w:tr>
      <w:tr>
        <w:tblPrEx>
          <w:tblLayout w:type="fixed"/>
          <w:tblCellMar>
            <w:top w:w="0" w:type="dxa"/>
            <w:left w:w="108" w:type="dxa"/>
            <w:bottom w:w="0" w:type="dxa"/>
            <w:right w:w="108" w:type="dxa"/>
          </w:tblCellMar>
        </w:tblPrEx>
        <w:trPr>
          <w:trHeight w:val="636" w:hRule="atLeast"/>
        </w:trPr>
        <w:tc>
          <w:tcPr>
            <w:tcW w:w="50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 xml:space="preserve"> 类</w:t>
            </w:r>
          </w:p>
        </w:tc>
        <w:tc>
          <w:tcPr>
            <w:tcW w:w="50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款</w:t>
            </w:r>
          </w:p>
        </w:tc>
        <w:tc>
          <w:tcPr>
            <w:tcW w:w="2336"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科目名称</w:t>
            </w:r>
          </w:p>
        </w:tc>
        <w:tc>
          <w:tcPr>
            <w:tcW w:w="6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 xml:space="preserve"> 类</w:t>
            </w:r>
          </w:p>
        </w:tc>
        <w:tc>
          <w:tcPr>
            <w:tcW w:w="58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款</w:t>
            </w:r>
          </w:p>
        </w:tc>
        <w:tc>
          <w:tcPr>
            <w:tcW w:w="1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科目名称</w:t>
            </w:r>
          </w:p>
        </w:tc>
        <w:tc>
          <w:tcPr>
            <w:tcW w:w="88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p>
        </w:tc>
        <w:tc>
          <w:tcPr>
            <w:tcW w:w="896"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小计</w:t>
            </w:r>
          </w:p>
        </w:tc>
        <w:tc>
          <w:tcPr>
            <w:tcW w:w="771"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91"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p>
        </w:tc>
        <w:tc>
          <w:tcPr>
            <w:tcW w:w="812"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p>
        </w:tc>
        <w:tc>
          <w:tcPr>
            <w:tcW w:w="70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p>
        </w:tc>
        <w:tc>
          <w:tcPr>
            <w:tcW w:w="1068" w:type="dxa"/>
            <w:gridSpan w:val="3"/>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p>
        </w:tc>
        <w:tc>
          <w:tcPr>
            <w:tcW w:w="53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p>
        </w:tc>
        <w:tc>
          <w:tcPr>
            <w:tcW w:w="67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p>
        </w:tc>
        <w:tc>
          <w:tcPr>
            <w:tcW w:w="828"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p>
        </w:tc>
        <w:tc>
          <w:tcPr>
            <w:tcW w:w="72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p>
        </w:tc>
        <w:tc>
          <w:tcPr>
            <w:tcW w:w="75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312" w:hRule="atLeast"/>
        </w:trPr>
        <w:tc>
          <w:tcPr>
            <w:tcW w:w="50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50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2336"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合计</w:t>
            </w:r>
          </w:p>
        </w:tc>
        <w:tc>
          <w:tcPr>
            <w:tcW w:w="6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58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1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852.84</w:t>
            </w:r>
          </w:p>
        </w:tc>
        <w:tc>
          <w:tcPr>
            <w:tcW w:w="896"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852.84</w:t>
            </w:r>
          </w:p>
        </w:tc>
        <w:tc>
          <w:tcPr>
            <w:tcW w:w="771"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852.84</w:t>
            </w:r>
          </w:p>
        </w:tc>
        <w:tc>
          <w:tcPr>
            <w:tcW w:w="59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106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5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6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2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5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r>
      <w:tr>
        <w:tblPrEx>
          <w:tblLayout w:type="fixed"/>
          <w:tblCellMar>
            <w:top w:w="0" w:type="dxa"/>
            <w:left w:w="108" w:type="dxa"/>
            <w:bottom w:w="0" w:type="dxa"/>
            <w:right w:w="108" w:type="dxa"/>
          </w:tblCellMar>
        </w:tblPrEx>
        <w:trPr>
          <w:trHeight w:val="312" w:hRule="atLeast"/>
        </w:trPr>
        <w:tc>
          <w:tcPr>
            <w:tcW w:w="50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027</w:t>
            </w:r>
          </w:p>
        </w:tc>
        <w:tc>
          <w:tcPr>
            <w:tcW w:w="50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　</w:t>
            </w:r>
          </w:p>
        </w:tc>
        <w:tc>
          <w:tcPr>
            <w:tcW w:w="2336"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新乡市卫滨区机关事务中心</w:t>
            </w:r>
          </w:p>
        </w:tc>
        <w:tc>
          <w:tcPr>
            <w:tcW w:w="6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　</w:t>
            </w:r>
          </w:p>
        </w:tc>
        <w:tc>
          <w:tcPr>
            <w:tcW w:w="58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　</w:t>
            </w:r>
          </w:p>
        </w:tc>
        <w:tc>
          <w:tcPr>
            <w:tcW w:w="1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　</w:t>
            </w:r>
          </w:p>
        </w:tc>
        <w:tc>
          <w:tcPr>
            <w:tcW w:w="8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852.84</w:t>
            </w:r>
          </w:p>
        </w:tc>
        <w:tc>
          <w:tcPr>
            <w:tcW w:w="896"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852.84</w:t>
            </w:r>
          </w:p>
        </w:tc>
        <w:tc>
          <w:tcPr>
            <w:tcW w:w="771"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852.84</w:t>
            </w:r>
          </w:p>
        </w:tc>
        <w:tc>
          <w:tcPr>
            <w:tcW w:w="59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106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5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6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2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5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r>
      <w:tr>
        <w:tblPrEx>
          <w:tblLayout w:type="fixed"/>
          <w:tblCellMar>
            <w:top w:w="0" w:type="dxa"/>
            <w:left w:w="108" w:type="dxa"/>
            <w:bottom w:w="0" w:type="dxa"/>
            <w:right w:w="108" w:type="dxa"/>
          </w:tblCellMar>
        </w:tblPrEx>
        <w:trPr>
          <w:trHeight w:val="312" w:hRule="atLeast"/>
        </w:trPr>
        <w:tc>
          <w:tcPr>
            <w:tcW w:w="50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302</w:t>
            </w:r>
          </w:p>
        </w:tc>
        <w:tc>
          <w:tcPr>
            <w:tcW w:w="50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99</w:t>
            </w:r>
          </w:p>
        </w:tc>
        <w:tc>
          <w:tcPr>
            <w:tcW w:w="2336"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其他商品和服务支出</w:t>
            </w:r>
          </w:p>
        </w:tc>
        <w:tc>
          <w:tcPr>
            <w:tcW w:w="6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502</w:t>
            </w:r>
          </w:p>
        </w:tc>
        <w:tc>
          <w:tcPr>
            <w:tcW w:w="58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99</w:t>
            </w:r>
          </w:p>
        </w:tc>
        <w:tc>
          <w:tcPr>
            <w:tcW w:w="1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其他商品和服务支出</w:t>
            </w:r>
          </w:p>
        </w:tc>
        <w:tc>
          <w:tcPr>
            <w:tcW w:w="8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14.12</w:t>
            </w:r>
          </w:p>
        </w:tc>
        <w:tc>
          <w:tcPr>
            <w:tcW w:w="896"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14.12</w:t>
            </w:r>
          </w:p>
        </w:tc>
        <w:tc>
          <w:tcPr>
            <w:tcW w:w="771"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14.12</w:t>
            </w:r>
          </w:p>
        </w:tc>
        <w:tc>
          <w:tcPr>
            <w:tcW w:w="59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106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5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6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2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5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r>
      <w:tr>
        <w:tblPrEx>
          <w:tblLayout w:type="fixed"/>
          <w:tblCellMar>
            <w:top w:w="0" w:type="dxa"/>
            <w:left w:w="108" w:type="dxa"/>
            <w:bottom w:w="0" w:type="dxa"/>
            <w:right w:w="108" w:type="dxa"/>
          </w:tblCellMar>
        </w:tblPrEx>
        <w:trPr>
          <w:trHeight w:val="312" w:hRule="atLeast"/>
        </w:trPr>
        <w:tc>
          <w:tcPr>
            <w:tcW w:w="50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302</w:t>
            </w:r>
          </w:p>
        </w:tc>
        <w:tc>
          <w:tcPr>
            <w:tcW w:w="50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08</w:t>
            </w:r>
          </w:p>
        </w:tc>
        <w:tc>
          <w:tcPr>
            <w:tcW w:w="2336"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取暖费</w:t>
            </w:r>
          </w:p>
        </w:tc>
        <w:tc>
          <w:tcPr>
            <w:tcW w:w="6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505</w:t>
            </w:r>
          </w:p>
        </w:tc>
        <w:tc>
          <w:tcPr>
            <w:tcW w:w="58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02</w:t>
            </w:r>
          </w:p>
        </w:tc>
        <w:tc>
          <w:tcPr>
            <w:tcW w:w="1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商品和服务支出</w:t>
            </w:r>
          </w:p>
        </w:tc>
        <w:tc>
          <w:tcPr>
            <w:tcW w:w="8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62.76</w:t>
            </w:r>
          </w:p>
        </w:tc>
        <w:tc>
          <w:tcPr>
            <w:tcW w:w="896"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62.76</w:t>
            </w:r>
          </w:p>
        </w:tc>
        <w:tc>
          <w:tcPr>
            <w:tcW w:w="771"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62.76</w:t>
            </w:r>
          </w:p>
        </w:tc>
        <w:tc>
          <w:tcPr>
            <w:tcW w:w="59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106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5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6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2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5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r>
      <w:tr>
        <w:tblPrEx>
          <w:tblLayout w:type="fixed"/>
          <w:tblCellMar>
            <w:top w:w="0" w:type="dxa"/>
            <w:left w:w="108" w:type="dxa"/>
            <w:bottom w:w="0" w:type="dxa"/>
            <w:right w:w="108" w:type="dxa"/>
          </w:tblCellMar>
        </w:tblPrEx>
        <w:trPr>
          <w:trHeight w:val="312" w:hRule="atLeast"/>
        </w:trPr>
        <w:tc>
          <w:tcPr>
            <w:tcW w:w="50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302</w:t>
            </w:r>
          </w:p>
        </w:tc>
        <w:tc>
          <w:tcPr>
            <w:tcW w:w="50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01</w:t>
            </w:r>
          </w:p>
        </w:tc>
        <w:tc>
          <w:tcPr>
            <w:tcW w:w="2336"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办公费</w:t>
            </w:r>
          </w:p>
        </w:tc>
        <w:tc>
          <w:tcPr>
            <w:tcW w:w="6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502</w:t>
            </w:r>
          </w:p>
        </w:tc>
        <w:tc>
          <w:tcPr>
            <w:tcW w:w="58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01</w:t>
            </w:r>
          </w:p>
        </w:tc>
        <w:tc>
          <w:tcPr>
            <w:tcW w:w="1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办公经费</w:t>
            </w:r>
          </w:p>
        </w:tc>
        <w:tc>
          <w:tcPr>
            <w:tcW w:w="8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18.55</w:t>
            </w:r>
          </w:p>
        </w:tc>
        <w:tc>
          <w:tcPr>
            <w:tcW w:w="896"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18.55</w:t>
            </w:r>
          </w:p>
        </w:tc>
        <w:tc>
          <w:tcPr>
            <w:tcW w:w="771"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18.55</w:t>
            </w:r>
          </w:p>
        </w:tc>
        <w:tc>
          <w:tcPr>
            <w:tcW w:w="59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106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5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6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2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5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r>
      <w:tr>
        <w:tblPrEx>
          <w:tblLayout w:type="fixed"/>
          <w:tblCellMar>
            <w:top w:w="0" w:type="dxa"/>
            <w:left w:w="108" w:type="dxa"/>
            <w:bottom w:w="0" w:type="dxa"/>
            <w:right w:w="108" w:type="dxa"/>
          </w:tblCellMar>
        </w:tblPrEx>
        <w:trPr>
          <w:trHeight w:val="312" w:hRule="atLeast"/>
        </w:trPr>
        <w:tc>
          <w:tcPr>
            <w:tcW w:w="50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302</w:t>
            </w:r>
          </w:p>
        </w:tc>
        <w:tc>
          <w:tcPr>
            <w:tcW w:w="50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06</w:t>
            </w:r>
          </w:p>
        </w:tc>
        <w:tc>
          <w:tcPr>
            <w:tcW w:w="2336"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电费</w:t>
            </w:r>
          </w:p>
        </w:tc>
        <w:tc>
          <w:tcPr>
            <w:tcW w:w="6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505</w:t>
            </w:r>
          </w:p>
        </w:tc>
        <w:tc>
          <w:tcPr>
            <w:tcW w:w="58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02</w:t>
            </w:r>
          </w:p>
        </w:tc>
        <w:tc>
          <w:tcPr>
            <w:tcW w:w="1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商品和服务支出</w:t>
            </w:r>
          </w:p>
        </w:tc>
        <w:tc>
          <w:tcPr>
            <w:tcW w:w="8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96.00</w:t>
            </w:r>
          </w:p>
        </w:tc>
        <w:tc>
          <w:tcPr>
            <w:tcW w:w="896"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96.00</w:t>
            </w:r>
          </w:p>
        </w:tc>
        <w:tc>
          <w:tcPr>
            <w:tcW w:w="771"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96.00</w:t>
            </w:r>
          </w:p>
        </w:tc>
        <w:tc>
          <w:tcPr>
            <w:tcW w:w="59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106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5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6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2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5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r>
      <w:tr>
        <w:tblPrEx>
          <w:tblLayout w:type="fixed"/>
          <w:tblCellMar>
            <w:top w:w="0" w:type="dxa"/>
            <w:left w:w="108" w:type="dxa"/>
            <w:bottom w:w="0" w:type="dxa"/>
            <w:right w:w="108" w:type="dxa"/>
          </w:tblCellMar>
        </w:tblPrEx>
        <w:trPr>
          <w:trHeight w:val="312" w:hRule="atLeast"/>
        </w:trPr>
        <w:tc>
          <w:tcPr>
            <w:tcW w:w="50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301</w:t>
            </w:r>
          </w:p>
        </w:tc>
        <w:tc>
          <w:tcPr>
            <w:tcW w:w="50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06</w:t>
            </w:r>
          </w:p>
        </w:tc>
        <w:tc>
          <w:tcPr>
            <w:tcW w:w="2336"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伙食补助费</w:t>
            </w:r>
          </w:p>
        </w:tc>
        <w:tc>
          <w:tcPr>
            <w:tcW w:w="6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501</w:t>
            </w:r>
          </w:p>
        </w:tc>
        <w:tc>
          <w:tcPr>
            <w:tcW w:w="58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99</w:t>
            </w:r>
          </w:p>
        </w:tc>
        <w:tc>
          <w:tcPr>
            <w:tcW w:w="1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其他工资福利支出</w:t>
            </w:r>
          </w:p>
        </w:tc>
        <w:tc>
          <w:tcPr>
            <w:tcW w:w="8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144.00</w:t>
            </w:r>
          </w:p>
        </w:tc>
        <w:tc>
          <w:tcPr>
            <w:tcW w:w="896"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144.00</w:t>
            </w:r>
          </w:p>
        </w:tc>
        <w:tc>
          <w:tcPr>
            <w:tcW w:w="771"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144.00</w:t>
            </w:r>
          </w:p>
        </w:tc>
        <w:tc>
          <w:tcPr>
            <w:tcW w:w="59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106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5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6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2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5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r>
      <w:tr>
        <w:tblPrEx>
          <w:tblLayout w:type="fixed"/>
          <w:tblCellMar>
            <w:top w:w="0" w:type="dxa"/>
            <w:left w:w="108" w:type="dxa"/>
            <w:bottom w:w="0" w:type="dxa"/>
            <w:right w:w="108" w:type="dxa"/>
          </w:tblCellMar>
        </w:tblPrEx>
        <w:trPr>
          <w:trHeight w:val="312" w:hRule="atLeast"/>
        </w:trPr>
        <w:tc>
          <w:tcPr>
            <w:tcW w:w="50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302</w:t>
            </w:r>
          </w:p>
        </w:tc>
        <w:tc>
          <w:tcPr>
            <w:tcW w:w="50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14</w:t>
            </w:r>
          </w:p>
        </w:tc>
        <w:tc>
          <w:tcPr>
            <w:tcW w:w="2336"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租赁费</w:t>
            </w:r>
          </w:p>
        </w:tc>
        <w:tc>
          <w:tcPr>
            <w:tcW w:w="6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505</w:t>
            </w:r>
          </w:p>
        </w:tc>
        <w:tc>
          <w:tcPr>
            <w:tcW w:w="58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02</w:t>
            </w:r>
          </w:p>
        </w:tc>
        <w:tc>
          <w:tcPr>
            <w:tcW w:w="1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商品和服务支出</w:t>
            </w:r>
          </w:p>
        </w:tc>
        <w:tc>
          <w:tcPr>
            <w:tcW w:w="8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15.00</w:t>
            </w:r>
          </w:p>
        </w:tc>
        <w:tc>
          <w:tcPr>
            <w:tcW w:w="896"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15.00</w:t>
            </w:r>
          </w:p>
        </w:tc>
        <w:tc>
          <w:tcPr>
            <w:tcW w:w="771"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15.00</w:t>
            </w:r>
          </w:p>
        </w:tc>
        <w:tc>
          <w:tcPr>
            <w:tcW w:w="59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106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5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6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2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5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r>
      <w:tr>
        <w:tblPrEx>
          <w:tblLayout w:type="fixed"/>
          <w:tblCellMar>
            <w:top w:w="0" w:type="dxa"/>
            <w:left w:w="108" w:type="dxa"/>
            <w:bottom w:w="0" w:type="dxa"/>
            <w:right w:w="108" w:type="dxa"/>
          </w:tblCellMar>
        </w:tblPrEx>
        <w:trPr>
          <w:trHeight w:val="312" w:hRule="atLeast"/>
        </w:trPr>
        <w:tc>
          <w:tcPr>
            <w:tcW w:w="50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302</w:t>
            </w:r>
          </w:p>
        </w:tc>
        <w:tc>
          <w:tcPr>
            <w:tcW w:w="50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26</w:t>
            </w:r>
          </w:p>
        </w:tc>
        <w:tc>
          <w:tcPr>
            <w:tcW w:w="2336"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劳务费</w:t>
            </w:r>
          </w:p>
        </w:tc>
        <w:tc>
          <w:tcPr>
            <w:tcW w:w="6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505</w:t>
            </w:r>
          </w:p>
        </w:tc>
        <w:tc>
          <w:tcPr>
            <w:tcW w:w="58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02</w:t>
            </w:r>
          </w:p>
        </w:tc>
        <w:tc>
          <w:tcPr>
            <w:tcW w:w="1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商品和服务支出</w:t>
            </w:r>
          </w:p>
        </w:tc>
        <w:tc>
          <w:tcPr>
            <w:tcW w:w="8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261.56</w:t>
            </w:r>
          </w:p>
        </w:tc>
        <w:tc>
          <w:tcPr>
            <w:tcW w:w="896"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261.56</w:t>
            </w:r>
          </w:p>
        </w:tc>
        <w:tc>
          <w:tcPr>
            <w:tcW w:w="771"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261.56</w:t>
            </w:r>
          </w:p>
        </w:tc>
        <w:tc>
          <w:tcPr>
            <w:tcW w:w="59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106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5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6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2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5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r>
      <w:tr>
        <w:tblPrEx>
          <w:tblLayout w:type="fixed"/>
          <w:tblCellMar>
            <w:top w:w="0" w:type="dxa"/>
            <w:left w:w="108" w:type="dxa"/>
            <w:bottom w:w="0" w:type="dxa"/>
            <w:right w:w="108" w:type="dxa"/>
          </w:tblCellMar>
        </w:tblPrEx>
        <w:trPr>
          <w:trHeight w:val="312" w:hRule="atLeast"/>
        </w:trPr>
        <w:tc>
          <w:tcPr>
            <w:tcW w:w="50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302</w:t>
            </w:r>
          </w:p>
        </w:tc>
        <w:tc>
          <w:tcPr>
            <w:tcW w:w="50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05</w:t>
            </w:r>
          </w:p>
        </w:tc>
        <w:tc>
          <w:tcPr>
            <w:tcW w:w="2336"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水费</w:t>
            </w:r>
          </w:p>
        </w:tc>
        <w:tc>
          <w:tcPr>
            <w:tcW w:w="6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505</w:t>
            </w:r>
          </w:p>
        </w:tc>
        <w:tc>
          <w:tcPr>
            <w:tcW w:w="58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02</w:t>
            </w:r>
          </w:p>
        </w:tc>
        <w:tc>
          <w:tcPr>
            <w:tcW w:w="1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商品和服务支出</w:t>
            </w:r>
          </w:p>
        </w:tc>
        <w:tc>
          <w:tcPr>
            <w:tcW w:w="8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18.00</w:t>
            </w:r>
          </w:p>
        </w:tc>
        <w:tc>
          <w:tcPr>
            <w:tcW w:w="896"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18.00</w:t>
            </w:r>
          </w:p>
        </w:tc>
        <w:tc>
          <w:tcPr>
            <w:tcW w:w="771"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18.00</w:t>
            </w:r>
          </w:p>
        </w:tc>
        <w:tc>
          <w:tcPr>
            <w:tcW w:w="59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106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5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6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2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5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r>
      <w:tr>
        <w:tblPrEx>
          <w:tblLayout w:type="fixed"/>
          <w:tblCellMar>
            <w:top w:w="0" w:type="dxa"/>
            <w:left w:w="108" w:type="dxa"/>
            <w:bottom w:w="0" w:type="dxa"/>
            <w:right w:w="108" w:type="dxa"/>
          </w:tblCellMar>
        </w:tblPrEx>
        <w:trPr>
          <w:trHeight w:val="312" w:hRule="atLeast"/>
        </w:trPr>
        <w:tc>
          <w:tcPr>
            <w:tcW w:w="50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302</w:t>
            </w:r>
          </w:p>
        </w:tc>
        <w:tc>
          <w:tcPr>
            <w:tcW w:w="50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13</w:t>
            </w:r>
          </w:p>
        </w:tc>
        <w:tc>
          <w:tcPr>
            <w:tcW w:w="2336"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维修(护)费</w:t>
            </w:r>
          </w:p>
        </w:tc>
        <w:tc>
          <w:tcPr>
            <w:tcW w:w="6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505</w:t>
            </w:r>
          </w:p>
        </w:tc>
        <w:tc>
          <w:tcPr>
            <w:tcW w:w="58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02</w:t>
            </w:r>
          </w:p>
        </w:tc>
        <w:tc>
          <w:tcPr>
            <w:tcW w:w="1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商品和服务支出</w:t>
            </w:r>
          </w:p>
        </w:tc>
        <w:tc>
          <w:tcPr>
            <w:tcW w:w="8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50.00</w:t>
            </w:r>
          </w:p>
        </w:tc>
        <w:tc>
          <w:tcPr>
            <w:tcW w:w="896"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50.00</w:t>
            </w:r>
          </w:p>
        </w:tc>
        <w:tc>
          <w:tcPr>
            <w:tcW w:w="771"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50.00</w:t>
            </w:r>
          </w:p>
        </w:tc>
        <w:tc>
          <w:tcPr>
            <w:tcW w:w="59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106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5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6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2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5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r>
      <w:tr>
        <w:tblPrEx>
          <w:tblLayout w:type="fixed"/>
          <w:tblCellMar>
            <w:top w:w="0" w:type="dxa"/>
            <w:left w:w="108" w:type="dxa"/>
            <w:bottom w:w="0" w:type="dxa"/>
            <w:right w:w="108" w:type="dxa"/>
          </w:tblCellMar>
        </w:tblPrEx>
        <w:trPr>
          <w:trHeight w:val="312" w:hRule="atLeast"/>
        </w:trPr>
        <w:tc>
          <w:tcPr>
            <w:tcW w:w="50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302</w:t>
            </w:r>
          </w:p>
        </w:tc>
        <w:tc>
          <w:tcPr>
            <w:tcW w:w="50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13</w:t>
            </w:r>
          </w:p>
        </w:tc>
        <w:tc>
          <w:tcPr>
            <w:tcW w:w="2336"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维修(护)费</w:t>
            </w:r>
          </w:p>
        </w:tc>
        <w:tc>
          <w:tcPr>
            <w:tcW w:w="6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502</w:t>
            </w:r>
          </w:p>
        </w:tc>
        <w:tc>
          <w:tcPr>
            <w:tcW w:w="58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09</w:t>
            </w:r>
          </w:p>
        </w:tc>
        <w:tc>
          <w:tcPr>
            <w:tcW w:w="1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维修（护）费</w:t>
            </w:r>
          </w:p>
        </w:tc>
        <w:tc>
          <w:tcPr>
            <w:tcW w:w="8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3.00</w:t>
            </w:r>
          </w:p>
        </w:tc>
        <w:tc>
          <w:tcPr>
            <w:tcW w:w="896"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3.00</w:t>
            </w:r>
          </w:p>
        </w:tc>
        <w:tc>
          <w:tcPr>
            <w:tcW w:w="771"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3.00</w:t>
            </w:r>
          </w:p>
        </w:tc>
        <w:tc>
          <w:tcPr>
            <w:tcW w:w="591"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106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5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6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2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5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r>
      <w:tr>
        <w:tblPrEx>
          <w:tblLayout w:type="fixed"/>
          <w:tblCellMar>
            <w:top w:w="0" w:type="dxa"/>
            <w:left w:w="108" w:type="dxa"/>
            <w:bottom w:w="0" w:type="dxa"/>
            <w:right w:w="108" w:type="dxa"/>
          </w:tblCellMar>
        </w:tblPrEx>
        <w:trPr>
          <w:trHeight w:val="312" w:hRule="atLeast"/>
        </w:trPr>
        <w:tc>
          <w:tcPr>
            <w:tcW w:w="502" w:type="dxa"/>
            <w:tcBorders>
              <w:top w:val="nil"/>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301</w:t>
            </w:r>
          </w:p>
        </w:tc>
        <w:tc>
          <w:tcPr>
            <w:tcW w:w="502"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03</w:t>
            </w:r>
          </w:p>
        </w:tc>
        <w:tc>
          <w:tcPr>
            <w:tcW w:w="2336" w:type="dxa"/>
            <w:gridSpan w:val="3"/>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奖金</w:t>
            </w:r>
          </w:p>
        </w:tc>
        <w:tc>
          <w:tcPr>
            <w:tcW w:w="609"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501</w:t>
            </w:r>
          </w:p>
        </w:tc>
        <w:tc>
          <w:tcPr>
            <w:tcW w:w="581" w:type="dxa"/>
            <w:gridSpan w:val="2"/>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01</w:t>
            </w:r>
          </w:p>
        </w:tc>
        <w:tc>
          <w:tcPr>
            <w:tcW w:w="1832" w:type="dxa"/>
            <w:gridSpan w:val="2"/>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工资奖金津补贴</w:t>
            </w:r>
          </w:p>
        </w:tc>
        <w:tc>
          <w:tcPr>
            <w:tcW w:w="887"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4.77</w:t>
            </w:r>
          </w:p>
        </w:tc>
        <w:tc>
          <w:tcPr>
            <w:tcW w:w="896" w:type="dxa"/>
            <w:gridSpan w:val="2"/>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4.77</w:t>
            </w:r>
          </w:p>
        </w:tc>
        <w:tc>
          <w:tcPr>
            <w:tcW w:w="771"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4.77</w:t>
            </w:r>
          </w:p>
        </w:tc>
        <w:tc>
          <w:tcPr>
            <w:tcW w:w="591" w:type="dxa"/>
            <w:gridSpan w:val="2"/>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12" w:type="dxa"/>
            <w:gridSpan w:val="2"/>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09"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1068" w:type="dxa"/>
            <w:gridSpan w:val="3"/>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537"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678"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28" w:type="dxa"/>
            <w:gridSpan w:val="2"/>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22"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53"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r>
      <w:tr>
        <w:tblPrEx>
          <w:tblLayout w:type="fixed"/>
          <w:tblCellMar>
            <w:top w:w="0" w:type="dxa"/>
            <w:left w:w="108" w:type="dxa"/>
            <w:bottom w:w="0" w:type="dxa"/>
            <w:right w:w="108" w:type="dxa"/>
          </w:tblCellMar>
        </w:tblPrEx>
        <w:trPr>
          <w:trHeight w:val="312" w:hRule="atLeast"/>
        </w:trPr>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301</w:t>
            </w:r>
          </w:p>
        </w:tc>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07</w:t>
            </w:r>
          </w:p>
        </w:tc>
        <w:tc>
          <w:tcPr>
            <w:tcW w:w="233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绩效工资</w:t>
            </w:r>
          </w:p>
        </w:tc>
        <w:tc>
          <w:tcPr>
            <w:tcW w:w="6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505</w:t>
            </w:r>
          </w:p>
        </w:tc>
        <w:tc>
          <w:tcPr>
            <w:tcW w:w="5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01</w:t>
            </w:r>
          </w:p>
        </w:tc>
        <w:tc>
          <w:tcPr>
            <w:tcW w:w="18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工资福利支出</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23.48</w:t>
            </w:r>
          </w:p>
        </w:tc>
        <w:tc>
          <w:tcPr>
            <w:tcW w:w="8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23.48</w:t>
            </w:r>
          </w:p>
        </w:tc>
        <w:tc>
          <w:tcPr>
            <w:tcW w:w="7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23.48</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106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5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6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r>
      <w:tr>
        <w:tblPrEx>
          <w:tblLayout w:type="fixed"/>
          <w:tblCellMar>
            <w:top w:w="0" w:type="dxa"/>
            <w:left w:w="108" w:type="dxa"/>
            <w:bottom w:w="0" w:type="dxa"/>
            <w:right w:w="108" w:type="dxa"/>
          </w:tblCellMar>
        </w:tblPrEx>
        <w:trPr>
          <w:trHeight w:val="312" w:hRule="atLeast"/>
        </w:trPr>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301</w:t>
            </w:r>
          </w:p>
        </w:tc>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01</w:t>
            </w:r>
          </w:p>
        </w:tc>
        <w:tc>
          <w:tcPr>
            <w:tcW w:w="233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基本工资</w:t>
            </w:r>
          </w:p>
        </w:tc>
        <w:tc>
          <w:tcPr>
            <w:tcW w:w="6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501</w:t>
            </w:r>
          </w:p>
        </w:tc>
        <w:tc>
          <w:tcPr>
            <w:tcW w:w="5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01</w:t>
            </w:r>
          </w:p>
        </w:tc>
        <w:tc>
          <w:tcPr>
            <w:tcW w:w="18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工资奖金津补贴</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50.68</w:t>
            </w:r>
          </w:p>
        </w:tc>
        <w:tc>
          <w:tcPr>
            <w:tcW w:w="8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50.68</w:t>
            </w:r>
          </w:p>
        </w:tc>
        <w:tc>
          <w:tcPr>
            <w:tcW w:w="7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50.68</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106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5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6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r>
      <w:tr>
        <w:tblPrEx>
          <w:tblLayout w:type="fixed"/>
          <w:tblCellMar>
            <w:top w:w="0" w:type="dxa"/>
            <w:left w:w="108" w:type="dxa"/>
            <w:bottom w:w="0" w:type="dxa"/>
            <w:right w:w="108" w:type="dxa"/>
          </w:tblCellMar>
        </w:tblPrEx>
        <w:trPr>
          <w:trHeight w:val="312" w:hRule="atLeast"/>
        </w:trPr>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301</w:t>
            </w:r>
          </w:p>
        </w:tc>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02</w:t>
            </w:r>
          </w:p>
        </w:tc>
        <w:tc>
          <w:tcPr>
            <w:tcW w:w="233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津贴补贴</w:t>
            </w:r>
          </w:p>
        </w:tc>
        <w:tc>
          <w:tcPr>
            <w:tcW w:w="6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501</w:t>
            </w:r>
          </w:p>
        </w:tc>
        <w:tc>
          <w:tcPr>
            <w:tcW w:w="5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01</w:t>
            </w:r>
          </w:p>
        </w:tc>
        <w:tc>
          <w:tcPr>
            <w:tcW w:w="18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工资奖金津补贴</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10.85</w:t>
            </w:r>
          </w:p>
        </w:tc>
        <w:tc>
          <w:tcPr>
            <w:tcW w:w="8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10.85</w:t>
            </w:r>
          </w:p>
        </w:tc>
        <w:tc>
          <w:tcPr>
            <w:tcW w:w="7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10.85</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106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5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6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8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c>
          <w:tcPr>
            <w:tcW w:w="7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r>
              <w:rPr>
                <w:rFonts w:hint="eastAsia" w:ascii="宋体" w:hAnsi="宋体" w:cs="宋体"/>
                <w:kern w:val="0"/>
                <w:sz w:val="13"/>
                <w:szCs w:val="13"/>
                <w:highlight w:val="none"/>
              </w:rPr>
              <w:t>　</w:t>
            </w:r>
          </w:p>
        </w:tc>
      </w:tr>
      <w:tr>
        <w:tblPrEx>
          <w:tblLayout w:type="fixed"/>
          <w:tblCellMar>
            <w:top w:w="0" w:type="dxa"/>
            <w:left w:w="108" w:type="dxa"/>
            <w:bottom w:w="0" w:type="dxa"/>
            <w:right w:w="108" w:type="dxa"/>
          </w:tblCellMar>
        </w:tblPrEx>
        <w:trPr>
          <w:trHeight w:val="312" w:hRule="atLeast"/>
        </w:trPr>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303</w:t>
            </w:r>
          </w:p>
        </w:tc>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02</w:t>
            </w:r>
          </w:p>
        </w:tc>
        <w:tc>
          <w:tcPr>
            <w:tcW w:w="233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退休费</w:t>
            </w:r>
          </w:p>
        </w:tc>
        <w:tc>
          <w:tcPr>
            <w:tcW w:w="6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509</w:t>
            </w:r>
          </w:p>
        </w:tc>
        <w:tc>
          <w:tcPr>
            <w:tcW w:w="5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05</w:t>
            </w:r>
          </w:p>
        </w:tc>
        <w:tc>
          <w:tcPr>
            <w:tcW w:w="18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离退休费</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3.04</w:t>
            </w:r>
          </w:p>
        </w:tc>
        <w:tc>
          <w:tcPr>
            <w:tcW w:w="8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3.04</w:t>
            </w:r>
          </w:p>
        </w:tc>
        <w:tc>
          <w:tcPr>
            <w:tcW w:w="7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3.04</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106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5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6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312" w:hRule="atLeast"/>
        </w:trPr>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302</w:t>
            </w:r>
          </w:p>
        </w:tc>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39</w:t>
            </w:r>
          </w:p>
        </w:tc>
        <w:tc>
          <w:tcPr>
            <w:tcW w:w="233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其他交通费用</w:t>
            </w:r>
          </w:p>
        </w:tc>
        <w:tc>
          <w:tcPr>
            <w:tcW w:w="6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502</w:t>
            </w:r>
          </w:p>
        </w:tc>
        <w:tc>
          <w:tcPr>
            <w:tcW w:w="5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01</w:t>
            </w:r>
          </w:p>
        </w:tc>
        <w:tc>
          <w:tcPr>
            <w:tcW w:w="18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办公经费</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0.78</w:t>
            </w:r>
          </w:p>
        </w:tc>
        <w:tc>
          <w:tcPr>
            <w:tcW w:w="8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0.78</w:t>
            </w:r>
          </w:p>
        </w:tc>
        <w:tc>
          <w:tcPr>
            <w:tcW w:w="7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0.78</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106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5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6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312" w:hRule="atLeast"/>
        </w:trPr>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302</w:t>
            </w:r>
          </w:p>
        </w:tc>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07</w:t>
            </w:r>
          </w:p>
        </w:tc>
        <w:tc>
          <w:tcPr>
            <w:tcW w:w="233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邮电费</w:t>
            </w:r>
          </w:p>
        </w:tc>
        <w:tc>
          <w:tcPr>
            <w:tcW w:w="6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502</w:t>
            </w:r>
          </w:p>
        </w:tc>
        <w:tc>
          <w:tcPr>
            <w:tcW w:w="5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01</w:t>
            </w:r>
          </w:p>
        </w:tc>
        <w:tc>
          <w:tcPr>
            <w:tcW w:w="18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办公经费</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1.00</w:t>
            </w:r>
          </w:p>
        </w:tc>
        <w:tc>
          <w:tcPr>
            <w:tcW w:w="8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1.00</w:t>
            </w:r>
          </w:p>
        </w:tc>
        <w:tc>
          <w:tcPr>
            <w:tcW w:w="7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1.00</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106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5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6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312" w:hRule="atLeast"/>
        </w:trPr>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302</w:t>
            </w:r>
          </w:p>
        </w:tc>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28</w:t>
            </w:r>
          </w:p>
        </w:tc>
        <w:tc>
          <w:tcPr>
            <w:tcW w:w="233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工会经费</w:t>
            </w:r>
          </w:p>
        </w:tc>
        <w:tc>
          <w:tcPr>
            <w:tcW w:w="6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502</w:t>
            </w:r>
          </w:p>
        </w:tc>
        <w:tc>
          <w:tcPr>
            <w:tcW w:w="5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01</w:t>
            </w:r>
          </w:p>
        </w:tc>
        <w:tc>
          <w:tcPr>
            <w:tcW w:w="18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办公经费</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1.10</w:t>
            </w:r>
          </w:p>
        </w:tc>
        <w:tc>
          <w:tcPr>
            <w:tcW w:w="8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1.10</w:t>
            </w:r>
          </w:p>
        </w:tc>
        <w:tc>
          <w:tcPr>
            <w:tcW w:w="7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1.10</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106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5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6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312" w:hRule="atLeast"/>
        </w:trPr>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302</w:t>
            </w:r>
          </w:p>
        </w:tc>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31</w:t>
            </w:r>
          </w:p>
        </w:tc>
        <w:tc>
          <w:tcPr>
            <w:tcW w:w="233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公务用车运行维护费</w:t>
            </w:r>
          </w:p>
        </w:tc>
        <w:tc>
          <w:tcPr>
            <w:tcW w:w="6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502</w:t>
            </w:r>
          </w:p>
        </w:tc>
        <w:tc>
          <w:tcPr>
            <w:tcW w:w="5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08</w:t>
            </w:r>
          </w:p>
        </w:tc>
        <w:tc>
          <w:tcPr>
            <w:tcW w:w="18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公务用车运行维护费</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42.90</w:t>
            </w:r>
          </w:p>
        </w:tc>
        <w:tc>
          <w:tcPr>
            <w:tcW w:w="8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42.90</w:t>
            </w:r>
          </w:p>
        </w:tc>
        <w:tc>
          <w:tcPr>
            <w:tcW w:w="7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42.90</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106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5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6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312" w:hRule="atLeast"/>
        </w:trPr>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301</w:t>
            </w:r>
          </w:p>
        </w:tc>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08</w:t>
            </w:r>
          </w:p>
        </w:tc>
        <w:tc>
          <w:tcPr>
            <w:tcW w:w="233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机关事业单位基本养老保险缴费</w:t>
            </w:r>
          </w:p>
        </w:tc>
        <w:tc>
          <w:tcPr>
            <w:tcW w:w="6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501</w:t>
            </w:r>
          </w:p>
        </w:tc>
        <w:tc>
          <w:tcPr>
            <w:tcW w:w="5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02</w:t>
            </w:r>
          </w:p>
        </w:tc>
        <w:tc>
          <w:tcPr>
            <w:tcW w:w="18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社会保障缴费</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13.47</w:t>
            </w:r>
          </w:p>
        </w:tc>
        <w:tc>
          <w:tcPr>
            <w:tcW w:w="8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13.47</w:t>
            </w:r>
          </w:p>
        </w:tc>
        <w:tc>
          <w:tcPr>
            <w:tcW w:w="7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13.47</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106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5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6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312" w:hRule="atLeast"/>
        </w:trPr>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303</w:t>
            </w:r>
          </w:p>
        </w:tc>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05</w:t>
            </w:r>
          </w:p>
        </w:tc>
        <w:tc>
          <w:tcPr>
            <w:tcW w:w="233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生活补助</w:t>
            </w:r>
          </w:p>
        </w:tc>
        <w:tc>
          <w:tcPr>
            <w:tcW w:w="6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509</w:t>
            </w:r>
          </w:p>
        </w:tc>
        <w:tc>
          <w:tcPr>
            <w:tcW w:w="5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01</w:t>
            </w:r>
          </w:p>
        </w:tc>
        <w:tc>
          <w:tcPr>
            <w:tcW w:w="18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社会福利和救助</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0.91</w:t>
            </w:r>
          </w:p>
        </w:tc>
        <w:tc>
          <w:tcPr>
            <w:tcW w:w="8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0.91</w:t>
            </w:r>
          </w:p>
        </w:tc>
        <w:tc>
          <w:tcPr>
            <w:tcW w:w="7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0.91</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106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5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6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312" w:hRule="atLeast"/>
        </w:trPr>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301</w:t>
            </w:r>
          </w:p>
        </w:tc>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10</w:t>
            </w:r>
          </w:p>
        </w:tc>
        <w:tc>
          <w:tcPr>
            <w:tcW w:w="233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职工基本医疗保险缴费</w:t>
            </w:r>
          </w:p>
        </w:tc>
        <w:tc>
          <w:tcPr>
            <w:tcW w:w="6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501</w:t>
            </w:r>
          </w:p>
        </w:tc>
        <w:tc>
          <w:tcPr>
            <w:tcW w:w="5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02</w:t>
            </w:r>
          </w:p>
        </w:tc>
        <w:tc>
          <w:tcPr>
            <w:tcW w:w="18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社会保障缴费</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6.74</w:t>
            </w:r>
          </w:p>
        </w:tc>
        <w:tc>
          <w:tcPr>
            <w:tcW w:w="8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6.74</w:t>
            </w:r>
          </w:p>
        </w:tc>
        <w:tc>
          <w:tcPr>
            <w:tcW w:w="7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6.74</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106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5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6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312" w:hRule="atLeast"/>
        </w:trPr>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301</w:t>
            </w:r>
          </w:p>
        </w:tc>
        <w:tc>
          <w:tcPr>
            <w:tcW w:w="5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13</w:t>
            </w:r>
          </w:p>
        </w:tc>
        <w:tc>
          <w:tcPr>
            <w:tcW w:w="233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住房公积金</w:t>
            </w:r>
          </w:p>
        </w:tc>
        <w:tc>
          <w:tcPr>
            <w:tcW w:w="6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501</w:t>
            </w:r>
          </w:p>
        </w:tc>
        <w:tc>
          <w:tcPr>
            <w:tcW w:w="5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03</w:t>
            </w:r>
          </w:p>
        </w:tc>
        <w:tc>
          <w:tcPr>
            <w:tcW w:w="18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住房公积金</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10.13</w:t>
            </w:r>
          </w:p>
        </w:tc>
        <w:tc>
          <w:tcPr>
            <w:tcW w:w="8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10.13</w:t>
            </w:r>
          </w:p>
        </w:tc>
        <w:tc>
          <w:tcPr>
            <w:tcW w:w="7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3"/>
                <w:szCs w:val="13"/>
                <w:highlight w:val="none"/>
              </w:rPr>
            </w:pPr>
            <w:r>
              <w:rPr>
                <w:rFonts w:ascii="宋体" w:hAnsi="宋体" w:eastAsia="宋体" w:cs="宋体"/>
                <w:i w:val="0"/>
                <w:iCs w:val="0"/>
                <w:color w:val="auto"/>
                <w:kern w:val="0"/>
                <w:sz w:val="13"/>
                <w:szCs w:val="13"/>
                <w:u w:val="none"/>
                <w:lang w:val="en-US" w:eastAsia="zh-CN" w:bidi="ar"/>
              </w:rPr>
              <w:t>10.13</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106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5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6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8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c>
          <w:tcPr>
            <w:tcW w:w="7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宋体" w:hAnsi="宋体" w:cs="宋体"/>
                <w:kern w:val="0"/>
                <w:sz w:val="13"/>
                <w:szCs w:val="13"/>
                <w:highlight w:val="none"/>
              </w:rPr>
            </w:pPr>
          </w:p>
        </w:tc>
      </w:tr>
    </w:tbl>
    <w:p>
      <w:pPr>
        <w:keepNext w:val="0"/>
        <w:keepLines w:val="0"/>
        <w:pageBreakBefore w:val="0"/>
        <w:kinsoku w:val="0"/>
        <w:wordWrap/>
        <w:overflowPunct w:val="0"/>
        <w:topLinePunct w:val="0"/>
        <w:autoSpaceDE/>
        <w:autoSpaceDN/>
        <w:bidi w:val="0"/>
        <w:adjustRightInd w:val="0"/>
        <w:snapToGrid w:val="0"/>
        <w:spacing w:line="240" w:lineRule="atLeast"/>
        <w:rPr>
          <w:rFonts w:ascii="黑体" w:hAnsi="Times New Roman" w:eastAsia="黑体" w:cs="黑体"/>
          <w:sz w:val="32"/>
          <w:szCs w:val="32"/>
          <w:highlight w:val="none"/>
        </w:rPr>
      </w:pPr>
    </w:p>
    <w:tbl>
      <w:tblPr>
        <w:tblStyle w:val="8"/>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w:t>
            </w:r>
            <w:r>
              <w:rPr>
                <w:rFonts w:hint="eastAsia" w:ascii="宋体" w:hAnsi="宋体" w:cs="宋体"/>
                <w:b/>
                <w:bCs/>
                <w:kern w:val="0"/>
                <w:sz w:val="38"/>
                <w:szCs w:val="38"/>
                <w:highlight w:val="none"/>
                <w:lang w:eastAsia="zh-CN"/>
              </w:rPr>
              <w:t>支出情况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新乡市卫滨区机关事务中心</w:t>
            </w:r>
            <w:r>
              <w:rPr>
                <w:rFonts w:hint="eastAsia" w:ascii="宋体" w:hAnsi="宋体" w:cs="宋体"/>
                <w:kern w:val="0"/>
                <w:sz w:val="18"/>
                <w:szCs w:val="18"/>
                <w:highlight w:val="none"/>
                <w:lang w:val="en-US" w:eastAsia="zh-CN"/>
              </w:rPr>
              <w:t xml:space="preserve"> </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42.90</w:t>
            </w:r>
          </w:p>
        </w:tc>
        <w:tc>
          <w:tcPr>
            <w:tcW w:w="178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42.90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42.90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tc>
      </w:tr>
    </w:tbl>
    <w:tbl>
      <w:tblPr>
        <w:tblStyle w:val="8"/>
        <w:tblpPr w:leftFromText="180" w:rightFromText="180" w:vertAnchor="text" w:horzAnchor="page" w:tblpX="987" w:tblpY="-2648"/>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both"/>
              <w:textAlignment w:val="center"/>
              <w:rPr>
                <w:rFonts w:ascii="宋体" w:hAnsi="宋体" w:cs="宋体"/>
                <w:color w:val="000000"/>
                <w:kern w:val="0"/>
                <w:sz w:val="18"/>
                <w:szCs w:val="18"/>
                <w:highlight w:val="none"/>
              </w:rPr>
            </w:pPr>
          </w:p>
          <w:p>
            <w:pPr>
              <w:widowControl/>
              <w:ind w:firstLine="14040" w:firstLineChars="7800"/>
              <w:jc w:val="both"/>
              <w:textAlignment w:val="center"/>
              <w:rPr>
                <w:rFonts w:ascii="宋体" w:hAnsi="宋体" w:cs="宋体"/>
                <w:color w:val="000000"/>
                <w:kern w:val="0"/>
                <w:sz w:val="18"/>
                <w:szCs w:val="18"/>
                <w:highlight w:val="none"/>
              </w:rPr>
            </w:pPr>
          </w:p>
          <w:p>
            <w:pPr>
              <w:widowControl/>
              <w:ind w:firstLine="14040" w:firstLineChars="7800"/>
              <w:jc w:val="both"/>
              <w:textAlignment w:val="center"/>
              <w:rPr>
                <w:rFonts w:ascii="宋体" w:hAnsi="宋体" w:cs="宋体"/>
                <w:color w:val="000000"/>
                <w:kern w:val="0"/>
                <w:sz w:val="18"/>
                <w:szCs w:val="18"/>
                <w:highlight w:val="none"/>
              </w:rPr>
            </w:pPr>
          </w:p>
          <w:p>
            <w:pPr>
              <w:widowControl/>
              <w:ind w:firstLine="14220" w:firstLineChars="7900"/>
              <w:jc w:val="both"/>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w:t>
            </w:r>
            <w:r>
              <w:rPr>
                <w:rFonts w:hint="eastAsia" w:ascii="宋体" w:hAnsi="宋体" w:cs="宋体"/>
                <w:b/>
                <w:bCs/>
                <w:color w:val="000000"/>
                <w:kern w:val="0"/>
                <w:sz w:val="38"/>
                <w:szCs w:val="38"/>
                <w:highlight w:val="none"/>
                <w:lang w:eastAsia="zh-CN"/>
              </w:rPr>
              <w:t>预算</w:t>
            </w:r>
            <w:r>
              <w:rPr>
                <w:rFonts w:ascii="宋体" w:hAnsi="宋体" w:cs="宋体"/>
                <w:b/>
                <w:bCs/>
                <w:color w:val="000000"/>
                <w:kern w:val="0"/>
                <w:sz w:val="38"/>
                <w:szCs w:val="38"/>
                <w:highlight w:val="none"/>
              </w:rPr>
              <w:t>支出</w:t>
            </w:r>
            <w:r>
              <w:rPr>
                <w:rFonts w:hint="eastAsia" w:ascii="宋体" w:hAnsi="宋体" w:cs="宋体"/>
                <w:b/>
                <w:bCs/>
                <w:color w:val="000000"/>
                <w:kern w:val="0"/>
                <w:sz w:val="38"/>
                <w:szCs w:val="38"/>
                <w:highlight w:val="none"/>
                <w:lang w:eastAsia="zh-CN"/>
              </w:rPr>
              <w:t>情况</w:t>
            </w:r>
            <w:r>
              <w:rPr>
                <w:rFonts w:ascii="宋体" w:hAnsi="宋体" w:cs="宋体"/>
                <w:b/>
                <w:bCs/>
                <w:color w:val="000000"/>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485" w:type="dxa"/>
            <w:gridSpan w:val="3"/>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p>
        </w:tc>
        <w:tc>
          <w:tcPr>
            <w:tcW w:w="12555" w:type="dxa"/>
            <w:gridSpan w:val="10"/>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highlight w:val="none"/>
              </w:rPr>
            </w:pPr>
            <w:r>
              <w:rPr>
                <w:rFonts w:hint="eastAsia" w:ascii="宋体" w:hAnsi="宋体" w:cs="宋体"/>
                <w:kern w:val="0"/>
                <w:sz w:val="18"/>
                <w:szCs w:val="18"/>
                <w:highlight w:val="none"/>
                <w:lang w:eastAsia="zh-CN"/>
              </w:rPr>
              <w:t>新乡市卫滨区机关事务中心</w:t>
            </w:r>
            <w:r>
              <w:rPr>
                <w:rFonts w:hint="eastAsia" w:ascii="宋体" w:hAnsi="宋体" w:cs="宋体"/>
                <w:kern w:val="0"/>
                <w:sz w:val="18"/>
                <w:szCs w:val="18"/>
                <w:highlight w:val="none"/>
                <w:lang w:val="en-US" w:eastAsia="zh-CN"/>
              </w:rPr>
              <w:t xml:space="preserve"> </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tabs>
          <w:tab w:val="left" w:pos="5760"/>
        </w:tabs>
        <w:rPr>
          <w:rFonts w:ascii="Times New Roman" w:hAnsi="Times New Roman" w:eastAsia="黑体"/>
          <w:sz w:val="32"/>
          <w:szCs w:val="32"/>
        </w:rPr>
      </w:pPr>
      <w:r>
        <w:rPr>
          <w:rFonts w:hint="eastAsia" w:ascii="宋体" w:hAnsi="宋体" w:cs="宋体"/>
          <w:kern w:val="0"/>
          <w:sz w:val="18"/>
          <w:szCs w:val="18"/>
          <w:highlight w:val="none"/>
          <w:lang w:eastAsia="zh-CN"/>
        </w:rPr>
        <w:t>说明：</w:t>
      </w:r>
      <w:r>
        <w:rPr>
          <w:rFonts w:hint="eastAsia" w:ascii="宋体" w:hAnsi="宋体" w:cs="宋体"/>
          <w:sz w:val="18"/>
          <w:szCs w:val="18"/>
        </w:rPr>
        <w:t>我部门没有政府性基金收入，也没有使用政府性基金安排支出，故此表无数据。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4097" w:type="dxa"/>
        <w:tblInd w:w="1037" w:type="dxa"/>
        <w:tblLayout w:type="fixed"/>
        <w:tblCellMar>
          <w:top w:w="0" w:type="dxa"/>
          <w:left w:w="108" w:type="dxa"/>
          <w:bottom w:w="0" w:type="dxa"/>
          <w:right w:w="108" w:type="dxa"/>
        </w:tblCellMar>
      </w:tblPr>
      <w:tblGrid>
        <w:gridCol w:w="1198"/>
        <w:gridCol w:w="1275"/>
        <w:gridCol w:w="1701"/>
        <w:gridCol w:w="993"/>
        <w:gridCol w:w="1134"/>
        <w:gridCol w:w="992"/>
        <w:gridCol w:w="1134"/>
        <w:gridCol w:w="1134"/>
        <w:gridCol w:w="1134"/>
        <w:gridCol w:w="1134"/>
        <w:gridCol w:w="1134"/>
        <w:gridCol w:w="1134"/>
      </w:tblGrid>
      <w:tr>
        <w:tblPrEx>
          <w:tblLayout w:type="fixed"/>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Layout w:type="fixed"/>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项目支出表</w:t>
            </w:r>
          </w:p>
        </w:tc>
      </w:tr>
      <w:tr>
        <w:tblPrEx>
          <w:tblLayout w:type="fixed"/>
          <w:tblCellMar>
            <w:top w:w="0" w:type="dxa"/>
            <w:left w:w="108" w:type="dxa"/>
            <w:bottom w:w="0" w:type="dxa"/>
            <w:right w:w="108" w:type="dxa"/>
          </w:tblCellMar>
        </w:tblPrEx>
        <w:trPr>
          <w:trHeight w:val="285" w:hRule="atLeast"/>
        </w:trPr>
        <w:tc>
          <w:tcPr>
            <w:tcW w:w="1198"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1765" w:type="dxa"/>
            <w:gridSpan w:val="1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eastAsia="zh-CN"/>
              </w:rPr>
              <w:t>新乡市卫滨区机关事务中心</w:t>
            </w:r>
            <w:r>
              <w:rPr>
                <w:rFonts w:hint="eastAsia" w:ascii="宋体" w:hAnsi="宋体" w:cs="宋体"/>
                <w:kern w:val="0"/>
                <w:sz w:val="18"/>
                <w:szCs w:val="18"/>
                <w:highlight w:val="none"/>
                <w:lang w:val="en-US" w:eastAsia="zh-CN"/>
              </w:rPr>
              <w:t xml:space="preserve"> </w:t>
            </w:r>
          </w:p>
        </w:tc>
        <w:tc>
          <w:tcPr>
            <w:tcW w:w="1134" w:type="dxa"/>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类型</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项目单位</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32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本年拨款</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7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85"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2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70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12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027</w:t>
            </w:r>
          </w:p>
        </w:tc>
        <w:tc>
          <w:tcPr>
            <w:tcW w:w="170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新乡市卫滨区机关事务中心</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其他运转类</w:t>
            </w:r>
          </w:p>
        </w:tc>
        <w:tc>
          <w:tcPr>
            <w:tcW w:w="12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区委督察组工作经费</w:t>
            </w:r>
          </w:p>
        </w:tc>
        <w:tc>
          <w:tcPr>
            <w:tcW w:w="170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新乡市卫滨区机关事务中心</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12.00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12.00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其他运转类</w:t>
            </w:r>
          </w:p>
        </w:tc>
        <w:tc>
          <w:tcPr>
            <w:tcW w:w="127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机关大院运转经费</w:t>
            </w:r>
          </w:p>
        </w:tc>
        <w:tc>
          <w:tcPr>
            <w:tcW w:w="1701"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新乡市卫滨区机关事务中心</w:t>
            </w:r>
          </w:p>
        </w:tc>
        <w:tc>
          <w:tcPr>
            <w:tcW w:w="993"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390.76</w:t>
            </w:r>
          </w:p>
        </w:tc>
        <w:tc>
          <w:tcPr>
            <w:tcW w:w="1134"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390.76</w:t>
            </w:r>
          </w:p>
        </w:tc>
        <w:tc>
          <w:tcPr>
            <w:tcW w:w="992"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PrEx>
        <w:trPr>
          <w:trHeight w:val="679"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其他运转类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公共机构节能</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新乡市卫滨区机关事务中心</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2.00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2.00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其他运转类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房租</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新乡市卫滨区机关事务中心</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15.00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79" w:hRule="atLeast"/>
        </w:trPr>
        <w:tc>
          <w:tcPr>
            <w:tcW w:w="11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其他运转类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保安保洁、三员经费</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新乡市卫滨区机关事务中心</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261.56</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261.56</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607" w:right="720" w:bottom="607" w:left="720" w:header="851" w:footer="992" w:gutter="0"/>
          <w:cols w:space="0" w:num="1"/>
          <w:rtlGutter w:val="0"/>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9440" w:type="dxa"/>
        <w:tblInd w:w="93" w:type="dxa"/>
        <w:tblLayout w:type="fixed"/>
        <w:tblCellMar>
          <w:top w:w="0" w:type="dxa"/>
          <w:left w:w="108" w:type="dxa"/>
          <w:bottom w:w="0" w:type="dxa"/>
          <w:right w:w="108" w:type="dxa"/>
        </w:tblCellMar>
      </w:tblPr>
      <w:tblGrid>
        <w:gridCol w:w="1360"/>
        <w:gridCol w:w="1460"/>
        <w:gridCol w:w="2200"/>
        <w:gridCol w:w="1180"/>
        <w:gridCol w:w="3240"/>
      </w:tblGrid>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keepNext w:val="0"/>
              <w:keepLines w:val="0"/>
              <w:pageBreakBefore w:val="0"/>
              <w:widowControl/>
              <w:wordWrap/>
              <w:topLinePunct w:val="0"/>
              <w:autoSpaceDE/>
              <w:autoSpaceDN/>
              <w:bidi w:val="0"/>
              <w:spacing w:line="240" w:lineRule="atLeast"/>
              <w:jc w:val="right"/>
              <w:rPr>
                <w:rFonts w:ascii="宋体" w:hAnsi="宋体" w:cs="宋体"/>
                <w:kern w:val="0"/>
                <w:sz w:val="18"/>
                <w:szCs w:val="18"/>
                <w:highlight w:val="none"/>
              </w:rPr>
            </w:pPr>
            <w:r>
              <w:rPr>
                <w:rFonts w:hint="eastAsia" w:ascii="宋体" w:hAnsi="宋体" w:cs="宋体"/>
                <w:kern w:val="0"/>
                <w:sz w:val="18"/>
                <w:szCs w:val="18"/>
                <w:highlight w:val="none"/>
              </w:rPr>
              <w:t>预算11表</w:t>
            </w:r>
          </w:p>
        </w:tc>
      </w:tr>
      <w:tr>
        <w:tblPrEx>
          <w:tblLayout w:type="fixed"/>
          <w:tblCellMar>
            <w:top w:w="0" w:type="dxa"/>
            <w:left w:w="108" w:type="dxa"/>
            <w:bottom w:w="0" w:type="dxa"/>
            <w:right w:w="108" w:type="dxa"/>
          </w:tblCellMar>
        </w:tblPrEx>
        <w:trPr>
          <w:trHeight w:val="570" w:hRule="atLeast"/>
        </w:trPr>
        <w:tc>
          <w:tcPr>
            <w:tcW w:w="9440" w:type="dxa"/>
            <w:gridSpan w:val="5"/>
            <w:tcBorders>
              <w:top w:val="nil"/>
              <w:left w:val="nil"/>
              <w:bottom w:val="nil"/>
              <w:right w:val="nil"/>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b/>
                <w:bCs/>
                <w:kern w:val="0"/>
                <w:sz w:val="38"/>
                <w:szCs w:val="38"/>
                <w:highlight w:val="none"/>
              </w:rPr>
            </w:pPr>
            <w:r>
              <w:rPr>
                <w:rFonts w:hint="eastAsia" w:ascii="宋体" w:hAnsi="宋体" w:cs="宋体"/>
                <w:b/>
                <w:bCs/>
                <w:kern w:val="0"/>
                <w:sz w:val="38"/>
                <w:szCs w:val="38"/>
                <w:highlight w:val="none"/>
              </w:rPr>
              <w:t>部门整体绩效目标表</w:t>
            </w:r>
          </w:p>
        </w:tc>
      </w:tr>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b/>
                <w:bCs/>
                <w:kern w:val="0"/>
                <w:sz w:val="24"/>
                <w:szCs w:val="24"/>
                <w:highlight w:val="none"/>
              </w:rPr>
            </w:pPr>
            <w:r>
              <w:rPr>
                <w:rFonts w:hint="eastAsia" w:ascii="宋体" w:hAnsi="宋体" w:cs="宋体"/>
                <w:b/>
                <w:bCs/>
                <w:kern w:val="0"/>
                <w:sz w:val="24"/>
                <w:szCs w:val="24"/>
                <w:highlight w:val="none"/>
              </w:rPr>
              <w:t>（202</w:t>
            </w:r>
            <w:r>
              <w:rPr>
                <w:rFonts w:hint="eastAsia" w:ascii="宋体" w:hAnsi="宋体" w:cs="宋体"/>
                <w:b/>
                <w:bCs/>
                <w:kern w:val="0"/>
                <w:sz w:val="24"/>
                <w:szCs w:val="24"/>
                <w:highlight w:val="none"/>
                <w:lang w:val="en-US" w:eastAsia="zh-CN"/>
              </w:rPr>
              <w:t>4</w:t>
            </w:r>
            <w:r>
              <w:rPr>
                <w:rFonts w:hint="eastAsia" w:ascii="宋体" w:hAnsi="宋体" w:cs="宋体"/>
                <w:b/>
                <w:bCs/>
                <w:kern w:val="0"/>
                <w:sz w:val="24"/>
                <w:szCs w:val="24"/>
                <w:highlight w:val="none"/>
              </w:rPr>
              <w:t xml:space="preserve">年度）  </w:t>
            </w:r>
          </w:p>
        </w:tc>
      </w:tr>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single" w:color="000000" w:sz="4" w:space="0"/>
              <w:right w:val="nil"/>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lang w:eastAsia="zh-CN"/>
              </w:rPr>
              <w:t>新乡市卫滨区机关事务中心</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w:t>
            </w:r>
          </w:p>
        </w:tc>
      </w:tr>
      <w:tr>
        <w:tblPrEx>
          <w:tblLayout w:type="fixed"/>
          <w:tblCellMar>
            <w:top w:w="0" w:type="dxa"/>
            <w:left w:w="108" w:type="dxa"/>
            <w:bottom w:w="0" w:type="dxa"/>
            <w:right w:w="108" w:type="dxa"/>
          </w:tblCellMar>
        </w:tblPrEx>
        <w:trPr>
          <w:trHeight w:val="855" w:hRule="atLeast"/>
        </w:trPr>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年度履职目标</w:t>
            </w:r>
          </w:p>
        </w:tc>
        <w:tc>
          <w:tcPr>
            <w:tcW w:w="80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r>
              <w:rPr>
                <w:rFonts w:hint="eastAsia" w:ascii="宋体" w:hAnsi="宋体" w:cs="宋体"/>
                <w:kern w:val="0"/>
                <w:sz w:val="18"/>
                <w:szCs w:val="18"/>
                <w:highlight w:val="none"/>
              </w:rPr>
              <w:t>保障区机关后勤各项工作的正常开展，保障区机关公共机构节能工作的正常开展，保障异地任职干部工作生活质量、更好服务于民，确保机关大院正常运转,更好的完成区委、区政府交办的各项工作。</w:t>
            </w:r>
          </w:p>
        </w:tc>
      </w:tr>
      <w:tr>
        <w:tblPrEx>
          <w:tblLayout w:type="fixed"/>
        </w:tblPrEx>
        <w:trPr>
          <w:trHeight w:val="285" w:hRule="atLeast"/>
        </w:trPr>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年度主要任务</w:t>
            </w: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任务名称</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主要内容</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机关大院运转经费</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保障机关大院正常运转,水电费114万元、暖气费62.76万元、食堂餐补144万元（每月12万元）、党报党刊征订宣传费17万元、绿化费3万元、维修费50万元。</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保安保洁、三员经费</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三员工资及保险、保安保洁工资。</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公共机构节能</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公共机构节能费2万元。</w:t>
            </w:r>
          </w:p>
        </w:tc>
      </w:tr>
      <w:tr>
        <w:tblPrEx>
          <w:tblLayout w:type="fixed"/>
          <w:tblCellMar>
            <w:top w:w="0" w:type="dxa"/>
            <w:left w:w="108" w:type="dxa"/>
            <w:bottom w:w="0" w:type="dxa"/>
            <w:right w:w="108" w:type="dxa"/>
          </w:tblCellMar>
        </w:tblPrEx>
        <w:trPr>
          <w:trHeight w:val="461"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房租</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房租15万元（每月1.25万元）。</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区委督察组工作经费</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区委督察组集中办公所需的办公设备、耗材等后勤保障经费12万元（4个督察组，每组每年3万元办公经费）。</w:t>
            </w:r>
          </w:p>
        </w:tc>
      </w:tr>
      <w:tr>
        <w:tblPrEx>
          <w:tblLayout w:type="fixed"/>
          <w:tblCellMar>
            <w:top w:w="0" w:type="dxa"/>
            <w:left w:w="108" w:type="dxa"/>
            <w:bottom w:w="0" w:type="dxa"/>
            <w:right w:w="108" w:type="dxa"/>
          </w:tblCellMar>
        </w:tblPrEx>
        <w:trPr>
          <w:trHeight w:val="285"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预算情况  </w:t>
            </w: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部门预算总额（万元）</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852.84</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r>
              <w:rPr>
                <w:rFonts w:hint="eastAsia" w:ascii="宋体" w:hAnsi="宋体" w:cs="宋体"/>
                <w:kern w:val="0"/>
                <w:sz w:val="18"/>
                <w:szCs w:val="18"/>
                <w:highlight w:val="none"/>
              </w:rPr>
              <w:t>1、资金来源：（1）政府预算资金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852.84</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r>
              <w:rPr>
                <w:rFonts w:hint="eastAsia" w:ascii="宋体" w:hAnsi="宋体" w:cs="宋体"/>
                <w:kern w:val="0"/>
                <w:sz w:val="18"/>
                <w:szCs w:val="18"/>
                <w:highlight w:val="none"/>
              </w:rPr>
              <w:t xml:space="preserve">       （2）财政专户管理资金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r>
              <w:rPr>
                <w:rFonts w:hint="eastAsia" w:ascii="宋体" w:hAnsi="宋体" w:cs="宋体"/>
                <w:kern w:val="0"/>
                <w:sz w:val="18"/>
                <w:szCs w:val="18"/>
                <w:highlight w:val="none"/>
              </w:rPr>
              <w:t xml:space="preserve">       （3）单位资金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r>
              <w:rPr>
                <w:rFonts w:hint="eastAsia" w:ascii="宋体" w:hAnsi="宋体" w:cs="宋体"/>
                <w:kern w:val="0"/>
                <w:sz w:val="18"/>
                <w:szCs w:val="18"/>
                <w:highlight w:val="none"/>
              </w:rPr>
              <w:t>2、资金结构：（1）基本支出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171.52</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r>
              <w:rPr>
                <w:rFonts w:hint="eastAsia" w:ascii="宋体" w:hAnsi="宋体" w:cs="宋体"/>
                <w:kern w:val="0"/>
                <w:sz w:val="18"/>
                <w:szCs w:val="18"/>
                <w:highlight w:val="none"/>
              </w:rPr>
              <w:t xml:space="preserve">       （2）项目支出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r>
      <w:tr>
        <w:tblPrEx>
          <w:tblLayout w:type="fixed"/>
          <w:tblCellMar>
            <w:top w:w="0" w:type="dxa"/>
            <w:left w:w="108" w:type="dxa"/>
            <w:bottom w:w="0" w:type="dxa"/>
            <w:right w:w="108" w:type="dxa"/>
          </w:tblCellMar>
        </w:tblPrEx>
        <w:trPr>
          <w:trHeight w:val="285" w:hRule="atLeast"/>
        </w:trPr>
        <w:tc>
          <w:tcPr>
            <w:tcW w:w="13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一级指标</w:t>
            </w:r>
          </w:p>
        </w:tc>
        <w:tc>
          <w:tcPr>
            <w:tcW w:w="146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二级指标</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三级指标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指标值</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指标值说明</w:t>
            </w:r>
          </w:p>
        </w:tc>
      </w:tr>
      <w:tr>
        <w:tblPrEx>
          <w:tblLayout w:type="fixed"/>
          <w:tblCellMar>
            <w:top w:w="0" w:type="dxa"/>
            <w:left w:w="108" w:type="dxa"/>
            <w:bottom w:w="0" w:type="dxa"/>
            <w:right w:w="108" w:type="dxa"/>
          </w:tblCellMar>
        </w:tblPrEx>
        <w:trPr>
          <w:trHeight w:val="1808"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 xml:space="preserve"> 投入管理指标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 xml:space="preserve">工作目标管理  </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r>
              <w:rPr>
                <w:rFonts w:hint="eastAsia" w:ascii="宋体" w:hAnsi="宋体" w:cs="宋体"/>
                <w:kern w:val="0"/>
                <w:sz w:val="18"/>
                <w:szCs w:val="18"/>
                <w:highlight w:val="none"/>
              </w:rPr>
              <w:t>年度履职目标相关性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相关</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r>
              <w:rPr>
                <w:rFonts w:hint="eastAsia" w:ascii="宋体" w:hAnsi="宋体" w:cs="宋体"/>
                <w:kern w:val="0"/>
                <w:sz w:val="18"/>
                <w:szCs w:val="18"/>
                <w:highlight w:val="none"/>
              </w:rPr>
              <w:t>工作任务科学性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科学</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Layout w:type="fixed"/>
          <w:tblCellMar>
            <w:top w:w="0" w:type="dxa"/>
            <w:left w:w="108" w:type="dxa"/>
            <w:bottom w:w="0" w:type="dxa"/>
            <w:right w:w="108" w:type="dxa"/>
          </w:tblCellMar>
        </w:tblPrEx>
        <w:trPr>
          <w:trHeight w:val="423"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r>
              <w:rPr>
                <w:rFonts w:hint="eastAsia" w:ascii="宋体" w:hAnsi="宋体" w:cs="宋体"/>
                <w:kern w:val="0"/>
                <w:sz w:val="18"/>
                <w:szCs w:val="18"/>
                <w:highlight w:val="none"/>
              </w:rPr>
              <w:t>绩效指标合理性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合理</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预算和财务管理  </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预算编制完整性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完整</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1.部门所有收入是否全部纳入部门预算；2.部门支出预算是否统筹各类资金来源，全部纳入部门预算管理。</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专项资金细化率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专项资金细化率=（已细化到具体市县和承担单位的资金数/部门参与分配资金总数）×100%。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预算执行率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≥99%</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预算执行率=（预算完成数/预算数）×100%。预算完成数指部门实际执行的预算数；预算数指财政部门批复的本年度部门的（调整）预算数。</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预算调整率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结转结余率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结转结余率=结转结余总额/预算数*100%。结转结余总额是指部门本年度的结转结余资金之和。预算数是指财政部门批复的本年度部门的（调整）预算数。</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“三公经费”控制率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“三公经费”控制率=本年度“三公经费”实际支出数/“三公经费”预算数*100%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政府采购执行率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≥90%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决算真实性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真实</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反映本部门决算工作情况。决算编制数据是否账表一致，即决算报表数据与会计账簿数据是否一致。</w:t>
            </w:r>
          </w:p>
        </w:tc>
      </w:tr>
      <w:tr>
        <w:tblPrEx>
          <w:tblLayout w:type="fixed"/>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资金使用合规性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合规</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108" w:type="dxa"/>
            <w:bottom w:w="0" w:type="dxa"/>
            <w:right w:w="108" w:type="dxa"/>
          </w:tblCellMar>
        </w:tblPrEx>
        <w:trPr>
          <w:trHeight w:val="2037"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管理制度健全性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健全</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预决算信息公开性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公开</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资产管理规范性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规范</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 xml:space="preserve">绩效管理  </w:t>
            </w:r>
          </w:p>
        </w:tc>
        <w:tc>
          <w:tcPr>
            <w:tcW w:w="2200" w:type="dxa"/>
            <w:tcBorders>
              <w:top w:val="nil"/>
              <w:left w:val="nil"/>
              <w:bottom w:val="nil"/>
              <w:right w:val="nil"/>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绩效目标编制完成率</w:t>
            </w:r>
          </w:p>
        </w:tc>
        <w:tc>
          <w:tcPr>
            <w:tcW w:w="11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部门（单位）按要求实施绩效监控的项目数量占应实施绩效监控项目总数的比重。部门绩效监控完成率=已完成绩效监控项目数量/部门项目总数*100%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绩效监控完成率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部门（单位）按要求编制绩效目标的项目数量占应编制绩效目标项目总数的比重。部门目标编制完成率=已完成绩效目标编制项目数量/部门应编制绩效目标项目总数*100%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绩效自评完成率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部门（单位）按要求实施绩效自评的项目数量占应实施绩效自评项目总数的比重。部门绩效自评完成率=已完成评价项目数量/部门项目总数*100%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部门绩效评价完成率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部门重点绩效评价项目评价完成情况。部门绩效评价完成率=已完成评价项目数量/部门重点绩效评价项目数*100%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评价结果应用率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绩效监控、单位自评、部门绩效评价、财政重点绩效评价结果应用情况。评价结果应用率=评价提出的意见建议采纳数/提出的意见建议总数*100%</w:t>
            </w:r>
          </w:p>
        </w:tc>
      </w:tr>
      <w:tr>
        <w:tblPrEx>
          <w:tblLayout w:type="fixed"/>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重点工作任务完成</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保障区委督察组工作顺利进行。</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≥95%</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xml:space="preserve"> 临时人员工资确保机关各项工作正常运转完成率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≥95%</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kern w:val="0"/>
                <w:sz w:val="18"/>
                <w:szCs w:val="18"/>
                <w:u w:val="none"/>
                <w:lang w:val="en-US" w:eastAsia="zh-CN" w:bidi="ar"/>
              </w:rPr>
            </w:pPr>
            <w:r>
              <w:rPr>
                <w:rFonts w:ascii="宋体" w:hAnsi="宋体" w:eastAsia="宋体" w:cs="宋体"/>
                <w:i w:val="0"/>
                <w:iCs w:val="0"/>
                <w:color w:val="auto"/>
                <w:kern w:val="0"/>
                <w:sz w:val="18"/>
                <w:szCs w:val="18"/>
                <w:u w:val="none"/>
                <w:lang w:val="en-US" w:eastAsia="zh-CN" w:bidi="ar"/>
              </w:rPr>
              <w:t xml:space="preserve"> 保障异地任职干部工作生活质量、更好服务于民，让干部满意完成率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kern w:val="0"/>
                <w:sz w:val="18"/>
                <w:szCs w:val="18"/>
                <w:u w:val="none"/>
                <w:lang w:val="en-US" w:eastAsia="zh-CN" w:bidi="ar"/>
              </w:rPr>
            </w:pPr>
            <w:r>
              <w:rPr>
                <w:rFonts w:ascii="宋体" w:hAnsi="宋体" w:eastAsia="宋体" w:cs="宋体"/>
                <w:i w:val="0"/>
                <w:iCs w:val="0"/>
                <w:color w:val="auto"/>
                <w:kern w:val="0"/>
                <w:sz w:val="18"/>
                <w:szCs w:val="18"/>
                <w:u w:val="none"/>
                <w:lang w:val="en-US" w:eastAsia="zh-CN" w:bidi="ar"/>
              </w:rPr>
              <w:t>≥95%</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kern w:val="0"/>
                <w:sz w:val="18"/>
                <w:szCs w:val="18"/>
                <w:u w:val="none"/>
                <w:lang w:val="en-US" w:eastAsia="zh-CN" w:bidi="ar"/>
              </w:rPr>
            </w:pPr>
            <w:r>
              <w:rPr>
                <w:rFonts w:ascii="宋体" w:hAnsi="宋体" w:eastAsia="宋体" w:cs="宋体"/>
                <w:i w:val="0"/>
                <w:iCs w:val="0"/>
                <w:color w:val="auto"/>
                <w:kern w:val="0"/>
                <w:sz w:val="18"/>
                <w:szCs w:val="18"/>
                <w:u w:val="none"/>
                <w:lang w:val="en-US" w:eastAsia="zh-CN" w:bidi="ar"/>
              </w:rPr>
              <w:t xml:space="preserve"> 确保机关公共机构节能工作的正常开展完成率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kern w:val="0"/>
                <w:sz w:val="18"/>
                <w:szCs w:val="18"/>
                <w:u w:val="none"/>
                <w:lang w:val="en-US" w:eastAsia="zh-CN" w:bidi="ar"/>
              </w:rPr>
            </w:pPr>
            <w:r>
              <w:rPr>
                <w:rFonts w:ascii="宋体" w:hAnsi="宋体" w:eastAsia="宋体" w:cs="宋体"/>
                <w:i w:val="0"/>
                <w:iCs w:val="0"/>
                <w:color w:val="auto"/>
                <w:kern w:val="0"/>
                <w:sz w:val="18"/>
                <w:szCs w:val="18"/>
                <w:u w:val="none"/>
                <w:lang w:val="en-US" w:eastAsia="zh-CN" w:bidi="ar"/>
              </w:rPr>
              <w:t>≥95%</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xml:space="preserve"> 机关大院运转经费确保机关各项工作圆满完成，让职工满意完成率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≥95%</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履职目标实现</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xml:space="preserve"> 保障区机关后勤各项工作的正常开展，保障区机关公共机构节能工作的正常开展，确保机关大院正常运转实现率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≥95%</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14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履职效益</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xml:space="preserve"> 对保障各项工作正常开展情况</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较好落实</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反映部门履职对经济社会发展等所带来的直接或间接影响。可根据部门实际情况有选择的进行设置，并将三级指标细化为相应的个性化指标。</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4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ascii="宋体" w:hAnsi="宋体" w:cs="宋体"/>
                <w:kern w:val="0"/>
                <w:sz w:val="18"/>
                <w:szCs w:val="18"/>
                <w:highlight w:val="none"/>
              </w:rPr>
            </w:pPr>
            <w:r>
              <w:rPr>
                <w:rFonts w:hint="eastAsia" w:ascii="宋体" w:hAnsi="宋体" w:cs="宋体"/>
                <w:kern w:val="0"/>
                <w:sz w:val="18"/>
                <w:szCs w:val="18"/>
                <w:highlight w:val="none"/>
              </w:rPr>
              <w:t>满意度</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xml:space="preserve"> 公众或服务对象满意度</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≥95%</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反映社会公众或服务对象在部门履职效果、解决民众关心的热点问题等方面的满意程度。可根据部门实际情况有选择的进行设置，并将三级指标细化为相应的个性化指标。</w:t>
            </w:r>
          </w:p>
        </w:tc>
      </w:tr>
    </w:tbl>
    <w:p>
      <w:pPr>
        <w:keepNext w:val="0"/>
        <w:keepLines w:val="0"/>
        <w:pageBreakBefore w:val="0"/>
        <w:kinsoku w:val="0"/>
        <w:wordWrap/>
        <w:overflowPunct w:val="0"/>
        <w:topLinePunct w:val="0"/>
        <w:autoSpaceDE/>
        <w:autoSpaceDN/>
        <w:bidi w:val="0"/>
        <w:adjustRightInd w:val="0"/>
        <w:snapToGrid w:val="0"/>
        <w:spacing w:line="240" w:lineRule="atLeas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8"/>
        <w:tblW w:w="15451" w:type="dxa"/>
        <w:tblInd w:w="123" w:type="dxa"/>
        <w:tblLayout w:type="fixed"/>
        <w:tblCellMar>
          <w:top w:w="0" w:type="dxa"/>
          <w:left w:w="108" w:type="dxa"/>
          <w:bottom w:w="0" w:type="dxa"/>
          <w:right w:w="108" w:type="dxa"/>
        </w:tblCellMar>
      </w:tblPr>
      <w:tblGrid>
        <w:gridCol w:w="2106"/>
        <w:gridCol w:w="1230"/>
        <w:gridCol w:w="739"/>
        <w:gridCol w:w="778"/>
        <w:gridCol w:w="637"/>
        <w:gridCol w:w="538"/>
        <w:gridCol w:w="1189"/>
        <w:gridCol w:w="1005"/>
        <w:gridCol w:w="1276"/>
        <w:gridCol w:w="1417"/>
        <w:gridCol w:w="1276"/>
        <w:gridCol w:w="992"/>
        <w:gridCol w:w="1418"/>
        <w:gridCol w:w="850"/>
      </w:tblGrid>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keepNext w:val="0"/>
              <w:keepLines w:val="0"/>
              <w:pageBreakBefore w:val="0"/>
              <w:widowControl/>
              <w:wordWrap/>
              <w:topLinePunct w:val="0"/>
              <w:autoSpaceDE/>
              <w:autoSpaceDN/>
              <w:bidi w:val="0"/>
              <w:spacing w:line="240" w:lineRule="atLeast"/>
              <w:jc w:val="right"/>
              <w:rPr>
                <w:rFonts w:ascii="宋体" w:hAnsi="宋体" w:cs="宋体"/>
                <w:kern w:val="0"/>
                <w:sz w:val="18"/>
                <w:szCs w:val="18"/>
                <w:highlight w:val="none"/>
              </w:rPr>
            </w:pPr>
            <w:r>
              <w:rPr>
                <w:rFonts w:hint="eastAsia" w:ascii="宋体" w:hAnsi="宋体" w:cs="宋体"/>
                <w:kern w:val="0"/>
                <w:sz w:val="18"/>
                <w:szCs w:val="18"/>
                <w:highlight w:val="none"/>
              </w:rPr>
              <w:t>预算12表</w:t>
            </w:r>
          </w:p>
        </w:tc>
      </w:tr>
      <w:tr>
        <w:tblPrEx>
          <w:tblLayout w:type="fixed"/>
          <w:tblCellMar>
            <w:top w:w="0" w:type="dxa"/>
            <w:left w:w="108" w:type="dxa"/>
            <w:bottom w:w="0" w:type="dxa"/>
            <w:right w:w="108" w:type="dxa"/>
          </w:tblCellMar>
        </w:tblPrEx>
        <w:trPr>
          <w:trHeight w:val="570" w:hRule="atLeast"/>
        </w:trPr>
        <w:tc>
          <w:tcPr>
            <w:tcW w:w="15451" w:type="dxa"/>
            <w:gridSpan w:val="14"/>
            <w:tcBorders>
              <w:top w:val="nil"/>
              <w:left w:val="nil"/>
              <w:bottom w:val="nil"/>
              <w:right w:val="nil"/>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年部门预算项目绩效目标</w:t>
            </w:r>
            <w:r>
              <w:rPr>
                <w:rFonts w:hint="eastAsia" w:ascii="宋体" w:hAnsi="宋体" w:cs="宋体"/>
                <w:b/>
                <w:bCs/>
                <w:kern w:val="0"/>
                <w:sz w:val="38"/>
                <w:szCs w:val="38"/>
                <w:highlight w:val="none"/>
                <w:lang w:eastAsia="zh-CN"/>
              </w:rPr>
              <w:t>汇总</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hint="eastAsia"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lang w:eastAsia="zh-CN"/>
              </w:rPr>
              <w:t>新乡市卫滨区机关事务中心</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单位编码（项目编码）</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项目单位 （项目名称）</w:t>
            </w:r>
          </w:p>
        </w:tc>
        <w:tc>
          <w:tcPr>
            <w:tcW w:w="2692"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项目金额（万元）</w:t>
            </w:r>
          </w:p>
        </w:tc>
        <w:tc>
          <w:tcPr>
            <w:tcW w:w="9423" w:type="dxa"/>
            <w:gridSpan w:val="8"/>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kern w:val="0"/>
                <w:sz w:val="18"/>
                <w:szCs w:val="18"/>
                <w:highlight w:val="none"/>
              </w:rPr>
            </w:pPr>
            <w:r>
              <w:rPr>
                <w:rFonts w:hint="eastAsia" w:ascii="宋体" w:hAnsi="宋体" w:cs="宋体"/>
                <w:kern w:val="0"/>
                <w:sz w:val="18"/>
                <w:szCs w:val="18"/>
                <w:highlight w:val="none"/>
              </w:rPr>
              <w:t>绩效目标</w:t>
            </w:r>
          </w:p>
        </w:tc>
      </w:tr>
      <w:tr>
        <w:tblPrEx>
          <w:tblLayout w:type="fixed"/>
          <w:tblCellMar>
            <w:top w:w="0" w:type="dxa"/>
            <w:left w:w="108" w:type="dxa"/>
            <w:bottom w:w="0" w:type="dxa"/>
            <w:right w:w="108" w:type="dxa"/>
          </w:tblCellMar>
        </w:tblPrEx>
        <w:trPr>
          <w:trHeight w:val="338"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692" w:type="dxa"/>
            <w:gridSpan w:val="4"/>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2194"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成本指标  </w:t>
            </w:r>
          </w:p>
        </w:tc>
        <w:tc>
          <w:tcPr>
            <w:tcW w:w="2693"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2268"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2268"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满意度指标  </w:t>
            </w:r>
          </w:p>
        </w:tc>
      </w:tr>
      <w:tr>
        <w:tblPrEx>
          <w:tblLayout w:type="fixed"/>
        </w:tblPrEx>
        <w:trPr>
          <w:trHeight w:val="702"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wordWrap/>
              <w:topLinePunct w:val="0"/>
              <w:autoSpaceDE/>
              <w:autoSpaceDN/>
              <w:bidi w:val="0"/>
              <w:spacing w:line="240" w:lineRule="atLeast"/>
              <w:jc w:val="left"/>
              <w:rPr>
                <w:rFonts w:ascii="宋体" w:hAnsi="宋体" w:cs="宋体"/>
                <w:kern w:val="0"/>
                <w:sz w:val="18"/>
                <w:szCs w:val="18"/>
                <w:highlight w:val="none"/>
              </w:rPr>
            </w:pPr>
          </w:p>
        </w:tc>
        <w:tc>
          <w:tcPr>
            <w:tcW w:w="73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kern w:val="0"/>
                <w:sz w:val="18"/>
                <w:szCs w:val="18"/>
                <w:highlight w:val="none"/>
              </w:rPr>
            </w:pPr>
            <w:r>
              <w:rPr>
                <w:rFonts w:hint="eastAsia" w:ascii="宋体" w:hAnsi="宋体" w:cs="宋体"/>
                <w:kern w:val="0"/>
                <w:sz w:val="18"/>
                <w:szCs w:val="18"/>
                <w:highlight w:val="none"/>
              </w:rPr>
              <w:t>资金总额</w:t>
            </w:r>
          </w:p>
        </w:tc>
        <w:tc>
          <w:tcPr>
            <w:tcW w:w="7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kern w:val="0"/>
                <w:sz w:val="18"/>
                <w:szCs w:val="18"/>
                <w:highlight w:val="none"/>
              </w:rPr>
            </w:pPr>
            <w:r>
              <w:rPr>
                <w:rFonts w:hint="eastAsia" w:ascii="宋体" w:hAnsi="宋体" w:cs="宋体"/>
                <w:kern w:val="0"/>
                <w:sz w:val="18"/>
                <w:szCs w:val="18"/>
                <w:highlight w:val="none"/>
              </w:rPr>
              <w:t>政府预算资金</w:t>
            </w:r>
          </w:p>
        </w:tc>
        <w:tc>
          <w:tcPr>
            <w:tcW w:w="6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5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单位资金</w:t>
            </w:r>
          </w:p>
        </w:tc>
        <w:tc>
          <w:tcPr>
            <w:tcW w:w="118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r>
      <w:tr>
        <w:tblPrEx>
          <w:tblLayout w:type="fixed"/>
          <w:tblCellMar>
            <w:top w:w="0" w:type="dxa"/>
            <w:left w:w="108" w:type="dxa"/>
            <w:bottom w:w="0" w:type="dxa"/>
            <w:right w:w="108" w:type="dxa"/>
          </w:tblCellMar>
        </w:tblPrEx>
        <w:trPr>
          <w:trHeight w:val="285" w:hRule="atLeast"/>
        </w:trPr>
        <w:tc>
          <w:tcPr>
            <w:tcW w:w="210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hint="eastAsia"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027</w:t>
            </w:r>
          </w:p>
        </w:tc>
        <w:tc>
          <w:tcPr>
            <w:tcW w:w="123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hint="eastAsia"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　</w:t>
            </w:r>
          </w:p>
        </w:tc>
        <w:tc>
          <w:tcPr>
            <w:tcW w:w="73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7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6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righ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5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righ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18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762" w:hRule="atLeast"/>
        </w:trPr>
        <w:tc>
          <w:tcPr>
            <w:tcW w:w="210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027001</w:t>
            </w:r>
          </w:p>
        </w:tc>
        <w:tc>
          <w:tcPr>
            <w:tcW w:w="123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hint="eastAsia"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新乡市卫滨区机关事务中心</w:t>
            </w:r>
          </w:p>
        </w:tc>
        <w:tc>
          <w:tcPr>
            <w:tcW w:w="73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7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hint="eastAsia" w:ascii="宋体" w:hAnsi="宋体" w:cs="宋体"/>
                <w:kern w:val="0"/>
                <w:sz w:val="18"/>
                <w:szCs w:val="18"/>
                <w:highlight w:val="none"/>
              </w:rPr>
            </w:pPr>
            <w:r>
              <w:rPr>
                <w:rFonts w:ascii="宋体" w:hAnsi="宋体" w:eastAsia="宋体" w:cs="宋体"/>
                <w:i w:val="0"/>
                <w:iCs w:val="0"/>
                <w:color w:val="auto"/>
                <w:kern w:val="0"/>
                <w:sz w:val="18"/>
                <w:szCs w:val="18"/>
                <w:u w:val="none"/>
                <w:lang w:val="en-US" w:eastAsia="zh-CN" w:bidi="ar"/>
              </w:rPr>
              <w:t>681.32</w:t>
            </w:r>
          </w:p>
        </w:tc>
        <w:tc>
          <w:tcPr>
            <w:tcW w:w="6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right"/>
              <w:rPr>
                <w:rFonts w:hint="eastAsia" w:ascii="宋体" w:hAnsi="宋体" w:cs="宋体"/>
                <w:kern w:val="0"/>
                <w:sz w:val="18"/>
                <w:szCs w:val="18"/>
                <w:highlight w:val="none"/>
              </w:rPr>
            </w:pPr>
          </w:p>
        </w:tc>
        <w:tc>
          <w:tcPr>
            <w:tcW w:w="5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right"/>
              <w:rPr>
                <w:rFonts w:hint="eastAsia"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atLeast"/>
              <w:jc w:val="left"/>
              <w:rPr>
                <w:rFonts w:hint="eastAsia"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410703220000000016850</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保安保洁、三员经费</w:t>
            </w: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261.56</w:t>
            </w:r>
          </w:p>
        </w:tc>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261.56</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5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18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保安保洁、三员经费总成本</w:t>
            </w:r>
          </w:p>
        </w:tc>
        <w:tc>
          <w:tcPr>
            <w:tcW w:w="100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≤261.56万元</w:t>
            </w:r>
          </w:p>
        </w:tc>
        <w:tc>
          <w:tcPr>
            <w:tcW w:w="127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保安保洁、三员工资保险人数</w:t>
            </w:r>
          </w:p>
        </w:tc>
        <w:tc>
          <w:tcPr>
            <w:tcW w:w="1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≤67 人</w:t>
            </w:r>
          </w:p>
        </w:tc>
        <w:tc>
          <w:tcPr>
            <w:tcW w:w="127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保障机关单位安保提供卫生环境</w:t>
            </w:r>
          </w:p>
        </w:tc>
        <w:tc>
          <w:tcPr>
            <w:tcW w:w="99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保障 提高</w:t>
            </w:r>
          </w:p>
        </w:tc>
        <w:tc>
          <w:tcPr>
            <w:tcW w:w="141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享受服务人员满意度</w:t>
            </w:r>
          </w:p>
        </w:tc>
        <w:tc>
          <w:tcPr>
            <w:tcW w:w="85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center"/>
              <w:rPr>
                <w:rFonts w:hint="eastAsia" w:ascii="宋体" w:hAnsi="宋体" w:eastAsia="宋体" w:cs="宋体"/>
                <w:i w:val="0"/>
                <w:iCs w:val="0"/>
                <w:color w:val="auto"/>
                <w:sz w:val="18"/>
                <w:szCs w:val="18"/>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center"/>
              <w:rPr>
                <w:rFonts w:hint="eastAsia" w:ascii="宋体" w:hAnsi="宋体" w:eastAsia="宋体" w:cs="宋体"/>
                <w:i w:val="0"/>
                <w:iCs w:val="0"/>
                <w:color w:val="auto"/>
                <w:sz w:val="18"/>
                <w:szCs w:val="18"/>
                <w:u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118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工资发放合规率</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≥95 %</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center"/>
              <w:rPr>
                <w:rFonts w:hint="eastAsia" w:ascii="宋体" w:hAnsi="宋体" w:eastAsia="宋体" w:cs="宋体"/>
                <w:i w:val="0"/>
                <w:iCs w:val="0"/>
                <w:color w:val="auto"/>
                <w:sz w:val="18"/>
                <w:szCs w:val="18"/>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center"/>
              <w:rPr>
                <w:rFonts w:hint="eastAsia" w:ascii="宋体" w:hAnsi="宋体" w:eastAsia="宋体" w:cs="宋体"/>
                <w:i w:val="0"/>
                <w:iCs w:val="0"/>
                <w:color w:val="auto"/>
                <w:sz w:val="18"/>
                <w:szCs w:val="18"/>
                <w:u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118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工资发放时间</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每月</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trPr>
        <w:tc>
          <w:tcPr>
            <w:tcW w:w="210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410703220000000031625</w:t>
            </w:r>
          </w:p>
        </w:tc>
        <w:tc>
          <w:tcPr>
            <w:tcW w:w="123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区委督察组工作经费</w:t>
            </w:r>
          </w:p>
        </w:tc>
        <w:tc>
          <w:tcPr>
            <w:tcW w:w="739"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12.00</w:t>
            </w:r>
          </w:p>
        </w:tc>
        <w:tc>
          <w:tcPr>
            <w:tcW w:w="77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12.00</w:t>
            </w:r>
          </w:p>
        </w:tc>
        <w:tc>
          <w:tcPr>
            <w:tcW w:w="63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53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18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督察保障总成本</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≤12 万元</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办公设备数量</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1批</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保障区委督察组工作顺利进行</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显著</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督察组满意度</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2106"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center"/>
              <w:rPr>
                <w:rFonts w:hint="eastAsia" w:ascii="宋体" w:hAnsi="宋体" w:eastAsia="宋体" w:cs="宋体"/>
                <w:i w:val="0"/>
                <w:iCs w:val="0"/>
                <w:color w:val="auto"/>
                <w:sz w:val="18"/>
                <w:szCs w:val="18"/>
                <w:u w:val="none"/>
              </w:rPr>
            </w:pPr>
          </w:p>
        </w:tc>
        <w:tc>
          <w:tcPr>
            <w:tcW w:w="1230"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center"/>
              <w:rPr>
                <w:rFonts w:hint="eastAsia" w:ascii="宋体" w:hAnsi="宋体" w:eastAsia="宋体" w:cs="宋体"/>
                <w:i w:val="0"/>
                <w:iCs w:val="0"/>
                <w:color w:val="auto"/>
                <w:sz w:val="18"/>
                <w:szCs w:val="18"/>
                <w:u w:val="none"/>
              </w:rPr>
            </w:pPr>
          </w:p>
        </w:tc>
        <w:tc>
          <w:tcPr>
            <w:tcW w:w="739"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778"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637"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538"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118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督察工作运转率</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100 %</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2106" w:type="dxa"/>
            <w:vMerge w:val="continue"/>
            <w:tcBorders>
              <w:top w:val="nil"/>
              <w:left w:val="single" w:color="000000" w:sz="4" w:space="0"/>
              <w:bottom w:val="single" w:color="auto"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center"/>
              <w:rPr>
                <w:rFonts w:hint="eastAsia" w:ascii="宋体" w:hAnsi="宋体" w:eastAsia="宋体" w:cs="宋体"/>
                <w:i w:val="0"/>
                <w:iCs w:val="0"/>
                <w:color w:val="auto"/>
                <w:sz w:val="18"/>
                <w:szCs w:val="18"/>
                <w:u w:val="none"/>
              </w:rPr>
            </w:pPr>
          </w:p>
        </w:tc>
        <w:tc>
          <w:tcPr>
            <w:tcW w:w="1230" w:type="dxa"/>
            <w:vMerge w:val="continue"/>
            <w:tcBorders>
              <w:top w:val="nil"/>
              <w:left w:val="single" w:color="000000" w:sz="4" w:space="0"/>
              <w:bottom w:val="single" w:color="auto"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center"/>
              <w:rPr>
                <w:rFonts w:hint="eastAsia" w:ascii="宋体" w:hAnsi="宋体" w:eastAsia="宋体" w:cs="宋体"/>
                <w:i w:val="0"/>
                <w:iCs w:val="0"/>
                <w:color w:val="auto"/>
                <w:sz w:val="18"/>
                <w:szCs w:val="18"/>
                <w:u w:val="none"/>
              </w:rPr>
            </w:pPr>
          </w:p>
        </w:tc>
        <w:tc>
          <w:tcPr>
            <w:tcW w:w="739" w:type="dxa"/>
            <w:vMerge w:val="continue"/>
            <w:tcBorders>
              <w:top w:val="nil"/>
              <w:left w:val="single" w:color="000000" w:sz="4" w:space="0"/>
              <w:bottom w:val="single" w:color="auto"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778" w:type="dxa"/>
            <w:vMerge w:val="continue"/>
            <w:tcBorders>
              <w:top w:val="nil"/>
              <w:left w:val="single" w:color="000000" w:sz="4" w:space="0"/>
              <w:bottom w:val="single" w:color="auto"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637" w:type="dxa"/>
            <w:vMerge w:val="continue"/>
            <w:tcBorders>
              <w:top w:val="nil"/>
              <w:left w:val="single" w:color="000000" w:sz="4" w:space="0"/>
              <w:bottom w:val="single" w:color="auto"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538" w:type="dxa"/>
            <w:vMerge w:val="continue"/>
            <w:tcBorders>
              <w:top w:val="nil"/>
              <w:left w:val="single" w:color="000000" w:sz="4" w:space="0"/>
              <w:bottom w:val="single" w:color="auto"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1189"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005"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276"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督察保障时间</w:t>
            </w:r>
          </w:p>
        </w:tc>
        <w:tc>
          <w:tcPr>
            <w:tcW w:w="1417"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1年</w:t>
            </w:r>
          </w:p>
        </w:tc>
        <w:tc>
          <w:tcPr>
            <w:tcW w:w="1276"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992"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418"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850"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410703240000000007280</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公共机构节能</w:t>
            </w: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2.00</w:t>
            </w:r>
          </w:p>
        </w:tc>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2.00</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5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18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公共机构节能总成本</w:t>
            </w:r>
          </w:p>
        </w:tc>
        <w:tc>
          <w:tcPr>
            <w:tcW w:w="100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≤2万元</w:t>
            </w:r>
          </w:p>
        </w:tc>
        <w:tc>
          <w:tcPr>
            <w:tcW w:w="127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机构节能能量数</w:t>
            </w:r>
          </w:p>
        </w:tc>
        <w:tc>
          <w:tcPr>
            <w:tcW w:w="1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2 项</w:t>
            </w:r>
          </w:p>
        </w:tc>
        <w:tc>
          <w:tcPr>
            <w:tcW w:w="127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保障各项工作正常开展的提升程度</w:t>
            </w:r>
          </w:p>
        </w:tc>
        <w:tc>
          <w:tcPr>
            <w:tcW w:w="99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保障</w:t>
            </w:r>
          </w:p>
        </w:tc>
        <w:tc>
          <w:tcPr>
            <w:tcW w:w="141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享受机关服务满意度</w:t>
            </w:r>
          </w:p>
        </w:tc>
        <w:tc>
          <w:tcPr>
            <w:tcW w:w="85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center"/>
              <w:rPr>
                <w:rFonts w:hint="eastAsia" w:ascii="宋体" w:hAnsi="宋体" w:eastAsia="宋体" w:cs="宋体"/>
                <w:i w:val="0"/>
                <w:iCs w:val="0"/>
                <w:color w:val="auto"/>
                <w:sz w:val="18"/>
                <w:szCs w:val="18"/>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center"/>
              <w:rPr>
                <w:rFonts w:hint="eastAsia" w:ascii="宋体" w:hAnsi="宋体" w:eastAsia="宋体" w:cs="宋体"/>
                <w:i w:val="0"/>
                <w:iCs w:val="0"/>
                <w:color w:val="auto"/>
                <w:sz w:val="18"/>
                <w:szCs w:val="18"/>
                <w:u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118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办公室正常运行率</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95%</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center"/>
              <w:rPr>
                <w:rFonts w:hint="eastAsia" w:ascii="宋体" w:hAnsi="宋体" w:eastAsia="宋体" w:cs="宋体"/>
                <w:i w:val="0"/>
                <w:iCs w:val="0"/>
                <w:color w:val="auto"/>
                <w:sz w:val="18"/>
                <w:szCs w:val="18"/>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center"/>
              <w:rPr>
                <w:rFonts w:hint="eastAsia" w:ascii="宋体" w:hAnsi="宋体" w:eastAsia="宋体" w:cs="宋体"/>
                <w:i w:val="0"/>
                <w:iCs w:val="0"/>
                <w:color w:val="auto"/>
                <w:sz w:val="18"/>
                <w:szCs w:val="18"/>
                <w:u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118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完成机构节能时间</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≤365 天</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trPr>
        <w:tc>
          <w:tcPr>
            <w:tcW w:w="210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410703240000000007281</w:t>
            </w:r>
          </w:p>
        </w:tc>
        <w:tc>
          <w:tcPr>
            <w:tcW w:w="123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房租</w:t>
            </w:r>
          </w:p>
        </w:tc>
        <w:tc>
          <w:tcPr>
            <w:tcW w:w="739"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15.00</w:t>
            </w:r>
          </w:p>
        </w:tc>
        <w:tc>
          <w:tcPr>
            <w:tcW w:w="77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15.00</w:t>
            </w:r>
          </w:p>
        </w:tc>
        <w:tc>
          <w:tcPr>
            <w:tcW w:w="63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53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18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租房总成本</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≤15 万元</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租房面积</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≤240平方米</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保障异地任职干部工作生活质量、更好服务于民</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保障</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享受住房人员满意度</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2106"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center"/>
              <w:rPr>
                <w:rFonts w:hint="eastAsia" w:ascii="宋体" w:hAnsi="宋体" w:eastAsia="宋体" w:cs="宋体"/>
                <w:i w:val="0"/>
                <w:iCs w:val="0"/>
                <w:color w:val="auto"/>
                <w:sz w:val="18"/>
                <w:szCs w:val="18"/>
                <w:u w:val="none"/>
              </w:rPr>
            </w:pPr>
          </w:p>
        </w:tc>
        <w:tc>
          <w:tcPr>
            <w:tcW w:w="1230"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center"/>
              <w:rPr>
                <w:rFonts w:hint="eastAsia" w:ascii="宋体" w:hAnsi="宋体" w:eastAsia="宋体" w:cs="宋体"/>
                <w:i w:val="0"/>
                <w:iCs w:val="0"/>
                <w:color w:val="auto"/>
                <w:sz w:val="18"/>
                <w:szCs w:val="18"/>
                <w:u w:val="none"/>
              </w:rPr>
            </w:pPr>
          </w:p>
        </w:tc>
        <w:tc>
          <w:tcPr>
            <w:tcW w:w="739"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778"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637"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538"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118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支付房租合规率</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100 %</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2106"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center"/>
              <w:rPr>
                <w:rFonts w:hint="eastAsia" w:ascii="宋体" w:hAnsi="宋体" w:eastAsia="宋体" w:cs="宋体"/>
                <w:i w:val="0"/>
                <w:iCs w:val="0"/>
                <w:color w:val="auto"/>
                <w:sz w:val="18"/>
                <w:szCs w:val="18"/>
                <w:u w:val="none"/>
              </w:rPr>
            </w:pPr>
          </w:p>
        </w:tc>
        <w:tc>
          <w:tcPr>
            <w:tcW w:w="1230"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center"/>
              <w:rPr>
                <w:rFonts w:hint="eastAsia" w:ascii="宋体" w:hAnsi="宋体" w:eastAsia="宋体" w:cs="宋体"/>
                <w:i w:val="0"/>
                <w:iCs w:val="0"/>
                <w:color w:val="auto"/>
                <w:sz w:val="18"/>
                <w:szCs w:val="18"/>
                <w:u w:val="none"/>
              </w:rPr>
            </w:pPr>
          </w:p>
        </w:tc>
        <w:tc>
          <w:tcPr>
            <w:tcW w:w="739"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778"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637"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538"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118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支付房租时间</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一季度</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trPr>
        <w:tc>
          <w:tcPr>
            <w:tcW w:w="210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410703240000000007282</w:t>
            </w:r>
          </w:p>
        </w:tc>
        <w:tc>
          <w:tcPr>
            <w:tcW w:w="123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机关大院运转经费</w:t>
            </w:r>
          </w:p>
        </w:tc>
        <w:tc>
          <w:tcPr>
            <w:tcW w:w="739"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390.76</w:t>
            </w:r>
          </w:p>
        </w:tc>
        <w:tc>
          <w:tcPr>
            <w:tcW w:w="77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390.76</w:t>
            </w:r>
          </w:p>
        </w:tc>
        <w:tc>
          <w:tcPr>
            <w:tcW w:w="63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53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righ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18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机关大院运转经费总成本</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≤390.76 万元</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机关大院运转服务人数</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≤1000 人</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保障大院正常工作运转、更好的服务于民</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保障</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享受服务民众满意度</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2106"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center"/>
              <w:rPr>
                <w:rFonts w:hint="eastAsia" w:ascii="宋体" w:hAnsi="宋体" w:eastAsia="宋体" w:cs="宋体"/>
                <w:i w:val="0"/>
                <w:iCs w:val="0"/>
                <w:color w:val="auto"/>
                <w:sz w:val="18"/>
                <w:szCs w:val="18"/>
                <w:u w:val="none"/>
              </w:rPr>
            </w:pPr>
          </w:p>
        </w:tc>
        <w:tc>
          <w:tcPr>
            <w:tcW w:w="1230"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center"/>
              <w:rPr>
                <w:rFonts w:hint="eastAsia" w:ascii="宋体" w:hAnsi="宋体" w:eastAsia="宋体" w:cs="宋体"/>
                <w:i w:val="0"/>
                <w:iCs w:val="0"/>
                <w:color w:val="auto"/>
                <w:sz w:val="18"/>
                <w:szCs w:val="18"/>
                <w:u w:val="none"/>
              </w:rPr>
            </w:pPr>
          </w:p>
        </w:tc>
        <w:tc>
          <w:tcPr>
            <w:tcW w:w="739"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778"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637"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538"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118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大院正常运转覆盖率</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100%</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2106"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center"/>
              <w:rPr>
                <w:rFonts w:hint="eastAsia" w:ascii="宋体" w:hAnsi="宋体" w:eastAsia="宋体" w:cs="宋体"/>
                <w:i w:val="0"/>
                <w:iCs w:val="0"/>
                <w:color w:val="auto"/>
                <w:sz w:val="18"/>
                <w:szCs w:val="18"/>
                <w:u w:val="none"/>
              </w:rPr>
            </w:pPr>
          </w:p>
        </w:tc>
        <w:tc>
          <w:tcPr>
            <w:tcW w:w="1230"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center"/>
              <w:rPr>
                <w:rFonts w:hint="eastAsia" w:ascii="宋体" w:hAnsi="宋体" w:eastAsia="宋体" w:cs="宋体"/>
                <w:i w:val="0"/>
                <w:iCs w:val="0"/>
                <w:color w:val="auto"/>
                <w:sz w:val="18"/>
                <w:szCs w:val="18"/>
                <w:u w:val="none"/>
              </w:rPr>
            </w:pPr>
          </w:p>
        </w:tc>
        <w:tc>
          <w:tcPr>
            <w:tcW w:w="739"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778"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637"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538"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atLeast"/>
              <w:jc w:val="right"/>
              <w:rPr>
                <w:rFonts w:hint="eastAsia" w:ascii="宋体" w:hAnsi="宋体" w:eastAsia="宋体" w:cs="宋体"/>
                <w:i w:val="0"/>
                <w:iCs w:val="0"/>
                <w:color w:val="auto"/>
                <w:sz w:val="18"/>
                <w:szCs w:val="18"/>
                <w:u w:val="none"/>
              </w:rPr>
            </w:pPr>
          </w:p>
        </w:tc>
        <w:tc>
          <w:tcPr>
            <w:tcW w:w="118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经费运转时间</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每天</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atLeast"/>
              <w:jc w:val="left"/>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w:t>
            </w:r>
          </w:p>
        </w:tc>
      </w:tr>
    </w:tbl>
    <w:p>
      <w:pPr>
        <w:keepNext w:val="0"/>
        <w:keepLines w:val="0"/>
        <w:pageBreakBefore w:val="0"/>
        <w:kinsoku w:val="0"/>
        <w:wordWrap/>
        <w:overflowPunct w:val="0"/>
        <w:topLinePunct w:val="0"/>
        <w:autoSpaceDE/>
        <w:autoSpaceDN/>
        <w:bidi w:val="0"/>
        <w:adjustRightInd w:val="0"/>
        <w:snapToGrid w:val="0"/>
        <w:spacing w:line="240" w:lineRule="atLeast"/>
        <w:rPr>
          <w:rFonts w:hint="eastAsia" w:ascii="黑体" w:hAnsi="Times New Roman" w:eastAsia="黑体" w:cs="黑体"/>
          <w:sz w:val="32"/>
          <w:szCs w:val="32"/>
          <w:highlight w:val="none"/>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0F3C52" w:usb2="00000016" w:usb3="00000000" w:csb0="0004001F" w:csb1="00000000"/>
  </w:font>
  <w:font w:name="Arial">
    <w:panose1 w:val="020B0604020202020204"/>
    <w:charset w:val="00"/>
    <w:family w:val="auto"/>
    <w:pitch w:val="default"/>
    <w:sig w:usb0="00007A87" w:usb1="80000000" w:usb2="00000008" w:usb3="00000000" w:csb0="400001FF" w:csb1="FFFF0000"/>
  </w:font>
  <w:font w:name="方正姚体">
    <w:panose1 w:val="02010601030101010101"/>
    <w:charset w:val="86"/>
    <w:family w:val="auto"/>
    <w:pitch w:val="default"/>
    <w:sig w:usb0="00000003"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Algerian">
    <w:panose1 w:val="04020705040A02060702"/>
    <w:charset w:val="00"/>
    <w:family w:val="auto"/>
    <w:pitch w:val="default"/>
    <w:sig w:usb0="00000003" w:usb1="00000000" w:usb2="00000000" w:usb3="00000000" w:csb0="20000001" w:csb1="00000000"/>
  </w:font>
  <w:font w:name="Arial Black">
    <w:panose1 w:val="020B0A04020102020204"/>
    <w:charset w:val="00"/>
    <w:family w:val="auto"/>
    <w:pitch w:val="default"/>
    <w:sig w:usb0="00000287" w:usb1="00000000" w:usb2="00000000" w:usb3="00000000" w:csb0="2000009F" w:csb1="DFD70000"/>
  </w:font>
  <w:font w:name="Arial Narrow">
    <w:panose1 w:val="020B0606020202030204"/>
    <w:charset w:val="00"/>
    <w:family w:val="auto"/>
    <w:pitch w:val="default"/>
    <w:sig w:usb0="00000287" w:usb1="00000800" w:usb2="00000000" w:usb3="00000000" w:csb0="2000009F" w:csb1="DFD70000"/>
  </w:font>
  <w:font w:name="Baskerville Old Face">
    <w:panose1 w:val="02020602080505020303"/>
    <w:charset w:val="00"/>
    <w:family w:val="auto"/>
    <w:pitch w:val="default"/>
    <w:sig w:usb0="00000003" w:usb1="00000000" w:usb2="00000000" w:usb3="00000000" w:csb0="20000001" w:csb1="00000000"/>
  </w:font>
  <w:font w:name="Bauhaus 93">
    <w:panose1 w:val="04030905020B02020C02"/>
    <w:charset w:val="00"/>
    <w:family w:val="auto"/>
    <w:pitch w:val="default"/>
    <w:sig w:usb0="00000003" w:usb1="00000000" w:usb2="00000000" w:usb3="00000000" w:csb0="20000001" w:csb1="00000000"/>
  </w:font>
  <w:font w:name="Bell MT">
    <w:panose1 w:val="02020503060305020303"/>
    <w:charset w:val="00"/>
    <w:family w:val="auto"/>
    <w:pitch w:val="default"/>
    <w:sig w:usb0="00000003" w:usb1="00000000" w:usb2="00000000" w:usb3="00000000" w:csb0="20000001" w:csb1="00000000"/>
  </w:font>
  <w:font w:name="Berlin Sans FB">
    <w:panose1 w:val="020E0602020502020306"/>
    <w:charset w:val="00"/>
    <w:family w:val="auto"/>
    <w:pitch w:val="default"/>
    <w:sig w:usb0="00000003" w:usb1="00000000" w:usb2="00000000" w:usb3="00000000" w:csb0="20000001" w:csb1="0000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Bodoni MT">
    <w:panose1 w:val="02070603080606020203"/>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 w:name="Bodoni MT Condensed">
    <w:panose1 w:val="02070606080606020203"/>
    <w:charset w:val="00"/>
    <w:family w:val="auto"/>
    <w:pitch w:val="default"/>
    <w:sig w:usb0="00000003" w:usb1="00000000" w:usb2="00000000" w:usb3="00000000" w:csb0="20000001" w:csb1="00000000"/>
  </w:font>
  <w:font w:name="Bodoni MT Poster Compressed">
    <w:panose1 w:val="02070706080601050204"/>
    <w:charset w:val="00"/>
    <w:family w:val="auto"/>
    <w:pitch w:val="default"/>
    <w:sig w:usb0="00000003" w:usb1="00000000" w:usb2="00000000" w:usb3="00000000" w:csb0="20000011" w:csb1="00000000"/>
  </w:font>
  <w:font w:name="Bookman Old Style">
    <w:panose1 w:val="02050604050505020204"/>
    <w:charset w:val="00"/>
    <w:family w:val="auto"/>
    <w:pitch w:val="default"/>
    <w:sig w:usb0="00000287" w:usb1="00000000" w:usb2="00000000" w:usb3="00000000" w:csb0="2000009F" w:csb1="DFD70000"/>
  </w:font>
  <w:font w:name="Bookshelf Symbol 7">
    <w:panose1 w:val="05010101010101010101"/>
    <w:charset w:val="00"/>
    <w:family w:val="auto"/>
    <w:pitch w:val="default"/>
    <w:sig w:usb0="00000000" w:usb1="00000000" w:usb2="00000000" w:usb3="00000000" w:csb0="80000000" w:csb1="00000000"/>
  </w:font>
  <w:font w:name="Britannic Bold">
    <w:panose1 w:val="020B0903060703020204"/>
    <w:charset w:val="00"/>
    <w:family w:val="auto"/>
    <w:pitch w:val="default"/>
    <w:sig w:usb0="00000003" w:usb1="00000000" w:usb2="00000000" w:usb3="00000000" w:csb0="20000001" w:csb1="00000000"/>
  </w:font>
  <w:font w:name="Broadway">
    <w:panose1 w:val="04040905080B02020502"/>
    <w:charset w:val="00"/>
    <w:family w:val="auto"/>
    <w:pitch w:val="default"/>
    <w:sig w:usb0="00000003" w:usb1="00000000" w:usb2="00000000" w:usb3="00000000" w:csb0="20000001" w:csb1="00000000"/>
  </w:font>
  <w:font w:name="Cambria Math">
    <w:panose1 w:val="02040503050406030204"/>
    <w:charset w:val="00"/>
    <w:family w:val="auto"/>
    <w:pitch w:val="default"/>
    <w:sig w:usb0="A00002EF" w:usb1="420020EB" w:usb2="00000000" w:usb3="00000000" w:csb0="2000009F" w:csb1="00000000"/>
  </w:font>
  <w:font w:name="Century Gothic">
    <w:panose1 w:val="020B0502020202020204"/>
    <w:charset w:val="00"/>
    <w:family w:val="auto"/>
    <w:pitch w:val="default"/>
    <w:sig w:usb0="00000287" w:usb1="00000000" w:usb2="00000000" w:usb3="00000000" w:csb0="2000009F" w:csb1="DFD70000"/>
  </w:font>
  <w:font w:name="Comic Sans MS">
    <w:panose1 w:val="030F0702030302020204"/>
    <w:charset w:val="00"/>
    <w:family w:val="auto"/>
    <w:pitch w:val="default"/>
    <w:sig w:usb0="00000287" w:usb1="00000000" w:usb2="00000000" w:usb3="00000000" w:csb0="2000009F" w:csb1="00000000"/>
  </w:font>
  <w:font w:name="Colonna MT">
    <w:panose1 w:val="04020805060202030203"/>
    <w:charset w:val="00"/>
    <w:family w:val="auto"/>
    <w:pitch w:val="default"/>
    <w:sig w:usb0="00000003" w:usb1="00000000" w:usb2="00000000" w:usb3="00000000" w:csb0="20000001" w:csb1="00000000"/>
  </w:font>
  <w:font w:name="Consolas">
    <w:panose1 w:val="020B0609020204030204"/>
    <w:charset w:val="00"/>
    <w:family w:val="auto"/>
    <w:pitch w:val="default"/>
    <w:sig w:usb0="A00002EF" w:usb1="4000204B" w:usb2="00000000" w:usb3="00000000" w:csb0="2000009F" w:csb1="00000000"/>
  </w:font>
  <w:font w:name="Constantia">
    <w:panose1 w:val="02030602050306030303"/>
    <w:charset w:val="00"/>
    <w:family w:val="auto"/>
    <w:pitch w:val="default"/>
    <w:sig w:usb0="A00002EF" w:usb1="4000204B" w:usb2="00000000" w:usb3="00000000" w:csb0="2000009F" w:csb1="00000000"/>
  </w:font>
  <w:font w:name="Cooper Black">
    <w:panose1 w:val="0208090404030B020404"/>
    <w:charset w:val="00"/>
    <w:family w:val="auto"/>
    <w:pitch w:val="default"/>
    <w:sig w:usb0="00000003" w:usb1="00000000" w:usb2="00000000" w:usb3="00000000" w:csb0="20000001" w:csb1="00000000"/>
  </w:font>
  <w:font w:name="Copperplate Gothic Bold">
    <w:panose1 w:val="020E0705020206020404"/>
    <w:charset w:val="00"/>
    <w:family w:val="auto"/>
    <w:pitch w:val="default"/>
    <w:sig w:usb0="00000003" w:usb1="00000000" w:usb2="00000000" w:usb3="00000000" w:csb0="20000001" w:csb1="00000000"/>
  </w:font>
  <w:font w:name="Curlz MT">
    <w:panose1 w:val="04040404050702020202"/>
    <w:charset w:val="00"/>
    <w:family w:val="auto"/>
    <w:pitch w:val="default"/>
    <w:sig w:usb0="00000003" w:usb1="00000000" w:usb2="00000000" w:usb3="00000000" w:csb0="20000001" w:csb1="00000000"/>
  </w:font>
  <w:font w:name="Edwardian Script ITC">
    <w:panose1 w:val="030303020407070D0804"/>
    <w:charset w:val="00"/>
    <w:family w:val="auto"/>
    <w:pitch w:val="default"/>
    <w:sig w:usb0="00000003" w:usb1="00000000" w:usb2="00000000" w:usb3="00000000" w:csb0="20000001"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Bold ITC">
    <w:panose1 w:val="020B09070305040202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Estrangelo Edessa">
    <w:panose1 w:val="03080600000000000000"/>
    <w:charset w:val="00"/>
    <w:family w:val="auto"/>
    <w:pitch w:val="default"/>
    <w:sig w:usb0="80006040" w:usb1="00000000" w:usb2="00000080" w:usb3="00000000" w:csb0="00000000" w:csb1="00000000"/>
  </w:font>
  <w:font w:name="Felix Titling">
    <w:panose1 w:val="04060505060202020A04"/>
    <w:charset w:val="00"/>
    <w:family w:val="auto"/>
    <w:pitch w:val="default"/>
    <w:sig w:usb0="00000003" w:usb1="00000000" w:usb2="00000000" w:usb3="00000000" w:csb0="20000001" w:csb1="00000000"/>
  </w:font>
  <w:font w:name="Franklin Gothic Medium Cond">
    <w:panose1 w:val="020B06060304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Gautami">
    <w:panose1 w:val="02000500000000000000"/>
    <w:charset w:val="00"/>
    <w:family w:val="auto"/>
    <w:pitch w:val="default"/>
    <w:sig w:usb0="00200000" w:usb1="00000000" w:usb2="00000000" w:usb3="00000000" w:csb0="00000000" w:csb1="00000000"/>
  </w:font>
  <w:font w:name="Gill Sans MT Ext Condensed Bold">
    <w:panose1 w:val="020B0902020104020203"/>
    <w:charset w:val="00"/>
    <w:family w:val="auto"/>
    <w:pitch w:val="default"/>
    <w:sig w:usb0="00000003" w:usb1="00000000" w:usb2="00000000" w:usb3="00000000" w:csb0="20000003" w:csb1="00000000"/>
  </w:font>
  <w:font w:name="Goudy Old Style">
    <w:panose1 w:val="02020502050305020303"/>
    <w:charset w:val="00"/>
    <w:family w:val="auto"/>
    <w:pitch w:val="default"/>
    <w:sig w:usb0="00000003" w:usb1="00000000" w:usb2="00000000" w:usb3="00000000" w:csb0="20000001" w:csb1="00000000"/>
  </w:font>
  <w:font w:name="Haettenschweiler">
    <w:panose1 w:val="020B0706040902060204"/>
    <w:charset w:val="00"/>
    <w:family w:val="auto"/>
    <w:pitch w:val="default"/>
    <w:sig w:usb0="00000287" w:usb1="00000000" w:usb2="00000000" w:usb3="00000000" w:csb0="2000009F" w:csb1="DFD70000"/>
  </w:font>
  <w:font w:name="High Tower Text">
    <w:panose1 w:val="02040502050506030303"/>
    <w:charset w:val="00"/>
    <w:family w:val="auto"/>
    <w:pitch w:val="default"/>
    <w:sig w:usb0="00000003" w:usb1="00000000" w:usb2="00000000" w:usb3="00000000" w:csb0="20000001" w:csb1="00000000"/>
  </w:font>
  <w:font w:name="Latha">
    <w:panose1 w:val="02000400000000000000"/>
    <w:charset w:val="00"/>
    <w:family w:val="auto"/>
    <w:pitch w:val="default"/>
    <w:sig w:usb0="00100000" w:usb1="00000000" w:usb2="00000000" w:usb3="00000000" w:csb0="00000000" w:csb1="00000000"/>
  </w:font>
  <w:font w:name="Lucida Bright">
    <w:panose1 w:val="02040602050505020304"/>
    <w:charset w:val="00"/>
    <w:family w:val="auto"/>
    <w:pitch w:val="default"/>
    <w:sig w:usb0="00000003" w:usb1="00000000" w:usb2="00000000" w:usb3="00000000" w:csb0="20000001" w:csb1="00000000"/>
  </w:font>
  <w:font w:name="Lucida Fax">
    <w:panose1 w:val="02060602050505020204"/>
    <w:charset w:val="00"/>
    <w:family w:val="auto"/>
    <w:pitch w:val="default"/>
    <w:sig w:usb0="00000003" w:usb1="00000000" w:usb2="00000000" w:usb3="00000000" w:csb0="20000001" w:csb1="00000000"/>
  </w:font>
  <w:font w:name="Lucida Handwriting">
    <w:panose1 w:val="03010101010101010101"/>
    <w:charset w:val="00"/>
    <w:family w:val="auto"/>
    <w:pitch w:val="default"/>
    <w:sig w:usb0="00000003" w:usb1="00000000" w:usb2="00000000" w:usb3="00000000" w:csb0="20000001" w:csb1="00000000"/>
  </w:font>
  <w:font w:name="Lucida Sans">
    <w:panose1 w:val="020B0602030504020204"/>
    <w:charset w:val="00"/>
    <w:family w:val="auto"/>
    <w:pitch w:val="default"/>
    <w:sig w:usb0="00000003" w:usb1="00000000" w:usb2="00000000" w:usb3="00000000" w:csb0="20000001" w:csb1="00000000"/>
  </w:font>
  <w:font w:name="Magneto">
    <w:panose1 w:val="04030805050802020D02"/>
    <w:charset w:val="00"/>
    <w:family w:val="auto"/>
    <w:pitch w:val="default"/>
    <w:sig w:usb0="00000003" w:usb1="00000000" w:usb2="00000000" w:usb3="00000000" w:csb0="20000001" w:csb1="00000000"/>
  </w:font>
  <w:font w:name="Marlett">
    <w:panose1 w:val="00000000000000000000"/>
    <w:charset w:val="00"/>
    <w:family w:val="auto"/>
    <w:pitch w:val="default"/>
    <w:sig w:usb0="00000000" w:usb1="00000000" w:usb2="00000000" w:usb3="00000000" w:csb0="80000000" w:csb1="00000000"/>
  </w:font>
  <w:font w:name="Mangal">
    <w:panose1 w:val="00000400000000000000"/>
    <w:charset w:val="00"/>
    <w:family w:val="auto"/>
    <w:pitch w:val="default"/>
    <w:sig w:usb0="00008000" w:usb1="00000000" w:usb2="00000000" w:usb3="00000000" w:csb0="00000000" w:csb1="00000000"/>
  </w:font>
  <w:font w:name="华文宋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汉仪旗黑-55">
    <w:panose1 w:val="00020600040101010101"/>
    <w:charset w:val="86"/>
    <w:family w:val="auto"/>
    <w:pitch w:val="default"/>
    <w:sig w:usb0="A00002BF" w:usb1="18EF7CFA" w:usb2="00000016" w:usb3="00000000" w:csb0="00040000" w:csb1="00000000"/>
  </w:font>
  <w:font w:name="隶书">
    <w:panose1 w:val="02010509060101010101"/>
    <w:charset w:val="86"/>
    <w:family w:val="auto"/>
    <w:pitch w:val="default"/>
    <w:sig w:usb0="00000001" w:usb1="080E0000" w:usb2="00000000" w:usb3="00000000" w:csb0="00040000" w:csb1="0000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MS PMincho">
    <w:panose1 w:val="02020600040205080304"/>
    <w:charset w:val="80"/>
    <w:family w:val="auto"/>
    <w:pitch w:val="default"/>
    <w:sig w:usb0="A00002BF" w:usb1="68C7FCFB" w:usb2="00000010" w:usb3="00000000" w:csb0="4002009F" w:csb1="DFD70000"/>
  </w:font>
  <w:font w:name="Eras Demi ITC">
    <w:panose1 w:val="020B0805030504020804"/>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Franklin Gothic Book">
    <w:panose1 w:val="020B0503020102020204"/>
    <w:charset w:val="00"/>
    <w:family w:val="auto"/>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Garamond">
    <w:panose1 w:val="02020404030301010803"/>
    <w:charset w:val="00"/>
    <w:family w:val="auto"/>
    <w:pitch w:val="default"/>
    <w:sig w:usb0="00000287" w:usb1="00000000" w:usb2="00000000" w:usb3="00000000" w:csb0="0000009F" w:csb1="DFD70000"/>
  </w:font>
  <w:font w:name="Gigi">
    <w:panose1 w:val="04040504061007020D02"/>
    <w:charset w:val="00"/>
    <w:family w:val="auto"/>
    <w:pitch w:val="default"/>
    <w:sig w:usb0="00000003" w:usb1="00000000" w:usb2="00000000" w:usb3="00000000" w:csb0="20000001"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oudy Stout">
    <w:panose1 w:val="0202090407030B020401"/>
    <w:charset w:val="00"/>
    <w:family w:val="auto"/>
    <w:pitch w:val="default"/>
    <w:sig w:usb0="00000003" w:usb1="00000000" w:usb2="00000000" w:usb3="00000000" w:csb0="20000001" w:csb1="00000000"/>
  </w:font>
  <w:font w:name="Informal Roman">
    <w:panose1 w:val="030604020304060B0204"/>
    <w:charset w:val="00"/>
    <w:family w:val="auto"/>
    <w:pitch w:val="default"/>
    <w:sig w:usb0="00000003" w:usb1="00000000" w:usb2="00000000" w:usb3="00000000" w:csb0="20000001" w:csb1="00000000"/>
  </w:font>
  <w:font w:name="Jokerman">
    <w:panose1 w:val="04090605060D06020702"/>
    <w:charset w:val="00"/>
    <w:family w:val="auto"/>
    <w:pitch w:val="default"/>
    <w:sig w:usb0="00000003" w:usb1="00000000" w:usb2="00000000" w:usb3="00000000" w:csb0="20000001" w:csb1="00000000"/>
  </w:font>
  <w:font w:name="Kunstler Script">
    <w:panose1 w:val="030304020206070D0D06"/>
    <w:charset w:val="00"/>
    <w:family w:val="auto"/>
    <w:pitch w:val="default"/>
    <w:sig w:usb0="00000003" w:usb1="00000000" w:usb2="00000000" w:usb3="00000000" w:csb0="20000001" w:csb1="00000000"/>
  </w:font>
  <w:font w:name="Lucida Calligraphy">
    <w:panose1 w:val="03010101010101010101"/>
    <w:charset w:val="00"/>
    <w:family w:val="auto"/>
    <w:pitch w:val="default"/>
    <w:sig w:usb0="00000003" w:usb1="00000000" w:usb2="00000000" w:usb3="00000000" w:csb0="20000001" w:csb1="00000000"/>
  </w:font>
  <w:font w:name="Viner Hand ITC">
    <w:panose1 w:val="03070502030502020203"/>
    <w:charset w:val="00"/>
    <w:family w:val="auto"/>
    <w:pitch w:val="default"/>
    <w:sig w:usb0="00000003" w:usb1="00000000" w:usb2="00000000" w:usb3="00000000" w:csb0="20000001" w:csb1="00000000"/>
  </w:font>
  <w:font w:name="Verdana">
    <w:panose1 w:val="020B0604030504040204"/>
    <w:charset w:val="00"/>
    <w:family w:val="auto"/>
    <w:pitch w:val="default"/>
    <w:sig w:usb0="00000287" w:usb1="00000000" w:usb2="00000000" w:usb3="00000000" w:csb0="2000019F" w:csb1="00000000"/>
  </w:font>
  <w:font w:name="Tw Cen MT Condensed Extra Bold">
    <w:panose1 w:val="020B0803020202020204"/>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D50A2E3E"/>
    <w:multiLevelType w:val="singleLevel"/>
    <w:tmpl w:val="D50A2E3E"/>
    <w:lvl w:ilvl="0" w:tentative="0">
      <w:start w:val="1"/>
      <w:numFmt w:val="chineseCounting"/>
      <w:suff w:val="nothing"/>
      <w:lvlText w:val="（%1）"/>
      <w:lvlJc w:val="left"/>
      <w:rPr>
        <w:rFonts w:hint="eastAsia"/>
      </w:rPr>
    </w:lvl>
  </w:abstractNum>
  <w:abstractNum w:abstractNumId="3">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30A23B52"/>
    <w:multiLevelType w:val="singleLevel"/>
    <w:tmpl w:val="30A23B52"/>
    <w:lvl w:ilvl="0" w:tentative="0">
      <w:start w:val="11"/>
      <w:numFmt w:val="chineseCounting"/>
      <w:suff w:val="nothing"/>
      <w:lvlText w:val="%1、"/>
      <w:lvlJc w:val="left"/>
      <w:rPr>
        <w:rFonts w:hint="eastAsia"/>
      </w:rPr>
    </w:lvl>
  </w:abstractNum>
  <w:abstractNum w:abstractNumId="5">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4"/>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WFkYzRkYjRhZmRmNGMwNTUzMDRiYjUyNTBiYTY0YTQ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1A0890"/>
    <w:rsid w:val="012C75C3"/>
    <w:rsid w:val="01424A6D"/>
    <w:rsid w:val="0150627C"/>
    <w:rsid w:val="01644A7E"/>
    <w:rsid w:val="01DD1761"/>
    <w:rsid w:val="01DD6914"/>
    <w:rsid w:val="02893B13"/>
    <w:rsid w:val="0373479A"/>
    <w:rsid w:val="04361A0E"/>
    <w:rsid w:val="04B41964"/>
    <w:rsid w:val="04E82E5D"/>
    <w:rsid w:val="04EB0D09"/>
    <w:rsid w:val="04ED174A"/>
    <w:rsid w:val="050247ED"/>
    <w:rsid w:val="056930A9"/>
    <w:rsid w:val="05784F0C"/>
    <w:rsid w:val="06C47767"/>
    <w:rsid w:val="06D27D2E"/>
    <w:rsid w:val="070A4EF7"/>
    <w:rsid w:val="08EE5446"/>
    <w:rsid w:val="09E907EB"/>
    <w:rsid w:val="0C8A1812"/>
    <w:rsid w:val="0CEF2B00"/>
    <w:rsid w:val="0CF70C02"/>
    <w:rsid w:val="0D7D2266"/>
    <w:rsid w:val="0F843554"/>
    <w:rsid w:val="0FA90872"/>
    <w:rsid w:val="10D55943"/>
    <w:rsid w:val="1185724E"/>
    <w:rsid w:val="11A825AE"/>
    <w:rsid w:val="123705B9"/>
    <w:rsid w:val="13910C45"/>
    <w:rsid w:val="14171280"/>
    <w:rsid w:val="143E419F"/>
    <w:rsid w:val="15B925CF"/>
    <w:rsid w:val="163A1270"/>
    <w:rsid w:val="169267C0"/>
    <w:rsid w:val="16D14EBA"/>
    <w:rsid w:val="175F3CA6"/>
    <w:rsid w:val="17767D2A"/>
    <w:rsid w:val="18C90755"/>
    <w:rsid w:val="19643666"/>
    <w:rsid w:val="19FB7D8E"/>
    <w:rsid w:val="1A5B6391"/>
    <w:rsid w:val="1B6943C6"/>
    <w:rsid w:val="1B9430C3"/>
    <w:rsid w:val="1BE21E6A"/>
    <w:rsid w:val="1C34414C"/>
    <w:rsid w:val="1C534DD9"/>
    <w:rsid w:val="1C7012F4"/>
    <w:rsid w:val="1CDD0DBE"/>
    <w:rsid w:val="1D1E60C4"/>
    <w:rsid w:val="1DFD5AEC"/>
    <w:rsid w:val="209B625B"/>
    <w:rsid w:val="219D5072"/>
    <w:rsid w:val="221D378B"/>
    <w:rsid w:val="22F33EED"/>
    <w:rsid w:val="24FF2336"/>
    <w:rsid w:val="25E2722C"/>
    <w:rsid w:val="27BF183D"/>
    <w:rsid w:val="28536568"/>
    <w:rsid w:val="29707C6F"/>
    <w:rsid w:val="2A37305D"/>
    <w:rsid w:val="2AD76DF3"/>
    <w:rsid w:val="2B887254"/>
    <w:rsid w:val="2C1A4849"/>
    <w:rsid w:val="2C6C3BF0"/>
    <w:rsid w:val="31EE77C5"/>
    <w:rsid w:val="31F50A29"/>
    <w:rsid w:val="33ED7470"/>
    <w:rsid w:val="343D3BEB"/>
    <w:rsid w:val="34D04D80"/>
    <w:rsid w:val="35421935"/>
    <w:rsid w:val="35A419DA"/>
    <w:rsid w:val="35B058C7"/>
    <w:rsid w:val="35D03DB1"/>
    <w:rsid w:val="365B3B1A"/>
    <w:rsid w:val="368469FD"/>
    <w:rsid w:val="3775262F"/>
    <w:rsid w:val="387F4070"/>
    <w:rsid w:val="39063762"/>
    <w:rsid w:val="399C7E17"/>
    <w:rsid w:val="39D92970"/>
    <w:rsid w:val="39FB1897"/>
    <w:rsid w:val="39FE093D"/>
    <w:rsid w:val="3A523362"/>
    <w:rsid w:val="3BBE24E2"/>
    <w:rsid w:val="3BD07B55"/>
    <w:rsid w:val="3D440195"/>
    <w:rsid w:val="3D8711AA"/>
    <w:rsid w:val="3E413ED1"/>
    <w:rsid w:val="3FAE2155"/>
    <w:rsid w:val="3FD5048F"/>
    <w:rsid w:val="41B6674C"/>
    <w:rsid w:val="42D524E0"/>
    <w:rsid w:val="448E4FD3"/>
    <w:rsid w:val="4496246A"/>
    <w:rsid w:val="45ED3300"/>
    <w:rsid w:val="45FB1E0A"/>
    <w:rsid w:val="46291965"/>
    <w:rsid w:val="46365B58"/>
    <w:rsid w:val="478819EC"/>
    <w:rsid w:val="47D755C8"/>
    <w:rsid w:val="480E1D32"/>
    <w:rsid w:val="49C945F2"/>
    <w:rsid w:val="4B3E1CAB"/>
    <w:rsid w:val="4BAC1AC0"/>
    <w:rsid w:val="4C7813AD"/>
    <w:rsid w:val="4CDA2801"/>
    <w:rsid w:val="4D183B75"/>
    <w:rsid w:val="4DA20190"/>
    <w:rsid w:val="4DF61AE9"/>
    <w:rsid w:val="4E275F1E"/>
    <w:rsid w:val="4E9B1ADE"/>
    <w:rsid w:val="4F917FC6"/>
    <w:rsid w:val="4FF35C63"/>
    <w:rsid w:val="501B68C6"/>
    <w:rsid w:val="508D27A6"/>
    <w:rsid w:val="510D0E91"/>
    <w:rsid w:val="5115798C"/>
    <w:rsid w:val="51C51D65"/>
    <w:rsid w:val="51C65ED7"/>
    <w:rsid w:val="5236524B"/>
    <w:rsid w:val="533956EC"/>
    <w:rsid w:val="55381AB4"/>
    <w:rsid w:val="56225567"/>
    <w:rsid w:val="56C7478B"/>
    <w:rsid w:val="57334510"/>
    <w:rsid w:val="579D29FC"/>
    <w:rsid w:val="57C60097"/>
    <w:rsid w:val="59156B87"/>
    <w:rsid w:val="59642F2F"/>
    <w:rsid w:val="59AA14E0"/>
    <w:rsid w:val="59DF6053"/>
    <w:rsid w:val="59E12472"/>
    <w:rsid w:val="59E52906"/>
    <w:rsid w:val="5A155A44"/>
    <w:rsid w:val="5AF554D4"/>
    <w:rsid w:val="5B0D31EC"/>
    <w:rsid w:val="5BA95F47"/>
    <w:rsid w:val="5C2F77C1"/>
    <w:rsid w:val="5C3B15B1"/>
    <w:rsid w:val="5C461FB7"/>
    <w:rsid w:val="5CB70498"/>
    <w:rsid w:val="5D1412C6"/>
    <w:rsid w:val="5E211941"/>
    <w:rsid w:val="5ED512CA"/>
    <w:rsid w:val="600E40C9"/>
    <w:rsid w:val="604E3D2F"/>
    <w:rsid w:val="62200402"/>
    <w:rsid w:val="62A55CA5"/>
    <w:rsid w:val="63277E71"/>
    <w:rsid w:val="63FE37C3"/>
    <w:rsid w:val="6468013A"/>
    <w:rsid w:val="649A6DF9"/>
    <w:rsid w:val="649C46F2"/>
    <w:rsid w:val="64B32C06"/>
    <w:rsid w:val="660D1128"/>
    <w:rsid w:val="6643017F"/>
    <w:rsid w:val="66510ADB"/>
    <w:rsid w:val="66F26570"/>
    <w:rsid w:val="68B32ADB"/>
    <w:rsid w:val="68C11600"/>
    <w:rsid w:val="69CD2AD0"/>
    <w:rsid w:val="6A387FA2"/>
    <w:rsid w:val="6B14138E"/>
    <w:rsid w:val="6B1C6BC9"/>
    <w:rsid w:val="6B2564B4"/>
    <w:rsid w:val="6B3D3082"/>
    <w:rsid w:val="6CC53310"/>
    <w:rsid w:val="6DBE2541"/>
    <w:rsid w:val="703F52A1"/>
    <w:rsid w:val="70B24544"/>
    <w:rsid w:val="711C5429"/>
    <w:rsid w:val="7166357E"/>
    <w:rsid w:val="71807BAF"/>
    <w:rsid w:val="71A9298B"/>
    <w:rsid w:val="71D57C23"/>
    <w:rsid w:val="71EE5B0E"/>
    <w:rsid w:val="72BD29C0"/>
    <w:rsid w:val="736563C5"/>
    <w:rsid w:val="73CB561A"/>
    <w:rsid w:val="742D3087"/>
    <w:rsid w:val="745B3FF9"/>
    <w:rsid w:val="748B06D6"/>
    <w:rsid w:val="75463FD1"/>
    <w:rsid w:val="75AD3069"/>
    <w:rsid w:val="762A388D"/>
    <w:rsid w:val="76526C4F"/>
    <w:rsid w:val="767307C7"/>
    <w:rsid w:val="771E7C0A"/>
    <w:rsid w:val="7789230E"/>
    <w:rsid w:val="779C1699"/>
    <w:rsid w:val="796919ED"/>
    <w:rsid w:val="797F6F0E"/>
    <w:rsid w:val="79863882"/>
    <w:rsid w:val="79DC6ADA"/>
    <w:rsid w:val="7A5C5963"/>
    <w:rsid w:val="7A6F151F"/>
    <w:rsid w:val="7A8A0B42"/>
    <w:rsid w:val="7A9C0332"/>
    <w:rsid w:val="7B0E49A9"/>
    <w:rsid w:val="7BED06EF"/>
    <w:rsid w:val="7C0B4DE9"/>
    <w:rsid w:val="7D1D18E6"/>
    <w:rsid w:val="7DC47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uiPriority w:val="0"/>
  </w:style>
  <w:style w:type="paragraph" w:styleId="4">
    <w:name w:val="annotation text"/>
    <w:basedOn w:val="1"/>
    <w:qFormat/>
    <w:uiPriority w:val="0"/>
    <w:pPr>
      <w:jc w:val="left"/>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样式3"/>
    <w:basedOn w:val="1"/>
    <w:link w:val="10"/>
    <w:qFormat/>
    <w:uiPriority w:val="99"/>
    <w:pPr>
      <w:jc w:val="center"/>
    </w:pPr>
    <w:rPr>
      <w:rFonts w:ascii="方正小标宋简体" w:hAnsi="方正小标宋简体" w:eastAsia="仿宋" w:cs="方正小标宋简体"/>
      <w:sz w:val="28"/>
      <w:szCs w:val="52"/>
    </w:rPr>
  </w:style>
  <w:style w:type="character" w:customStyle="1" w:styleId="10">
    <w:name w:val="样式3 Char"/>
    <w:basedOn w:val="7"/>
    <w:link w:val="9"/>
    <w:qFormat/>
    <w:locked/>
    <w:uiPriority w:val="99"/>
    <w:rPr>
      <w:rFonts w:ascii="方正小标宋简体" w:hAnsi="方正小标宋简体" w:eastAsia="仿宋" w:cs="方正小标宋简体"/>
      <w:kern w:val="2"/>
      <w:sz w:val="28"/>
      <w:szCs w:val="52"/>
    </w:rPr>
  </w:style>
  <w:style w:type="character" w:customStyle="1" w:styleId="11">
    <w:name w:val="页脚 字符"/>
    <w:basedOn w:val="7"/>
    <w:link w:val="5"/>
    <w:qFormat/>
    <w:uiPriority w:val="0"/>
    <w:rPr>
      <w:rFonts w:ascii="Calibri" w:hAnsi="Calibri"/>
      <w:kern w:val="2"/>
      <w:sz w:val="18"/>
      <w:szCs w:val="18"/>
    </w:rPr>
  </w:style>
  <w:style w:type="character" w:customStyle="1" w:styleId="12">
    <w:name w:val="页眉 字符"/>
    <w:basedOn w:val="7"/>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0</TotalTime>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2024-03-22T06:42:33Z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