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新乡市卫滨区统计局2024年度</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eastAsia="zh-CN"/>
        </w:rPr>
      </w:pPr>
      <w:r>
        <w:rPr>
          <w:rFonts w:hint="eastAsia" w:ascii="方正小标宋简体" w:hAnsi="方正小标宋简体" w:eastAsia="方正小标宋简体" w:cs="方正小标宋简体"/>
          <w:sz w:val="44"/>
          <w:szCs w:val="44"/>
          <w:highlight w:val="none"/>
          <w:lang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widowControl w:val="0"/>
        <w:wordWrap/>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widowControl w:val="0"/>
        <w:wordWrap/>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黑体" w:eastAsia="黑体" w:cs="黑体"/>
          <w:sz w:val="32"/>
          <w:szCs w:val="32"/>
          <w:lang w:eastAsia="zh-CN"/>
        </w:rPr>
        <w:t>统计局</w:t>
      </w:r>
      <w:r>
        <w:rPr>
          <w:rFonts w:hint="eastAsia" w:ascii="黑体" w:hAnsi="黑体" w:eastAsia="黑体" w:cs="黑体"/>
          <w:sz w:val="32"/>
          <w:szCs w:val="32"/>
        </w:rPr>
        <w:t>概况</w:t>
      </w:r>
    </w:p>
    <w:p>
      <w:pPr>
        <w:widowControl w:val="0"/>
        <w:kinsoku w:val="0"/>
        <w:wordWrap/>
        <w:overflowPunct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widowControl w:val="0"/>
        <w:kinsoku w:val="0"/>
        <w:wordWrap/>
        <w:overflowPunct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widowControl w:val="0"/>
        <w:kinsoku w:val="0"/>
        <w:wordWrap/>
        <w:overflowPunct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eastAsia="zh-CN"/>
        </w:rPr>
        <w:t>统计局</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widowControl w:val="0"/>
        <w:kinsoku w:val="0"/>
        <w:wordWrap/>
        <w:overflowPunct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widowControl w:val="0"/>
        <w:wordWrap/>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widowControl w:val="0"/>
        <w:wordWrap/>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widowControl w:val="0"/>
        <w:wordWrap/>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widowControl w:val="0"/>
        <w:wordWrap/>
        <w:adjustRightInd/>
        <w:snapToGrid/>
        <w:spacing w:line="360" w:lineRule="auto"/>
        <w:ind w:left="0" w:leftChars="0" w:right="0" w:firstLine="640" w:firstLineChars="200"/>
        <w:jc w:val="both"/>
        <w:textAlignment w:val="auto"/>
        <w:outlineLvl w:val="9"/>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widowControl w:val="0"/>
        <w:wordWrap/>
        <w:adjustRightInd/>
        <w:snapToGrid/>
        <w:spacing w:line="360" w:lineRule="auto"/>
        <w:ind w:left="0" w:leftChars="0" w:right="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widowControl w:val="0"/>
        <w:wordWrap/>
        <w:spacing w:line="360" w:lineRule="auto"/>
        <w:ind w:left="0" w:leftChars="0" w:right="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widowControl w:val="0"/>
        <w:kinsoku w:val="0"/>
        <w:wordWrap/>
        <w:overflowPunct w:val="0"/>
        <w:adjustRightInd w:val="0"/>
        <w:snapToGrid w:val="0"/>
        <w:spacing w:line="360" w:lineRule="auto"/>
        <w:ind w:left="0" w:leftChars="0" w:right="0" w:firstLine="640" w:firstLineChars="200"/>
        <w:jc w:val="both"/>
        <w:textAlignment w:val="auto"/>
        <w:outlineLvl w:val="9"/>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widowControl w:val="0"/>
        <w:kinsoku w:val="0"/>
        <w:wordWrap/>
        <w:overflowPunct w:val="0"/>
        <w:autoSpaceDE w:val="0"/>
        <w:autoSpaceDN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widowControl w:val="0"/>
        <w:kinsoku w:val="0"/>
        <w:wordWrap/>
        <w:overflowPunct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widowControl w:val="0"/>
        <w:kinsoku w:val="0"/>
        <w:wordWrap/>
        <w:overflowPunct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Times New Roman" w:eastAsia="黑体" w:cs="黑体"/>
          <w:sz w:val="32"/>
          <w:szCs w:val="32"/>
          <w:lang w:eastAsia="zh-CN"/>
        </w:rPr>
        <w:t>统计局</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eastAsia" w:ascii="仿宋_GB2312" w:hAnsi="Times New Roman" w:eastAsia="仿宋_GB2312" w:cs="仿宋_GB2312"/>
          <w:sz w:val="32"/>
          <w:szCs w:val="32"/>
        </w:rPr>
        <w:t>一、</w:t>
      </w:r>
      <w:r>
        <w:rPr>
          <w:rFonts w:hint="default" w:ascii="Times New Roman" w:hAnsi="Times New Roman" w:eastAsia="仿宋_GB2312" w:cs="Times New Roman"/>
          <w:sz w:val="32"/>
          <w:szCs w:val="32"/>
          <w:lang w:val="en-US" w:eastAsia="zh-CN"/>
        </w:rPr>
        <w:t>2024年部门收支总体情况表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w:t>
      </w:r>
      <w:r>
        <w:rPr>
          <w:rFonts w:hint="default" w:ascii="Times New Roman" w:hAnsi="Times New Roman" w:eastAsia="仿宋_GB2312" w:cs="Times New Roman"/>
          <w:sz w:val="32"/>
          <w:szCs w:val="32"/>
          <w:lang w:val="en-US" w:eastAsia="zh-CN"/>
        </w:rPr>
        <w:t>2024</w:t>
      </w:r>
      <w:r>
        <w:rPr>
          <w:rFonts w:hint="default" w:ascii="Times New Roman" w:hAnsi="Times New Roman" w:eastAsia="仿宋_GB2312" w:cs="Times New Roman"/>
          <w:sz w:val="32"/>
          <w:szCs w:val="32"/>
        </w:rPr>
        <w:t>年部门收入</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年部门支出</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年财政拨款收支总体情况表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w:t>
      </w:r>
      <w:r>
        <w:rPr>
          <w:rFonts w:hint="default" w:ascii="Times New Roman" w:hAnsi="Times New Roman" w:eastAsia="仿宋_GB2312" w:cs="Times New Roman"/>
          <w:sz w:val="32"/>
          <w:szCs w:val="32"/>
          <w:lang w:val="en-US" w:eastAsia="zh-CN"/>
        </w:rPr>
        <w:t>情况</w:t>
      </w:r>
      <w:r>
        <w:rPr>
          <w:rFonts w:hint="default" w:ascii="Times New Roman" w:hAnsi="Times New Roman" w:eastAsia="仿宋_GB2312" w:cs="Times New Roman"/>
          <w:sz w:val="32"/>
          <w:szCs w:val="32"/>
        </w:rPr>
        <w:t>表</w:t>
      </w:r>
    </w:p>
    <w:p>
      <w:pPr>
        <w:widowControl w:val="0"/>
        <w:numPr>
          <w:ilvl w:val="0"/>
          <w:numId w:val="1"/>
        </w:numPr>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2024年</w:t>
      </w:r>
      <w:r>
        <w:rPr>
          <w:rFonts w:hint="default" w:ascii="Times New Roman" w:hAnsi="Times New Roman" w:eastAsia="仿宋_GB2312" w:cs="Times New Roman"/>
          <w:sz w:val="32"/>
          <w:szCs w:val="32"/>
        </w:rPr>
        <w:t>一般公共预算基本支出表</w:t>
      </w:r>
    </w:p>
    <w:p>
      <w:pPr>
        <w:widowControl w:val="0"/>
        <w:numPr>
          <w:ilvl w:val="0"/>
          <w:numId w:val="1"/>
        </w:numPr>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年支出经济分类汇总表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年一般公共预算“三公”经费</w:t>
      </w:r>
      <w:r>
        <w:rPr>
          <w:rFonts w:hint="default" w:ascii="Times New Roman" w:hAnsi="Times New Roman" w:eastAsia="仿宋_GB2312" w:cs="Times New Roman"/>
          <w:sz w:val="32"/>
          <w:szCs w:val="32"/>
          <w:lang w:eastAsia="zh-CN"/>
        </w:rPr>
        <w:t>支出情况</w:t>
      </w:r>
      <w:r>
        <w:rPr>
          <w:rFonts w:hint="default" w:ascii="Times New Roman" w:hAnsi="Times New Roman" w:eastAsia="仿宋_GB2312" w:cs="Times New Roman"/>
          <w:sz w:val="32"/>
          <w:szCs w:val="32"/>
        </w:rPr>
        <w:t>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九、202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年政府性基金预算支出情况表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十、</w:t>
      </w:r>
      <w:r>
        <w:rPr>
          <w:rFonts w:hint="default" w:ascii="Times New Roman" w:hAnsi="Times New Roman" w:eastAsia="仿宋_GB2312" w:cs="Times New Roman"/>
          <w:sz w:val="32"/>
          <w:szCs w:val="32"/>
          <w:highlight w:val="none"/>
          <w:lang w:val="en-US" w:eastAsia="zh-CN"/>
        </w:rPr>
        <w:t>2024年</w:t>
      </w:r>
      <w:r>
        <w:rPr>
          <w:rFonts w:hint="default" w:ascii="Times New Roman" w:hAnsi="Times New Roman" w:eastAsia="仿宋_GB2312" w:cs="Times New Roman"/>
          <w:sz w:val="32"/>
          <w:szCs w:val="32"/>
          <w:highlight w:val="none"/>
          <w:lang w:eastAsia="zh-CN"/>
        </w:rPr>
        <w:t>项目支出表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十一、部门整体绩效目标表</w:t>
      </w:r>
    </w:p>
    <w:p>
      <w:pPr>
        <w:widowControl w:val="0"/>
        <w:kinsoku w:val="0"/>
        <w:wordWrap/>
        <w:overflowPunct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red"/>
        </w:rPr>
      </w:pPr>
      <w:r>
        <w:rPr>
          <w:rFonts w:hint="default" w:ascii="Times New Roman" w:hAnsi="Times New Roman" w:eastAsia="仿宋_GB2312" w:cs="Times New Roman"/>
          <w:sz w:val="32"/>
          <w:szCs w:val="32"/>
          <w:highlight w:val="none"/>
        </w:rPr>
        <w:t>十二、202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年部门预算项目绩效目标汇总表</w:t>
      </w:r>
    </w:p>
    <w:p>
      <w:pPr>
        <w:widowControl w:val="0"/>
        <w:wordWrap/>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widowControl w:val="0"/>
        <w:wordWrap/>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widowControl w:val="0"/>
        <w:wordWrap/>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widowControl w:val="0"/>
        <w:wordWrap/>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widowControl w:val="0"/>
        <w:wordWrap/>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widowControl w:val="0"/>
        <w:wordWrap/>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widowControl w:val="0"/>
        <w:wordWrap/>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widowControl w:val="0"/>
        <w:wordWrap/>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widowControl w:val="0"/>
        <w:wordWrap/>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widowControl w:val="0"/>
        <w:wordWrap/>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widowControl w:val="0"/>
        <w:wordWrap/>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widowControl w:val="0"/>
        <w:wordWrap/>
        <w:adjustRightInd w:val="0"/>
        <w:snapToGrid w:val="0"/>
        <w:spacing w:line="360" w:lineRule="auto"/>
        <w:jc w:val="center"/>
        <w:textAlignment w:val="auto"/>
        <w:rPr>
          <w:rFonts w:hint="eastAsia" w:ascii="黑体" w:hAnsi="黑体" w:eastAsia="黑体"/>
          <w:sz w:val="32"/>
          <w:szCs w:val="32"/>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eastAsia="zh-CN"/>
        </w:rPr>
        <w:t>统计局</w:t>
      </w:r>
      <w:r>
        <w:rPr>
          <w:rFonts w:hint="eastAsia" w:ascii="方正小标宋简体" w:hAnsi="方正小标宋简体" w:eastAsia="方正小标宋简体" w:cs="方正小标宋简体"/>
          <w:sz w:val="36"/>
          <w:szCs w:val="36"/>
        </w:rPr>
        <w:t>概况</w:t>
      </w:r>
    </w:p>
    <w:p>
      <w:pPr>
        <w:widowControl w:val="0"/>
        <w:numPr>
          <w:ilvl w:val="0"/>
          <w:numId w:val="2"/>
        </w:numPr>
        <w:wordWrap/>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统计局</w:t>
      </w:r>
      <w:r>
        <w:rPr>
          <w:rFonts w:hint="eastAsia" w:ascii="黑体" w:hAnsi="黑体" w:eastAsia="黑体"/>
          <w:sz w:val="32"/>
          <w:szCs w:val="32"/>
        </w:rPr>
        <w:t>主要职责</w:t>
      </w:r>
    </w:p>
    <w:p>
      <w:pPr>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（一）组织领导和协调指导全区统计工作，</w:t>
      </w:r>
      <w:r>
        <w:rPr>
          <w:rFonts w:hint="eastAsia" w:ascii="仿宋_GB2312" w:hAnsi="仿宋_GB2312" w:eastAsia="仿宋_GB2312" w:cs="仿宋_GB2312"/>
          <w:sz w:val="32"/>
          <w:szCs w:val="32"/>
        </w:rPr>
        <w:t xml:space="preserve">确保统计数据真实准确、及时；贯彻执行国家、省、市统计政策、规划、基本统计制度和统计标准，制定全区统计制度和统计标准；贯彻执行国家、省、市统计法律、法规及规章，制定部门规范性文件；负责基本单位名录库建设和维护管理。 </w:t>
      </w:r>
    </w:p>
    <w:p>
      <w:pPr>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（二）贯彻执行统计行政执法相关政策标准，</w:t>
      </w:r>
      <w:r>
        <w:rPr>
          <w:rFonts w:hint="eastAsia" w:ascii="仿宋_GB2312" w:hAnsi="仿宋_GB2312" w:eastAsia="仿宋_GB2312" w:cs="仿宋_GB2312"/>
          <w:sz w:val="32"/>
          <w:szCs w:val="32"/>
        </w:rPr>
        <w:t>负责统计违法案件查处，负责提出统计违纪违法责任人处分处理建议，承担法律法规赋予区级统计行政部门履行的其他执法职责。</w:t>
      </w:r>
    </w:p>
    <w:p>
      <w:pPr>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（三）贯彻执行国家、省、市国民经济核算制度，</w:t>
      </w:r>
      <w:r>
        <w:rPr>
          <w:rFonts w:hint="eastAsia" w:ascii="仿宋_GB2312" w:hAnsi="仿宋_GB2312" w:eastAsia="仿宋_GB2312" w:cs="仿宋_GB2312"/>
          <w:sz w:val="32"/>
          <w:szCs w:val="32"/>
        </w:rPr>
        <w:t>拟订全区国民经济核算制度，建立健全全区国民经济核算体系和统计指标体系，配合国家、省、市统计局核算全区生产总值，组织核算平原镇、各办事处生产总值。</w:t>
      </w:r>
    </w:p>
    <w:p>
      <w:pPr>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（四）会同有关部门贯彻落实全国、全省、全市重大国情国力普查计划、方案，</w:t>
      </w:r>
      <w:r>
        <w:rPr>
          <w:rFonts w:hint="eastAsia" w:ascii="仿宋_GB2312" w:hAnsi="仿宋_GB2312" w:eastAsia="仿宋_GB2312" w:cs="仿宋_GB2312"/>
          <w:sz w:val="32"/>
          <w:szCs w:val="32"/>
        </w:rPr>
        <w:t>研究拟订并组织实施我区各项普查方案，组织实施全区人口、经济、农业等国情国力普查和投入产出调查等大型专项调查，汇总、整理和提供有关国情国力方面的统计数据。</w:t>
      </w:r>
    </w:p>
    <w:p>
      <w:pPr>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五）组织实施农林牧渔业、工业、建筑业、批发和零售业、住宿和餐饮业、房地产业、装卸搬运和仓储业、互联网和相关服务、软件和信息技术服务业、租赁和商务服务业、居民服务、修理和其他服务业、文化体育和娱乐业等统计调查，</w:t>
      </w:r>
      <w:r>
        <w:rPr>
          <w:rFonts w:hint="eastAsia" w:ascii="仿宋_GB2312" w:hAnsi="仿宋_GB2312" w:eastAsia="仿宋_GB2312" w:cs="仿宋_GB2312"/>
          <w:sz w:val="32"/>
          <w:szCs w:val="32"/>
        </w:rPr>
        <w:t>组织实施能源、投资、人口、劳动工资、科技、企业创新、文化产业、社会发展基本情况、环境基本状况等统计调查，收集、汇总、整理和提供有关调查的统计数据；综合整理和提供地质勘查、资源、房屋、对外贸易、对外经济、交通运输、邮政、信息传输、财政金融税收、旅游、教育、卫生、社会保障、公用事业等全区性基本统计数据；负责卫滨区大数据决策支持平台的运行、维护和管理工作。</w:t>
      </w:r>
    </w:p>
    <w:p>
      <w:pPr>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六）组织实施规模以下工业抽样调查、规模以下工业企业成本费用调查、建筑业小微企业抽样调查、小微企业固定资产投资情况调查、规模以下企业创新调查、限额以下批发零售住宿餐饮行业抽样与问卷调查、规模以下服务业抽样调查，</w:t>
      </w:r>
      <w:r>
        <w:rPr>
          <w:rFonts w:hint="eastAsia" w:ascii="仿宋_GB2312" w:hAnsi="仿宋_GB2312" w:eastAsia="仿宋_GB2312" w:cs="仿宋_GB2312"/>
          <w:sz w:val="32"/>
          <w:szCs w:val="32"/>
        </w:rPr>
        <w:t>开展调查情况分析研究；组织实施重要统计监测评价考核和社情民意调查。</w:t>
      </w:r>
    </w:p>
    <w:p>
      <w:pPr>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（七）配合市政府及区政府各部门的经济、社会、科技等统计调查；</w:t>
      </w:r>
      <w:r>
        <w:rPr>
          <w:rFonts w:hint="eastAsia" w:ascii="仿宋_GB2312" w:hAnsi="仿宋_GB2312" w:eastAsia="仿宋_GB2312" w:cs="仿宋_GB2312"/>
          <w:sz w:val="32"/>
          <w:szCs w:val="32"/>
        </w:rPr>
        <w:t>统一核定、管理、公布全区性基本统计资料，定期发布全区国民经济和社会发展情况的统计信息。</w:t>
      </w:r>
    </w:p>
    <w:p>
      <w:pPr>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（八）对国民经济、社会发展、科技进步和资源环境等情况进行统计分析、统计预测和统计监督，</w:t>
      </w:r>
      <w:r>
        <w:rPr>
          <w:rFonts w:hint="eastAsia" w:ascii="仿宋_GB2312" w:hAnsi="仿宋_GB2312" w:eastAsia="仿宋_GB2312" w:cs="仿宋_GB2312"/>
          <w:sz w:val="32"/>
          <w:szCs w:val="32"/>
        </w:rPr>
        <w:t>向区委、区政府及有关部门提供统计信息和咨询建议。</w:t>
      </w:r>
    </w:p>
    <w:p>
      <w:pPr>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（九）负责全区统计调查项目管理；</w:t>
      </w:r>
      <w:r>
        <w:rPr>
          <w:rFonts w:hint="eastAsia" w:ascii="仿宋_GB2312" w:hAnsi="仿宋_GB2312" w:eastAsia="仿宋_GB2312" w:cs="仿宋_GB2312"/>
          <w:sz w:val="32"/>
          <w:szCs w:val="32"/>
        </w:rPr>
        <w:t>指导专业统计基础工作、统计基层业务基础建设；组织建立全区服务业统计信息共享制度和发布制度；建立健全统计数据质量审核、监控和评估制度，开展对重要统计数据的审核、监控和评估；依法监督管理涉外调查活动。</w:t>
      </w:r>
    </w:p>
    <w:p>
      <w:pPr>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（十）协助平原镇、各办事处统计机构；</w:t>
      </w:r>
      <w:r>
        <w:rPr>
          <w:rFonts w:hint="eastAsia" w:ascii="仿宋_GB2312" w:hAnsi="仿宋_GB2312" w:eastAsia="仿宋_GB2312" w:cs="仿宋_GB2312"/>
          <w:sz w:val="32"/>
          <w:szCs w:val="32"/>
        </w:rPr>
        <w:t>指导全区统计专业技术队伍建设；监督管理平原镇、各办事处统计机构由中央、省、市、区财政提供的统计经费和专项基本建设投资。</w:t>
      </w:r>
    </w:p>
    <w:p>
      <w:pPr>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（十一）建立并管理全区统计信息自动化系统和统计数据库系统，</w:t>
      </w:r>
      <w:r>
        <w:rPr>
          <w:rFonts w:hint="eastAsia" w:ascii="仿宋_GB2312" w:hAnsi="仿宋_GB2312" w:eastAsia="仿宋_GB2312" w:cs="仿宋_GB2312"/>
          <w:sz w:val="32"/>
          <w:szCs w:val="32"/>
        </w:rPr>
        <w:t>根据上级要求，组织制定本区及区政府各部门统计数据库和网络的基本标准和运行规则；指导平原镇、各办事处统计信息自动化系统建设。</w:t>
      </w:r>
    </w:p>
    <w:p>
      <w:pPr>
        <w:widowControl w:val="0"/>
        <w:numPr>
          <w:ilvl w:val="0"/>
          <w:numId w:val="0"/>
        </w:numPr>
        <w:adjustRightInd w:val="0"/>
        <w:snapToGrid w:val="0"/>
        <w:spacing w:line="360" w:lineRule="auto"/>
        <w:jc w:val="both"/>
        <w:rPr>
          <w:rFonts w:hint="eastAsia" w:ascii="Times New Roman" w:hAnsi="Times New Roman" w:eastAsia="黑体"/>
          <w:sz w:val="32"/>
          <w:szCs w:val="32"/>
        </w:rPr>
      </w:pP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（十二）完成区委、区政府交办的其他任务。</w:t>
      </w:r>
    </w:p>
    <w:p>
      <w:pPr>
        <w:pStyle w:val="7"/>
        <w:widowControl w:val="0"/>
        <w:wordWrap/>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highlight w:val="none"/>
          <w:lang w:eastAsia="zh-CN"/>
        </w:rPr>
        <w:t>统计局</w:t>
      </w:r>
      <w:r>
        <w:rPr>
          <w:rFonts w:hint="eastAsia" w:ascii="黑体" w:hAnsi="黑体" w:eastAsia="黑体"/>
          <w:sz w:val="32"/>
          <w:szCs w:val="32"/>
          <w:highlight w:val="none"/>
          <w:lang w:eastAsia="zh-CN"/>
        </w:rPr>
        <w:t>部门</w:t>
      </w:r>
      <w:r>
        <w:rPr>
          <w:rFonts w:hint="eastAsia" w:ascii="黑体" w:hAnsi="黑体" w:eastAsia="黑体"/>
          <w:sz w:val="32"/>
          <w:szCs w:val="32"/>
          <w:highlight w:val="none"/>
        </w:rPr>
        <w:t>构成</w:t>
      </w:r>
    </w:p>
    <w:p>
      <w:pPr>
        <w:widowControl w:val="0"/>
        <w:wordWrap/>
        <w:spacing w:line="360" w:lineRule="auto"/>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新乡市卫滨区统计</w:t>
      </w:r>
      <w:r>
        <w:rPr>
          <w:rFonts w:hint="eastAsia" w:ascii="仿宋_GB2312" w:hAnsi="仿宋_GB2312" w:eastAsia="仿宋_GB2312" w:cs="仿宋_GB2312"/>
          <w:sz w:val="32"/>
          <w:szCs w:val="32"/>
        </w:rPr>
        <w:t>局</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年度部门预算</w:t>
      </w:r>
      <w:r>
        <w:rPr>
          <w:rFonts w:hint="eastAsia" w:ascii="仿宋_GB2312" w:hAnsi="仿宋_GB2312" w:eastAsia="仿宋_GB2312" w:cs="仿宋_GB2312"/>
          <w:sz w:val="32"/>
          <w:szCs w:val="32"/>
          <w:lang w:eastAsia="zh-CN"/>
        </w:rPr>
        <w:t>只有本级。</w:t>
      </w:r>
    </w:p>
    <w:p>
      <w:pPr>
        <w:ind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新乡市卫滨区</w:t>
      </w:r>
      <w:r>
        <w:rPr>
          <w:rFonts w:hint="eastAsia" w:ascii="仿宋_GB2312" w:hAnsi="仿宋_GB2312" w:eastAsia="仿宋_GB2312" w:cs="仿宋_GB2312"/>
          <w:sz w:val="32"/>
          <w:szCs w:val="32"/>
          <w:lang w:eastAsia="zh-CN"/>
        </w:rPr>
        <w:t>统计</w:t>
      </w:r>
      <w:r>
        <w:rPr>
          <w:rFonts w:hint="eastAsia" w:ascii="仿宋_GB2312" w:hAnsi="仿宋_GB2312" w:eastAsia="仿宋_GB2312" w:cs="仿宋_GB2312"/>
          <w:sz w:val="32"/>
          <w:szCs w:val="32"/>
        </w:rPr>
        <w:t>局</w:t>
      </w:r>
      <w:r>
        <w:rPr>
          <w:rFonts w:hint="eastAsia" w:ascii="仿宋_GB2312" w:hAnsi="仿宋_GB2312" w:eastAsia="仿宋_GB2312" w:cs="仿宋_GB2312"/>
          <w:sz w:val="32"/>
          <w:szCs w:val="32"/>
          <w:lang w:eastAsia="zh-CN"/>
        </w:rPr>
        <w:t>内设机构</w:t>
      </w:r>
      <w:r>
        <w:rPr>
          <w:rFonts w:hint="default"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lang w:val="en-US" w:eastAsia="zh-CN"/>
        </w:rPr>
        <w:t>个，包括</w:t>
      </w:r>
      <w:r>
        <w:rPr>
          <w:rFonts w:hint="eastAsia" w:ascii="仿宋_GB2312" w:hAnsi="仿宋_GB2312" w:eastAsia="仿宋_GB2312" w:cs="仿宋_GB2312"/>
          <w:sz w:val="32"/>
          <w:szCs w:val="32"/>
          <w:lang w:eastAsia="zh-CN"/>
        </w:rPr>
        <w:t>：</w:t>
      </w:r>
      <w:r>
        <w:rPr>
          <w:rFonts w:ascii="Times New Roman" w:hAnsi="Times New Roman" w:eastAsia="仿宋_GB2312"/>
          <w:sz w:val="32"/>
          <w:szCs w:val="32"/>
        </w:rPr>
        <w:t>办公室（统计执法监督股）</w:t>
      </w:r>
      <w:r>
        <w:rPr>
          <w:rFonts w:hint="eastAsia" w:ascii="仿宋_GB2312" w:hAnsi="仿宋_GB2312" w:eastAsia="仿宋_GB2312" w:cs="仿宋_GB2312"/>
          <w:sz w:val="32"/>
          <w:szCs w:val="32"/>
          <w:lang w:val="en-US" w:eastAsia="zh-CN"/>
        </w:rPr>
        <w:t>、</w:t>
      </w:r>
      <w:r>
        <w:rPr>
          <w:rFonts w:ascii="Times New Roman" w:hAnsi="Times New Roman" w:eastAsia="仿宋_GB2312"/>
          <w:sz w:val="32"/>
          <w:szCs w:val="32"/>
        </w:rPr>
        <w:t>统计股</w:t>
      </w:r>
      <w:r>
        <w:rPr>
          <w:rFonts w:hint="eastAsia" w:ascii="Times New Roman" w:hAnsi="Times New Roman" w:eastAsia="仿宋_GB2312"/>
          <w:sz w:val="32"/>
          <w:szCs w:val="32"/>
          <w:lang w:eastAsia="zh-CN"/>
        </w:rPr>
        <w:t>。</w:t>
      </w:r>
    </w:p>
    <w:p>
      <w:pPr>
        <w:widowControl w:val="0"/>
        <w:wordWrap/>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w:t>
      </w:r>
      <w:r>
        <w:rPr>
          <w:rFonts w:hint="eastAsia" w:ascii="仿宋_GB2312" w:hAnsi="仿宋_GB2312" w:eastAsia="仿宋_GB2312" w:cs="仿宋_GB2312"/>
          <w:sz w:val="32"/>
          <w:szCs w:val="32"/>
          <w:lang w:eastAsia="zh-CN"/>
        </w:rPr>
        <w:t>本部门</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年度部门预算编制范围的单位</w:t>
      </w:r>
      <w:r>
        <w:rPr>
          <w:rFonts w:hint="eastAsia" w:ascii="仿宋_GB2312" w:hAnsi="仿宋_GB2312" w:eastAsia="仿宋_GB2312" w:cs="仿宋_GB2312"/>
          <w:sz w:val="32"/>
          <w:szCs w:val="32"/>
          <w:lang w:eastAsia="zh-CN"/>
        </w:rPr>
        <w:t>共</w:t>
      </w:r>
      <w:r>
        <w:rPr>
          <w:rFonts w:hint="default"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lang w:val="en-US" w:eastAsia="zh-CN"/>
        </w:rPr>
        <w:t>个，其中二级机构</w:t>
      </w: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个，具体是</w:t>
      </w:r>
      <w:r>
        <w:rPr>
          <w:rFonts w:hint="eastAsia" w:ascii="仿宋_GB2312" w:hAnsi="仿宋_GB2312" w:eastAsia="仿宋_GB2312" w:cs="仿宋_GB2312"/>
          <w:sz w:val="32"/>
          <w:szCs w:val="32"/>
        </w:rPr>
        <w:t>：</w:t>
      </w:r>
    </w:p>
    <w:p>
      <w:pPr>
        <w:widowControl w:val="0"/>
        <w:numPr>
          <w:ilvl w:val="0"/>
          <w:numId w:val="3"/>
        </w:numPr>
        <w:wordWrap/>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新乡市卫滨区统计</w:t>
      </w:r>
      <w:r>
        <w:rPr>
          <w:rFonts w:hint="eastAsia" w:ascii="仿宋_GB2312" w:hAnsi="仿宋_GB2312" w:eastAsia="仿宋_GB2312" w:cs="仿宋_GB2312"/>
          <w:sz w:val="32"/>
          <w:szCs w:val="32"/>
        </w:rPr>
        <w:t>局本级</w:t>
      </w:r>
    </w:p>
    <w:p>
      <w:pPr>
        <w:widowControl w:val="0"/>
        <w:numPr>
          <w:ilvl w:val="0"/>
          <w:numId w:val="3"/>
        </w:numPr>
        <w:wordWrap/>
        <w:spacing w:line="360" w:lineRule="auto"/>
        <w:ind w:firstLine="640" w:firstLineChars="200"/>
        <w:jc w:val="left"/>
        <w:textAlignment w:val="auto"/>
        <w:rPr>
          <w:rFonts w:hint="eastAsia" w:ascii="黑体" w:hAnsi="Times New Roman" w:eastAsia="黑体" w:cs="黑体"/>
          <w:sz w:val="32"/>
          <w:szCs w:val="32"/>
        </w:rPr>
      </w:pPr>
      <w:r>
        <w:rPr>
          <w:rFonts w:hint="eastAsia" w:ascii="仿宋_GB2312" w:hAnsi="仿宋_GB2312" w:eastAsia="仿宋_GB2312" w:cs="仿宋_GB2312"/>
          <w:sz w:val="32"/>
          <w:szCs w:val="32"/>
          <w:lang w:eastAsia="zh-CN"/>
        </w:rPr>
        <w:t>新乡市卫滨区统计调查队（不独立核算）</w:t>
      </w:r>
    </w:p>
    <w:p>
      <w:pPr>
        <w:widowControl w:val="0"/>
        <w:wordWrap/>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widowControl w:val="0"/>
        <w:wordWrap/>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widowControl w:val="0"/>
        <w:wordWrap/>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eastAsia="zh-CN"/>
        </w:rPr>
        <w:t>统计局</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年度部门预算情况说明</w:t>
      </w:r>
    </w:p>
    <w:p>
      <w:pPr>
        <w:widowControl w:val="0"/>
        <w:wordWrap/>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widowControl w:val="0"/>
        <w:wordWrap/>
        <w:spacing w:line="36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eastAsia="仿宋_GB2312"/>
          <w:sz w:val="32"/>
          <w:szCs w:val="32"/>
          <w:highlight w:val="none"/>
          <w:lang w:eastAsia="zh-CN"/>
        </w:rPr>
        <w:t>新乡市卫滨区统计局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205.38</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205.38</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增加</w:t>
      </w:r>
      <w:r>
        <w:rPr>
          <w:rFonts w:hint="default" w:ascii="Times New Roman" w:hAnsi="Times New Roman" w:eastAsia="仿宋_GB2312" w:cs="Times New Roman"/>
          <w:sz w:val="32"/>
          <w:szCs w:val="32"/>
          <w:lang w:val="en-US" w:eastAsia="zh-CN"/>
        </w:rPr>
        <w:t>52.59</w:t>
      </w:r>
      <w:r>
        <w:rPr>
          <w:rFonts w:hint="eastAsia" w:ascii="仿宋_GB2312" w:hAnsi="仿宋_GB2312" w:eastAsia="仿宋_GB2312" w:cs="仿宋_GB2312"/>
          <w:sz w:val="32"/>
          <w:szCs w:val="32"/>
        </w:rPr>
        <w:t>万元，增长</w:t>
      </w:r>
      <w:r>
        <w:rPr>
          <w:rFonts w:hint="default" w:ascii="Times New Roman" w:hAnsi="Times New Roman" w:eastAsia="仿宋_GB2312" w:cs="Times New Roman"/>
          <w:sz w:val="32"/>
          <w:szCs w:val="32"/>
          <w:lang w:val="en-US" w:eastAsia="zh-CN"/>
        </w:rPr>
        <w:t>34.42</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eastAsia="zh-CN"/>
        </w:rPr>
        <w:t>一是有上年结转的第五次全国经济普查“两员”报酬补助资金；二是有上年结转的</w:t>
      </w:r>
      <w:r>
        <w:rPr>
          <w:rFonts w:hint="default" w:ascii="Times New Roman" w:hAnsi="Times New Roman" w:eastAsia="仿宋_GB2312" w:cs="Times New Roman"/>
          <w:sz w:val="32"/>
          <w:szCs w:val="32"/>
          <w:lang w:val="en-US" w:eastAsia="zh-CN"/>
        </w:rPr>
        <w:t>2022</w:t>
      </w:r>
      <w:r>
        <w:rPr>
          <w:rFonts w:hint="eastAsia" w:ascii="仿宋_GB2312" w:hAnsi="仿宋_GB2312" w:eastAsia="仿宋_GB2312" w:cs="仿宋_GB2312"/>
          <w:sz w:val="32"/>
          <w:szCs w:val="32"/>
          <w:lang w:val="en-US" w:eastAsia="zh-CN"/>
        </w:rPr>
        <w:t>年“四上”企业及建筑企业统计工作奖励资金;</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增加</w:t>
      </w:r>
      <w:r>
        <w:rPr>
          <w:rFonts w:hint="default" w:ascii="Times New Roman" w:hAnsi="Times New Roman" w:eastAsia="仿宋_GB2312" w:cs="Times New Roman"/>
          <w:sz w:val="32"/>
          <w:szCs w:val="32"/>
          <w:lang w:val="en-US" w:eastAsia="zh-CN"/>
        </w:rPr>
        <w:t>52.59</w:t>
      </w:r>
      <w:r>
        <w:rPr>
          <w:rFonts w:hint="eastAsia" w:ascii="仿宋_GB2312" w:hAnsi="仿宋_GB2312" w:eastAsia="仿宋_GB2312" w:cs="仿宋_GB2312"/>
          <w:sz w:val="32"/>
          <w:szCs w:val="32"/>
        </w:rPr>
        <w:t>万元，增长</w:t>
      </w:r>
      <w:r>
        <w:rPr>
          <w:rFonts w:hint="default" w:ascii="Times New Roman" w:hAnsi="Times New Roman" w:eastAsia="仿宋_GB2312" w:cs="Times New Roman"/>
          <w:sz w:val="32"/>
          <w:szCs w:val="32"/>
          <w:lang w:val="en-US" w:eastAsia="zh-CN"/>
        </w:rPr>
        <w:t>34.42</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eastAsia="zh-CN"/>
        </w:rPr>
        <w:t>一是有上年结转的第五次全国经济普查“两员”报酬补助资金；二是有上年结转的</w:t>
      </w:r>
      <w:r>
        <w:rPr>
          <w:rFonts w:hint="default" w:ascii="Times New Roman" w:hAnsi="Times New Roman" w:eastAsia="仿宋_GB2312" w:cs="Times New Roman"/>
          <w:sz w:val="32"/>
          <w:szCs w:val="32"/>
          <w:lang w:val="en-US" w:eastAsia="zh-CN"/>
        </w:rPr>
        <w:t>2022</w:t>
      </w:r>
      <w:r>
        <w:rPr>
          <w:rFonts w:hint="eastAsia" w:ascii="仿宋_GB2312" w:hAnsi="仿宋_GB2312" w:eastAsia="仿宋_GB2312" w:cs="仿宋_GB2312"/>
          <w:sz w:val="32"/>
          <w:szCs w:val="32"/>
          <w:lang w:val="en-US" w:eastAsia="zh-CN"/>
        </w:rPr>
        <w:t>年“四上”企业及建筑企业统计工作奖励资金。</w:t>
      </w:r>
    </w:p>
    <w:p>
      <w:pPr>
        <w:widowControl w:val="0"/>
        <w:wordWrap/>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widowControl w:val="0"/>
        <w:wordWrap/>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新乡市卫滨区统计局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205.38</w:t>
      </w:r>
      <w:r>
        <w:rPr>
          <w:rFonts w:hint="eastAsia" w:ascii="仿宋_GB2312" w:hAnsi="仿宋_GB2312" w:eastAsia="仿宋_GB2312" w:cs="仿宋_GB2312"/>
          <w:sz w:val="32"/>
          <w:szCs w:val="32"/>
        </w:rPr>
        <w:t>万元，收入预算总计增加</w:t>
      </w:r>
      <w:r>
        <w:rPr>
          <w:rFonts w:hint="default" w:ascii="Times New Roman" w:hAnsi="Times New Roman" w:eastAsia="仿宋_GB2312" w:cs="Times New Roman"/>
          <w:sz w:val="32"/>
          <w:szCs w:val="32"/>
          <w:lang w:val="en-US" w:eastAsia="zh-CN"/>
        </w:rPr>
        <w:t>52.59</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增长</w:t>
      </w:r>
      <w:r>
        <w:rPr>
          <w:rFonts w:hint="default" w:ascii="Times New Roman" w:hAnsi="Times New Roman" w:eastAsia="仿宋_GB2312" w:cs="Times New Roman"/>
          <w:color w:val="000000"/>
          <w:sz w:val="32"/>
          <w:szCs w:val="32"/>
          <w:lang w:val="en-US" w:eastAsia="zh-CN"/>
        </w:rPr>
        <w:t>34.42</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，原因</w:t>
      </w:r>
      <w:r>
        <w:rPr>
          <w:rFonts w:hint="eastAsia" w:ascii="仿宋_GB2312" w:hAnsi="仿宋_GB2312" w:eastAsia="仿宋_GB2312" w:cs="仿宋_GB2312"/>
          <w:sz w:val="32"/>
          <w:szCs w:val="32"/>
          <w:lang w:eastAsia="zh-CN"/>
        </w:rPr>
        <w:t>一是有上年结转的第五次全国经济普查“两员”报酬补助资金；二是有上年结转的</w:t>
      </w:r>
      <w:r>
        <w:rPr>
          <w:rFonts w:hint="default" w:ascii="Times New Roman" w:hAnsi="Times New Roman" w:eastAsia="仿宋_GB2312" w:cs="Times New Roman"/>
          <w:sz w:val="32"/>
          <w:szCs w:val="32"/>
          <w:lang w:val="en-US" w:eastAsia="zh-CN"/>
        </w:rPr>
        <w:t>2022</w:t>
      </w:r>
      <w:r>
        <w:rPr>
          <w:rFonts w:hint="eastAsia" w:ascii="仿宋_GB2312" w:hAnsi="仿宋_GB2312" w:eastAsia="仿宋_GB2312" w:cs="仿宋_GB2312"/>
          <w:sz w:val="32"/>
          <w:szCs w:val="32"/>
          <w:lang w:val="en-US" w:eastAsia="zh-CN"/>
        </w:rPr>
        <w:t>年“四上”企业及建筑企业统计工作奖励资金</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168.92</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36.46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widowControl w:val="0"/>
        <w:wordWrap/>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widowControl w:val="0"/>
        <w:wordWrap/>
        <w:spacing w:line="360" w:lineRule="auto"/>
        <w:ind w:firstLine="640" w:firstLineChars="200"/>
        <w:textAlignment w:val="auto"/>
        <w:rPr>
          <w:rFonts w:hint="eastAsia" w:ascii="仿宋_GB2312" w:hAnsi="仿宋_GB2312" w:eastAsia="仿宋_GB2312" w:cs="仿宋_GB2312"/>
          <w:sz w:val="32"/>
          <w:szCs w:val="32"/>
          <w:highlight w:val="red"/>
        </w:rPr>
      </w:pPr>
      <w:r>
        <w:rPr>
          <w:rFonts w:hint="eastAsia" w:ascii="仿宋_GB2312" w:eastAsia="仿宋_GB2312"/>
          <w:sz w:val="32"/>
          <w:szCs w:val="32"/>
          <w:highlight w:val="none"/>
          <w:lang w:eastAsia="zh-CN"/>
        </w:rPr>
        <w:t>新乡市卫滨区统计局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205.38</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143.19</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69.72</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62.19</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30.28</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widowControl w:val="0"/>
        <w:wordWrap/>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highlight w:val="none"/>
          <w:lang w:eastAsia="zh-CN"/>
        </w:rPr>
        <w:t>新乡市卫滨区统计局</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205.38</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万元。与</w:t>
      </w:r>
      <w:r>
        <w:rPr>
          <w:rFonts w:hint="default" w:ascii="Times New Roman" w:hAnsi="Times New Roman" w:eastAsia="仿宋_GB2312" w:cs="Times New Roman"/>
          <w:b w:val="0"/>
          <w:bCs w:val="0"/>
          <w:sz w:val="32"/>
          <w:szCs w:val="32"/>
        </w:rPr>
        <w:t>20</w:t>
      </w:r>
      <w:r>
        <w:rPr>
          <w:rFonts w:hint="default" w:ascii="Times New Roman" w:hAnsi="Times New Roman" w:eastAsia="仿宋_GB2312" w:cs="Times New Roman"/>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年相比，一般公共预算收支预算增加</w:t>
      </w:r>
      <w:r>
        <w:rPr>
          <w:rFonts w:hint="default" w:ascii="Times New Roman" w:hAnsi="Times New Roman" w:eastAsia="仿宋_GB2312" w:cs="Times New Roman"/>
          <w:b w:val="0"/>
          <w:bCs w:val="0"/>
          <w:sz w:val="32"/>
          <w:szCs w:val="32"/>
          <w:lang w:val="en-US" w:eastAsia="zh-CN"/>
        </w:rPr>
        <w:t>52.59</w:t>
      </w:r>
      <w:r>
        <w:rPr>
          <w:rFonts w:hint="eastAsia" w:ascii="仿宋_GB2312" w:hAnsi="仿宋_GB2312" w:eastAsia="仿宋_GB2312" w:cs="仿宋_GB2312"/>
          <w:b w:val="0"/>
          <w:bCs w:val="0"/>
          <w:sz w:val="32"/>
          <w:szCs w:val="32"/>
        </w:rPr>
        <w:t>万元，增长</w:t>
      </w:r>
      <w:r>
        <w:rPr>
          <w:rFonts w:hint="default" w:ascii="Times New Roman" w:hAnsi="Times New Roman" w:eastAsia="仿宋_GB2312" w:cs="Times New Roman"/>
          <w:b w:val="0"/>
          <w:bCs w:val="0"/>
          <w:sz w:val="32"/>
          <w:szCs w:val="32"/>
          <w:lang w:val="en-US" w:eastAsia="zh-CN"/>
        </w:rPr>
        <w:t>34.42</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w:t>
      </w:r>
      <w:r>
        <w:rPr>
          <w:rFonts w:hint="eastAsia" w:ascii="仿宋_GB2312" w:hAnsi="仿宋_GB2312" w:eastAsia="仿宋_GB2312" w:cs="仿宋_GB2312"/>
          <w:sz w:val="32"/>
          <w:szCs w:val="32"/>
          <w:lang w:eastAsia="zh-CN"/>
        </w:rPr>
        <w:t>一是有上年结转的第五次全国经济普查“两员”报酬补助资金；二是有上年结转的</w:t>
      </w:r>
      <w:r>
        <w:rPr>
          <w:rFonts w:hint="default" w:ascii="Times New Roman" w:hAnsi="Times New Roman" w:eastAsia="仿宋_GB2312" w:cs="Times New Roman"/>
          <w:sz w:val="32"/>
          <w:szCs w:val="32"/>
          <w:lang w:val="en-US" w:eastAsia="zh-CN"/>
        </w:rPr>
        <w:t>2022</w:t>
      </w:r>
      <w:r>
        <w:rPr>
          <w:rFonts w:hint="eastAsia" w:ascii="仿宋_GB2312" w:hAnsi="仿宋_GB2312" w:eastAsia="仿宋_GB2312" w:cs="仿宋_GB2312"/>
          <w:sz w:val="32"/>
          <w:szCs w:val="32"/>
          <w:lang w:val="en-US" w:eastAsia="zh-CN"/>
        </w:rPr>
        <w:t>年“四上”企业及建筑企业统计工作奖励资金</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sz w:val="32"/>
          <w:szCs w:val="32"/>
        </w:rPr>
        <w:t>政府性基金收支预算与</w:t>
      </w:r>
      <w:r>
        <w:rPr>
          <w:rFonts w:hint="eastAsia" w:ascii="Times New Roman" w:hAnsi="Times New Roman" w:eastAsia="仿宋_GB2312"/>
          <w:sz w:val="32"/>
          <w:szCs w:val="32"/>
          <w:lang w:eastAsia="zh-CN"/>
        </w:rPr>
        <w:t>上</w:t>
      </w:r>
      <w:r>
        <w:rPr>
          <w:rFonts w:hint="eastAsia" w:ascii="仿宋_GB2312" w:hAnsi="仿宋_GB2312" w:eastAsia="仿宋_GB2312" w:cs="仿宋_GB2312"/>
          <w:sz w:val="32"/>
          <w:szCs w:val="32"/>
        </w:rPr>
        <w:t>年保持一致，主要是</w:t>
      </w:r>
      <w:r>
        <w:rPr>
          <w:rFonts w:hint="eastAsia" w:ascii="Times New Roman" w:hAnsi="Times New Roman" w:eastAsia="仿宋_GB2312" w:cs="Courier New"/>
          <w:sz w:val="32"/>
          <w:szCs w:val="32"/>
        </w:rPr>
        <w:t>无政府性基金</w:t>
      </w:r>
      <w:r>
        <w:rPr>
          <w:rFonts w:hint="eastAsia" w:ascii="仿宋_GB2312" w:hAnsi="仿宋_GB2312" w:eastAsia="仿宋_GB2312" w:cs="仿宋_GB2312"/>
          <w:sz w:val="32"/>
          <w:szCs w:val="32"/>
        </w:rPr>
        <w:t>。</w:t>
      </w:r>
    </w:p>
    <w:p>
      <w:pPr>
        <w:widowControl w:val="0"/>
        <w:wordWrap/>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rPr>
        <w:t>五、一般公共预算支出预算情况说明</w:t>
      </w:r>
    </w:p>
    <w:p>
      <w:pPr>
        <w:widowControl w:val="0"/>
        <w:wordWrap/>
        <w:spacing w:line="360" w:lineRule="auto"/>
        <w:ind w:firstLine="640" w:firstLineChars="200"/>
        <w:textAlignment w:val="auto"/>
        <w:rPr>
          <w:rFonts w:hint="eastAsia" w:ascii="仿宋_GB2312" w:eastAsia="仿宋_GB2312"/>
          <w:b w:val="0"/>
          <w:bCs w:val="0"/>
          <w:sz w:val="32"/>
          <w:szCs w:val="32"/>
        </w:rPr>
      </w:pPr>
      <w:r>
        <w:rPr>
          <w:rFonts w:hint="eastAsia" w:ascii="Times New Roman" w:hAnsi="Times New Roman" w:eastAsia="仿宋_GB2312" w:cs="Times New Roman"/>
          <w:sz w:val="32"/>
          <w:szCs w:val="32"/>
          <w:lang w:eastAsia="zh-CN"/>
        </w:rPr>
        <w:t>新乡市卫滨区统计局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168.92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143.19</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84.77</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25.73</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15.23</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w:t>
      </w:r>
      <w:r>
        <w:rPr>
          <w:rFonts w:hint="eastAsia" w:ascii="仿宋_GB2312" w:hAnsi="仿宋_GB2312" w:eastAsia="仿宋_GB2312" w:cs="仿宋_GB2312"/>
          <w:sz w:val="32"/>
          <w:szCs w:val="32"/>
        </w:rPr>
        <w:t>一般公共服务（类）支出</w:t>
      </w:r>
      <w:r>
        <w:rPr>
          <w:rFonts w:hint="eastAsia" w:ascii="Times New Roman" w:hAnsi="Times New Roman" w:eastAsia="仿宋_GB2312"/>
          <w:sz w:val="32"/>
          <w:szCs w:val="32"/>
          <w:lang w:val="en-US" w:eastAsia="zh-CN"/>
        </w:rPr>
        <w:t>170.83</w:t>
      </w:r>
      <w:r>
        <w:rPr>
          <w:rFonts w:hint="eastAsia" w:ascii="仿宋_GB2312" w:hAnsi="仿宋_GB2312" w:eastAsia="仿宋_GB2312" w:cs="仿宋_GB2312"/>
          <w:sz w:val="32"/>
          <w:szCs w:val="32"/>
        </w:rPr>
        <w:t>万元，占</w:t>
      </w:r>
      <w:r>
        <w:rPr>
          <w:rFonts w:hint="eastAsia" w:ascii="Times New Roman" w:hAnsi="Times New Roman" w:eastAsia="仿宋_GB2312"/>
          <w:sz w:val="32"/>
          <w:szCs w:val="32"/>
          <w:lang w:val="en-US" w:eastAsia="zh-CN"/>
        </w:rPr>
        <w:t>101.13</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lang w:val="en-US" w:eastAsia="zh-CN"/>
        </w:rPr>
        <w:t>社会保障和就业（类）支出</w:t>
      </w:r>
      <w:r>
        <w:rPr>
          <w:rFonts w:hint="default" w:ascii="Times New Roman" w:hAnsi="Times New Roman" w:eastAsia="仿宋_GB2312" w:cs="Times New Roman"/>
          <w:sz w:val="32"/>
          <w:szCs w:val="32"/>
          <w:highlight w:val="none"/>
          <w:lang w:val="en-US" w:eastAsia="zh-CN"/>
        </w:rPr>
        <w:t>15.41</w:t>
      </w:r>
      <w:r>
        <w:rPr>
          <w:rFonts w:hint="eastAsia" w:ascii="仿宋_GB2312" w:hAnsi="仿宋_GB2312" w:eastAsia="仿宋_GB2312" w:cs="仿宋_GB2312"/>
          <w:sz w:val="32"/>
          <w:szCs w:val="32"/>
          <w:highlight w:val="none"/>
          <w:lang w:val="en-US" w:eastAsia="zh-CN"/>
        </w:rPr>
        <w:t>万元，占</w:t>
      </w:r>
      <w:r>
        <w:rPr>
          <w:rFonts w:hint="default" w:ascii="Times New Roman" w:hAnsi="Times New Roman" w:eastAsia="仿宋_GB2312" w:cs="Times New Roman"/>
          <w:sz w:val="32"/>
          <w:szCs w:val="32"/>
          <w:highlight w:val="none"/>
          <w:lang w:val="en-US" w:eastAsia="zh-CN"/>
        </w:rPr>
        <w:t>9.12</w:t>
      </w:r>
      <w:r>
        <w:rPr>
          <w:rFonts w:hint="eastAsia" w:ascii="仿宋_GB2312" w:hAnsi="仿宋_GB2312" w:eastAsia="仿宋_GB2312" w:cs="仿宋_GB2312"/>
          <w:sz w:val="32"/>
          <w:szCs w:val="32"/>
          <w:highlight w:val="none"/>
          <w:lang w:val="en-US" w:eastAsia="zh-CN"/>
        </w:rPr>
        <w:t>%；卫生健康（类）支出</w:t>
      </w:r>
      <w:r>
        <w:rPr>
          <w:rFonts w:hint="default" w:ascii="Times New Roman" w:hAnsi="Times New Roman" w:eastAsia="仿宋_GB2312" w:cs="Times New Roman"/>
          <w:sz w:val="32"/>
          <w:szCs w:val="32"/>
          <w:highlight w:val="none"/>
          <w:lang w:val="en-US" w:eastAsia="zh-CN"/>
        </w:rPr>
        <w:t>7.49</w:t>
      </w:r>
      <w:r>
        <w:rPr>
          <w:rFonts w:hint="eastAsia" w:ascii="仿宋_GB2312" w:hAnsi="仿宋_GB2312" w:eastAsia="仿宋_GB2312" w:cs="仿宋_GB2312"/>
          <w:sz w:val="32"/>
          <w:szCs w:val="32"/>
          <w:highlight w:val="none"/>
          <w:lang w:val="en-US" w:eastAsia="zh-CN"/>
        </w:rPr>
        <w:t>万元，占</w:t>
      </w:r>
      <w:r>
        <w:rPr>
          <w:rFonts w:hint="default" w:ascii="Times New Roman" w:hAnsi="Times New Roman" w:eastAsia="仿宋_GB2312" w:cs="Times New Roman"/>
          <w:b w:val="0"/>
          <w:bCs w:val="0"/>
          <w:sz w:val="32"/>
          <w:szCs w:val="32"/>
          <w:highlight w:val="none"/>
          <w:lang w:val="en-US" w:eastAsia="zh-CN"/>
        </w:rPr>
        <w:t>4.43</w:t>
      </w:r>
      <w:r>
        <w:rPr>
          <w:rFonts w:hint="eastAsia" w:ascii="仿宋_GB2312" w:hAnsi="仿宋_GB2312" w:eastAsia="仿宋_GB2312" w:cs="仿宋_GB2312"/>
          <w:b w:val="0"/>
          <w:bCs w:val="0"/>
          <w:sz w:val="32"/>
          <w:szCs w:val="32"/>
          <w:highlight w:val="none"/>
          <w:lang w:val="en-US" w:eastAsia="zh-CN"/>
        </w:rPr>
        <w:t>%；住房保障（类）支出</w:t>
      </w:r>
      <w:r>
        <w:rPr>
          <w:rFonts w:hint="default" w:ascii="Times New Roman" w:hAnsi="Times New Roman" w:eastAsia="仿宋_GB2312" w:cs="Times New Roman"/>
          <w:b w:val="0"/>
          <w:bCs w:val="0"/>
          <w:sz w:val="32"/>
          <w:szCs w:val="32"/>
          <w:highlight w:val="none"/>
          <w:lang w:val="en-US" w:eastAsia="zh-CN"/>
        </w:rPr>
        <w:t>11.65</w:t>
      </w:r>
      <w:r>
        <w:rPr>
          <w:rFonts w:hint="eastAsia" w:ascii="仿宋_GB2312" w:hAnsi="仿宋_GB2312" w:eastAsia="仿宋_GB2312" w:cs="仿宋_GB2312"/>
          <w:b w:val="0"/>
          <w:bCs w:val="0"/>
          <w:sz w:val="32"/>
          <w:szCs w:val="32"/>
          <w:highlight w:val="none"/>
          <w:lang w:val="en-US" w:eastAsia="zh-CN"/>
        </w:rPr>
        <w:t>万元，占</w:t>
      </w:r>
      <w:r>
        <w:rPr>
          <w:rFonts w:hint="default" w:ascii="Times New Roman" w:hAnsi="Times New Roman" w:eastAsia="仿宋_GB2312" w:cs="Times New Roman"/>
          <w:b w:val="0"/>
          <w:bCs w:val="0"/>
          <w:sz w:val="32"/>
          <w:szCs w:val="32"/>
          <w:highlight w:val="none"/>
          <w:lang w:val="en-US" w:eastAsia="zh-CN"/>
        </w:rPr>
        <w:t>6.9</w:t>
      </w:r>
      <w:r>
        <w:rPr>
          <w:rFonts w:hint="eastAsia" w:ascii="Times New Roman" w:hAnsi="Times New Roman" w:eastAsia="仿宋_GB2312" w:cs="Times New Roman"/>
          <w:b w:val="0"/>
          <w:bCs w:val="0"/>
          <w:sz w:val="32"/>
          <w:szCs w:val="32"/>
          <w:highlight w:val="none"/>
          <w:lang w:val="en-US" w:eastAsia="zh-CN"/>
        </w:rPr>
        <w:t>0</w:t>
      </w:r>
      <w:r>
        <w:rPr>
          <w:rFonts w:hint="eastAsia" w:ascii="仿宋_GB2312" w:hAnsi="仿宋_GB2312" w:eastAsia="仿宋_GB2312" w:cs="仿宋_GB2312"/>
          <w:b w:val="0"/>
          <w:bCs w:val="0"/>
          <w:sz w:val="32"/>
          <w:szCs w:val="32"/>
          <w:highlight w:val="none"/>
          <w:lang w:val="en-US" w:eastAsia="zh-CN"/>
        </w:rPr>
        <w:t>%。</w:t>
      </w:r>
      <w:r>
        <w:rPr>
          <w:rFonts w:hint="eastAsia" w:ascii="仿宋_GB2312" w:hAnsi="宋体" w:eastAsia="仿宋_GB2312" w:cs="Courier New"/>
          <w:b w:val="0"/>
          <w:bCs w:val="0"/>
          <w:sz w:val="32"/>
          <w:szCs w:val="32"/>
        </w:rPr>
        <w:t xml:space="preserve"> </w:t>
      </w:r>
    </w:p>
    <w:p>
      <w:pPr>
        <w:widowControl w:val="0"/>
        <w:wordWrap/>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widowControl w:val="0"/>
        <w:wordWrap/>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新乡市卫滨区统计局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143.19</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136.68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95.45</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主要包括：基本工资、津贴补贴、奖金、绩效工资、机关事业单位基本养老保险缴费、职工基本医疗保险缴费、住房公积金、退休费；</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val="0"/>
          <w:bCs/>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6.51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4.55</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主要包括：办公费、工会经费、其他交通费用、其他商品和服务支出。</w:t>
      </w:r>
    </w:p>
    <w:p>
      <w:pPr>
        <w:widowControl w:val="0"/>
        <w:wordWrap/>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25.73</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25.73</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w:t>
      </w:r>
    </w:p>
    <w:p>
      <w:pPr>
        <w:widowControl w:val="0"/>
        <w:wordWrap/>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widowControl w:val="0"/>
        <w:wordWrap/>
        <w:spacing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eastAsia="仿宋_GB2312"/>
          <w:sz w:val="32"/>
          <w:szCs w:val="32"/>
          <w:highlight w:val="none"/>
          <w:lang w:eastAsia="zh-CN"/>
        </w:rPr>
        <w:t>新乡市卫滨区统计局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w:t>
      </w:r>
      <w:r>
        <w:rPr>
          <w:rFonts w:hint="eastAsia" w:ascii="仿宋_GB2312" w:hAnsi="宋体" w:eastAsia="仿宋_GB2312" w:cs="Courier New"/>
          <w:sz w:val="32"/>
          <w:szCs w:val="32"/>
          <w:highlight w:val="none"/>
        </w:rPr>
        <w:t>无使用政府性基金预算拨款安排的支出</w:t>
      </w:r>
      <w:r>
        <w:rPr>
          <w:rFonts w:hint="eastAsia" w:ascii="仿宋_GB2312" w:hAnsi="宋体" w:eastAsia="仿宋_GB2312" w:cs="Courier New"/>
          <w:sz w:val="32"/>
          <w:szCs w:val="32"/>
          <w:highlight w:val="none"/>
          <w:lang w:eastAsia="zh-CN"/>
        </w:rPr>
        <w:t>，</w:t>
      </w:r>
      <w:r>
        <w:rPr>
          <w:rFonts w:hint="eastAsia" w:ascii="仿宋_GB2312" w:hAnsi="仿宋_GB2312" w:eastAsia="仿宋_GB2312" w:cs="仿宋_GB2312"/>
          <w:sz w:val="32"/>
          <w:szCs w:val="32"/>
          <w:highlight w:val="none"/>
          <w:lang w:val="en-US" w:eastAsia="zh-CN"/>
        </w:rPr>
        <w:t>年初预算为</w:t>
      </w:r>
      <w:r>
        <w:rPr>
          <w:rFonts w:hint="default"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 xml:space="preserve"> 万元。</w:t>
      </w:r>
    </w:p>
    <w:p>
      <w:pPr>
        <w:widowControl w:val="0"/>
        <w:wordWrap/>
        <w:spacing w:line="360" w:lineRule="auto"/>
        <w:ind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八、 “三公”经费支出预算情况说明</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Times New Roman" w:hAnsi="Times New Roman" w:eastAsia="仿宋_GB2312" w:cs="Times New Roman"/>
          <w:sz w:val="32"/>
          <w:szCs w:val="32"/>
          <w:lang w:eastAsia="zh-CN"/>
        </w:rPr>
        <w:t>新乡市卫滨区统计局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宋体" w:eastAsia="仿宋_GB2312" w:cs="Courier New"/>
          <w:sz w:val="32"/>
          <w:szCs w:val="32"/>
        </w:rPr>
        <w:t>年“三公”经费支出预算数与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w:t>
      </w:r>
    </w:p>
    <w:p>
      <w:pPr>
        <w:widowControl w:val="0"/>
        <w:kinsoku w:val="0"/>
        <w:wordWrap/>
        <w:overflowPunct w:val="0"/>
        <w:autoSpaceDE w:val="0"/>
        <w:autoSpaceDN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560" w:lineRule="exact"/>
        <w:ind w:firstLine="636" w:firstLineChars="200"/>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w:t>
      </w:r>
      <w:r>
        <w:rPr>
          <w:rFonts w:hint="eastAsia" w:ascii="仿宋_GB2312" w:hAnsi="宋体" w:eastAsia="仿宋_GB2312" w:cs="Courier New"/>
          <w:sz w:val="32"/>
          <w:szCs w:val="32"/>
          <w:lang w:eastAsia="zh-CN"/>
        </w:rPr>
        <w:t>，</w:t>
      </w:r>
      <w:r>
        <w:rPr>
          <w:rFonts w:hint="eastAsia" w:ascii="仿宋_GB2312" w:hAnsi="宋体" w:eastAsia="仿宋_GB2312" w:cs="Courier New"/>
          <w:sz w:val="32"/>
          <w:szCs w:val="32"/>
        </w:rPr>
        <w:t>主要原因是</w:t>
      </w:r>
      <w:r>
        <w:rPr>
          <w:rFonts w:hint="eastAsia" w:ascii="Times New Roman" w:hAnsi="Times New Roman" w:eastAsia="仿宋_GB2312" w:cs="Courier New"/>
          <w:sz w:val="32"/>
          <w:szCs w:val="32"/>
        </w:rPr>
        <w:t>无因公出国（境）费支出</w:t>
      </w:r>
      <w:r>
        <w:rPr>
          <w:rFonts w:hint="eastAsia" w:ascii="仿宋_GB2312" w:hAnsi="宋体" w:eastAsia="仿宋_GB2312" w:cs="Courier New"/>
          <w:sz w:val="32"/>
          <w:szCs w:val="32"/>
        </w:rPr>
        <w:t>。</w:t>
      </w:r>
    </w:p>
    <w:p>
      <w:pPr>
        <w:widowControl w:val="0"/>
        <w:kinsoku w:val="0"/>
        <w:wordWrap/>
        <w:overflowPunct w:val="0"/>
        <w:autoSpaceDE w:val="0"/>
        <w:autoSpaceDN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sz w:val="32"/>
          <w:szCs w:val="32"/>
        </w:rPr>
        <w:t>0</w:t>
      </w:r>
      <w:r>
        <w:rPr>
          <w:rFonts w:hint="eastAsia" w:ascii="仿宋_GB2312" w:hAnsi="宋体" w:eastAsia="仿宋_GB2312" w:cs="Courier New"/>
          <w:sz w:val="32"/>
          <w:szCs w:val="32"/>
        </w:rPr>
        <w:t>万元；公务用车运行维护费</w:t>
      </w:r>
      <w:r>
        <w:rPr>
          <w:rFonts w:hint="eastAsia" w:ascii="Times New Roman" w:hAnsi="Times New Roman" w:eastAsia="黑体"/>
          <w:sz w:val="32"/>
          <w:szCs w:val="32"/>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万元，主要用于开展工作所需公务用车的燃料费、维修费、过路过桥费、保险费、安全奖励费用等支出。公务用车购置费预算数与</w:t>
      </w:r>
      <w:r>
        <w:rPr>
          <w:rFonts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 xml:space="preserve"> 年保持一致，主要原因是</w:t>
      </w:r>
      <w:r>
        <w:rPr>
          <w:rFonts w:hint="eastAsia" w:ascii="Times New Roman" w:hAnsi="Times New Roman" w:eastAsia="仿宋_GB2312" w:cs="Courier New"/>
          <w:sz w:val="32"/>
          <w:szCs w:val="32"/>
        </w:rPr>
        <w:t>无公务用车购置费支出</w:t>
      </w:r>
      <w:r>
        <w:rPr>
          <w:rFonts w:hint="eastAsia" w:ascii="仿宋_GB2312" w:hAnsi="宋体" w:eastAsia="仿宋_GB2312" w:cs="Courier New"/>
          <w:sz w:val="32"/>
          <w:szCs w:val="32"/>
        </w:rPr>
        <w:t>。公务用车运行维护费预算数与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w:t>
      </w:r>
      <w:r>
        <w:rPr>
          <w:rFonts w:hint="eastAsia" w:ascii="仿宋_GB2312" w:hAnsi="宋体" w:eastAsia="仿宋_GB2312" w:cs="Courier New"/>
          <w:spacing w:val="-6"/>
          <w:sz w:val="32"/>
          <w:szCs w:val="32"/>
        </w:rPr>
        <w:t>，主要原因是</w:t>
      </w:r>
      <w:r>
        <w:rPr>
          <w:rFonts w:hint="eastAsia" w:ascii="Times New Roman" w:hAnsi="Times New Roman" w:eastAsia="仿宋_GB2312" w:cs="Courier New"/>
          <w:spacing w:val="-6"/>
          <w:sz w:val="32"/>
          <w:szCs w:val="32"/>
        </w:rPr>
        <w:t>无公务用车运行维护费支</w:t>
      </w:r>
      <w:r>
        <w:rPr>
          <w:rFonts w:hint="eastAsia" w:ascii="Times New Roman" w:hAnsi="Times New Roman" w:eastAsia="仿宋_GB2312" w:cs="Courier New"/>
          <w:sz w:val="32"/>
          <w:szCs w:val="32"/>
        </w:rPr>
        <w:t>出</w:t>
      </w:r>
      <w:r>
        <w:rPr>
          <w:rFonts w:hint="eastAsia" w:ascii="仿宋_GB2312" w:hAnsi="宋体" w:eastAsia="仿宋_GB2312" w:cs="Courier New"/>
          <w:sz w:val="32"/>
          <w:szCs w:val="32"/>
        </w:rPr>
        <w:t>。</w:t>
      </w:r>
    </w:p>
    <w:p>
      <w:pPr>
        <w:kinsoku w:val="0"/>
        <w:overflowPunct w:val="0"/>
        <w:autoSpaceDE w:val="0"/>
        <w:autoSpaceDN w:val="0"/>
        <w:adjustRightInd w:val="0"/>
        <w:snapToGrid w:val="0"/>
        <w:spacing w:line="560" w:lineRule="exact"/>
        <w:ind w:firstLine="636" w:firstLineChars="200"/>
        <w:rPr>
          <w:rFonts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年保持一致,主要原因是</w:t>
      </w:r>
      <w:r>
        <w:rPr>
          <w:rFonts w:hint="eastAsia" w:ascii="Times New Roman" w:hAnsi="Times New Roman" w:eastAsia="仿宋_GB2312" w:cs="Courier New"/>
          <w:sz w:val="32"/>
          <w:szCs w:val="32"/>
        </w:rPr>
        <w:t>无公务接待费支出</w:t>
      </w:r>
      <w:r>
        <w:rPr>
          <w:rFonts w:hint="eastAsia" w:ascii="仿宋_GB2312" w:hAnsi="宋体" w:eastAsia="仿宋_GB2312" w:cs="Courier New"/>
          <w:sz w:val="32"/>
          <w:szCs w:val="32"/>
        </w:rPr>
        <w:t>。</w:t>
      </w:r>
    </w:p>
    <w:p>
      <w:pPr>
        <w:widowControl w:val="0"/>
        <w:kinsoku w:val="0"/>
        <w:wordWrap/>
        <w:overflowPunct w:val="0"/>
        <w:autoSpaceDE w:val="0"/>
        <w:autoSpaceDN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楷体" w:hAnsi="楷体" w:eastAsia="楷体" w:cs="Courier New"/>
          <w:sz w:val="32"/>
          <w:szCs w:val="32"/>
          <w:highlight w:val="none"/>
        </w:rPr>
      </w:pPr>
      <w:r>
        <w:rPr>
          <w:rFonts w:hint="eastAsia" w:ascii="楷体" w:hAnsi="楷体" w:eastAsia="楷体" w:cs="仿宋_GB2312"/>
          <w:kern w:val="0"/>
          <w:sz w:val="32"/>
          <w:szCs w:val="32"/>
          <w:highlight w:val="none"/>
        </w:rPr>
        <w:t>（一）行政（事业）单位机构运转经费</w:t>
      </w:r>
    </w:p>
    <w:p>
      <w:pPr>
        <w:widowControl w:val="0"/>
        <w:kinsoku w:val="0"/>
        <w:wordWrap/>
        <w:overflowPunct w:val="0"/>
        <w:autoSpaceDE w:val="0"/>
        <w:autoSpaceDN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Times New Roman" w:hAnsi="Times New Roman" w:eastAsia="仿宋_GB2312" w:cs="Times New Roman"/>
          <w:sz w:val="32"/>
          <w:szCs w:val="32"/>
          <w:lang w:eastAsia="zh-CN"/>
        </w:rPr>
        <w:t>新乡市卫滨区统计局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6.51</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w:t>
      </w:r>
      <w:r>
        <w:rPr>
          <w:rFonts w:hint="eastAsia" w:ascii="仿宋_GB2312" w:hAnsi="宋体" w:eastAsia="仿宋_GB2312" w:cs="Courier New"/>
          <w:sz w:val="32"/>
          <w:szCs w:val="32"/>
          <w:lang w:eastAsia="zh-CN"/>
        </w:rPr>
        <w:t>工会经费、其他交通费用、其他商品和服务支出</w:t>
      </w:r>
      <w:r>
        <w:rPr>
          <w:rFonts w:hint="eastAsia" w:ascii="仿宋_GB2312" w:eastAsia="仿宋_GB2312"/>
          <w:sz w:val="32"/>
          <w:szCs w:val="32"/>
          <w:highlight w:val="none"/>
        </w:rPr>
        <w:t>。</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widowControl w:val="0"/>
        <w:numPr>
          <w:ilvl w:val="0"/>
          <w:numId w:val="4"/>
        </w:numPr>
        <w:kinsoku w:val="0"/>
        <w:wordWrap/>
        <w:overflowPunct w:val="0"/>
        <w:autoSpaceDE w:val="0"/>
        <w:autoSpaceDN w:val="0"/>
        <w:adjustRightInd w:val="0"/>
        <w:snapToGrid w:val="0"/>
        <w:spacing w:line="360" w:lineRule="auto"/>
        <w:ind w:firstLine="640" w:firstLineChars="200"/>
        <w:textAlignment w:val="auto"/>
        <w:rPr>
          <w:rFonts w:hint="eastAsia" w:ascii="仿宋_GB2312" w:hAnsi="Times New Roman" w:eastAsia="仿宋_GB2312" w:cs="黑体"/>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widowControl w:val="0"/>
        <w:numPr>
          <w:ilvl w:val="0"/>
          <w:numId w:val="0"/>
        </w:numPr>
        <w:kinsoku w:val="0"/>
        <w:wordWrap/>
        <w:overflowPunct w:val="0"/>
        <w:autoSpaceDE w:val="0"/>
        <w:autoSpaceDN w:val="0"/>
        <w:adjustRightInd w:val="0"/>
        <w:snapToGrid w:val="0"/>
        <w:spacing w:line="360" w:lineRule="auto"/>
        <w:textAlignment w:val="auto"/>
        <w:rPr>
          <w:rFonts w:hint="eastAsia" w:ascii="仿宋_GB2312" w:hAnsi="Times New Roman" w:eastAsia="仿宋_GB2312" w:cs="黑体"/>
          <w:sz w:val="32"/>
          <w:szCs w:val="32"/>
        </w:rPr>
      </w:pPr>
      <w:r>
        <w:rPr>
          <w:rFonts w:hint="eastAsia" w:ascii="楷体" w:hAnsi="楷体" w:eastAsia="楷体" w:cs="仿宋_GB2312"/>
          <w:kern w:val="0"/>
          <w:sz w:val="32"/>
          <w:szCs w:val="32"/>
          <w:lang w:val="en-US" w:eastAsia="zh-CN"/>
        </w:rPr>
        <w:t xml:space="preserve">    </w:t>
      </w: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部门</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highlight w:val="none"/>
          <w:lang w:val="en-US" w:eastAsia="zh-CN"/>
        </w:rPr>
        <w:t>我部门</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lang w:val="en-US" w:eastAsia="zh-CN"/>
        </w:rPr>
        <w:t>年未开展重点项目预算的绩效目标。</w:t>
      </w:r>
    </w:p>
    <w:p>
      <w:pPr>
        <w:widowControl w:val="0"/>
        <w:numPr>
          <w:ilvl w:val="0"/>
          <w:numId w:val="0"/>
        </w:numPr>
        <w:kinsoku w:val="0"/>
        <w:wordWrap/>
        <w:overflowPunct w:val="0"/>
        <w:autoSpaceDE w:val="0"/>
        <w:autoSpaceDN w:val="0"/>
        <w:adjustRightInd w:val="0"/>
        <w:snapToGrid w:val="0"/>
        <w:spacing w:line="360" w:lineRule="auto"/>
        <w:ind w:firstLine="640" w:firstLineChars="200"/>
        <w:textAlignment w:val="auto"/>
        <w:rPr>
          <w:rFonts w:hint="eastAsia" w:ascii="仿宋_GB2312" w:hAnsi="宋体" w:eastAsia="仿宋_GB2312" w:cs="Courier New"/>
          <w:sz w:val="32"/>
          <w:szCs w:val="32"/>
          <w:highlight w:val="yellow"/>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2</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23.01</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5</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62.19</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6.93</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下降</w:t>
      </w:r>
      <w:r>
        <w:rPr>
          <w:rFonts w:hint="eastAsia" w:ascii="Times New Roman" w:hAnsi="Times New Roman" w:eastAsia="仿宋_GB2312" w:cs="Times New Roman"/>
          <w:color w:val="000000"/>
          <w:sz w:val="32"/>
          <w:szCs w:val="32"/>
          <w:lang w:val="en-US" w:eastAsia="zh-CN"/>
        </w:rPr>
        <w:t>18.66</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36.97</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lang w:eastAsia="zh-CN"/>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新增固定资产</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宋体" w:eastAsia="仿宋_GB2312" w:cs="Courier New"/>
          <w:sz w:val="32"/>
          <w:szCs w:val="32"/>
          <w:lang w:eastAsia="zh-CN"/>
        </w:rPr>
        <w:t>新乡市卫滨区统计局</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单位无车辆</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lang w:eastAsia="zh-CN"/>
        </w:rPr>
        <w:t>新乡市卫滨区统计局</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宋体" w:eastAsia="仿宋_GB2312" w:cs="Courier New"/>
          <w:sz w:val="32"/>
          <w:szCs w:val="32"/>
          <w:lang w:eastAsia="zh-CN"/>
        </w:rPr>
        <w:t>新乡市卫滨区统计局</w:t>
      </w:r>
      <w:r>
        <w:rPr>
          <w:rFonts w:hint="eastAsia" w:ascii="仿宋_GB2312" w:hAnsi="宋体" w:eastAsia="仿宋_GB2312" w:cs="Courier New"/>
          <w:sz w:val="32"/>
          <w:szCs w:val="32"/>
          <w:highlight w:val="none"/>
          <w:lang w:eastAsia="zh-CN"/>
        </w:rPr>
        <w:t>《支出经济分类汇总表》从</w:t>
      </w:r>
      <w:r>
        <w:rPr>
          <w:rFonts w:hint="default" w:ascii="Times New Roman" w:hAnsi="Times New Roman" w:eastAsia="仿宋_GB2312" w:cs="Times New Roman"/>
          <w:sz w:val="32"/>
          <w:szCs w:val="32"/>
          <w:highlight w:val="none"/>
          <w:lang w:eastAsia="zh-CN"/>
        </w:rPr>
        <w:t>2018</w:t>
      </w:r>
      <w:r>
        <w:rPr>
          <w:rFonts w:hint="eastAsia" w:ascii="仿宋_GB2312" w:hAnsi="宋体" w:eastAsia="仿宋_GB2312" w:cs="Courier New"/>
          <w:sz w:val="32"/>
          <w:szCs w:val="32"/>
          <w:highlight w:val="none"/>
          <w:lang w:eastAsia="zh-CN"/>
        </w:rPr>
        <w:t>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widowControl w:val="0"/>
        <w:numPr>
          <w:ilvl w:val="0"/>
          <w:numId w:val="5"/>
        </w:numPr>
        <w:kinsoku w:val="0"/>
        <w:wordWrap/>
        <w:overflowPunct w:val="0"/>
        <w:autoSpaceDE w:val="0"/>
        <w:autoSpaceDN w:val="0"/>
        <w:adjustRightInd w:val="0"/>
        <w:snapToGrid w:val="0"/>
        <w:spacing w:line="360" w:lineRule="auto"/>
        <w:ind w:firstLine="640" w:firstLineChars="200"/>
        <w:textAlignment w:val="auto"/>
        <w:rPr>
          <w:rFonts w:hint="default" w:ascii="楷体_GB2312" w:hAnsi="楷体_GB2312" w:eastAsia="楷体_GB2312" w:cs="楷体_GB2312"/>
          <w:sz w:val="32"/>
          <w:szCs w:val="32"/>
          <w:highlight w:val="none"/>
          <w:lang w:val="en-US"/>
        </w:rPr>
      </w:pPr>
      <w:r>
        <w:rPr>
          <w:rFonts w:hint="eastAsia" w:ascii="楷体_GB2312" w:hAnsi="楷体_GB2312" w:eastAsia="楷体_GB2312" w:cs="楷体_GB2312"/>
          <w:sz w:val="32"/>
          <w:szCs w:val="32"/>
          <w:highlight w:val="none"/>
        </w:rPr>
        <w:t>专项转移支付项目情况</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highlight w:val="none"/>
          <w:lang w:eastAsia="zh-CN"/>
        </w:rPr>
        <w:t>新乡市卫滨区统计局</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w:t>
      </w:r>
      <w:r>
        <w:rPr>
          <w:rFonts w:hint="eastAsia" w:ascii="仿宋_GB2312" w:hAnsi="宋体" w:eastAsia="仿宋_GB2312" w:cs="Courier New"/>
          <w:sz w:val="32"/>
          <w:szCs w:val="32"/>
          <w:highlight w:val="none"/>
          <w:lang w:eastAsia="zh-CN"/>
        </w:rPr>
        <w:t>。</w:t>
      </w:r>
      <w:r>
        <w:rPr>
          <w:rFonts w:hint="eastAsia" w:ascii="仿宋_GB2312" w:hAnsi="宋体" w:eastAsia="仿宋_GB2312" w:cs="Courier New"/>
          <w:sz w:val="32"/>
          <w:szCs w:val="32"/>
          <w:highlight w:val="none"/>
        </w:rPr>
        <w:t>我</w:t>
      </w:r>
      <w:r>
        <w:rPr>
          <w:rFonts w:hint="eastAsia" w:ascii="仿宋_GB2312" w:hAnsi="宋体" w:eastAsia="仿宋_GB2312" w:cs="Courier New"/>
          <w:sz w:val="32"/>
          <w:szCs w:val="32"/>
          <w:highlight w:val="none"/>
          <w:lang w:val="en-US" w:eastAsia="zh-CN"/>
        </w:rPr>
        <w:t>部门</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wordWrap/>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widowControl w:val="0"/>
        <w:wordWrap/>
        <w:adjustRightInd w:val="0"/>
        <w:snapToGrid w:val="0"/>
        <w:spacing w:line="360" w:lineRule="auto"/>
        <w:jc w:val="center"/>
        <w:textAlignment w:val="auto"/>
        <w:rPr>
          <w:rFonts w:hint="eastAsia" w:ascii="黑体" w:hAnsi="黑体" w:eastAsia="黑体"/>
          <w:sz w:val="32"/>
          <w:szCs w:val="32"/>
        </w:rPr>
      </w:pPr>
    </w:p>
    <w:p>
      <w:pPr>
        <w:widowControl w:val="0"/>
        <w:kinsoku w:val="0"/>
        <w:wordWrap/>
        <w:overflowPunct w:val="0"/>
        <w:autoSpaceDE w:val="0"/>
        <w:autoSpaceDN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widowControl w:val="0"/>
        <w:kinsoku w:val="0"/>
        <w:wordWrap/>
        <w:overflowPunct w:val="0"/>
        <w:autoSpaceDE w:val="0"/>
        <w:autoSpaceDN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widowControl w:val="0"/>
        <w:kinsoku w:val="0"/>
        <w:wordWrap/>
        <w:overflowPunct w:val="0"/>
        <w:autoSpaceDE w:val="0"/>
        <w:autoSpaceDN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widowControl w:val="0"/>
        <w:kinsoku w:val="0"/>
        <w:wordWrap/>
        <w:overflowPunct w:val="0"/>
        <w:autoSpaceDE w:val="0"/>
        <w:autoSpaceDN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widowControl w:val="0"/>
        <w:kinsoku w:val="0"/>
        <w:wordWrap/>
        <w:overflowPunct w:val="0"/>
        <w:autoSpaceDE w:val="0"/>
        <w:autoSpaceDN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widowControl w:val="0"/>
        <w:kinsoku w:val="0"/>
        <w:wordWrap/>
        <w:overflowPunct w:val="0"/>
        <w:autoSpaceDE w:val="0"/>
        <w:autoSpaceDN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val="0"/>
        <w:kinsoku w:val="0"/>
        <w:wordWrap/>
        <w:overflowPunct w:val="0"/>
        <w:autoSpaceDE w:val="0"/>
        <w:autoSpaceDN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widowControl w:val="0"/>
        <w:kinsoku w:val="0"/>
        <w:wordWrap/>
        <w:overflowPunct w:val="0"/>
        <w:adjustRightInd w:val="0"/>
        <w:snapToGrid w:val="0"/>
        <w:spacing w:line="360" w:lineRule="auto"/>
        <w:textAlignment w:val="auto"/>
        <w:rPr>
          <w:rFonts w:hint="eastAsia" w:ascii="黑体" w:hAnsi="Times New Roman" w:eastAsia="黑体" w:cs="黑体"/>
          <w:sz w:val="32"/>
          <w:szCs w:val="32"/>
        </w:rPr>
      </w:pPr>
    </w:p>
    <w:p>
      <w:pPr>
        <w:widowControl w:val="0"/>
        <w:kinsoku w:val="0"/>
        <w:wordWrap/>
        <w:overflowPunct w:val="0"/>
        <w:adjustRightInd w:val="0"/>
        <w:snapToGrid w:val="0"/>
        <w:spacing w:line="360" w:lineRule="auto"/>
        <w:textAlignment w:val="auto"/>
        <w:rPr>
          <w:rFonts w:hint="eastAsia" w:ascii="黑体" w:hAnsi="Times New Roman" w:eastAsia="黑体" w:cs="黑体"/>
          <w:sz w:val="32"/>
          <w:szCs w:val="32"/>
        </w:rPr>
      </w:pPr>
    </w:p>
    <w:p>
      <w:pPr>
        <w:widowControl w:val="0"/>
        <w:kinsoku w:val="0"/>
        <w:wordWrap/>
        <w:overflowPunct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widowControl w:val="0"/>
        <w:kinsoku w:val="0"/>
        <w:wordWrap/>
        <w:overflowPunct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统计局</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92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080"/>
        <w:gridCol w:w="1540"/>
        <w:gridCol w:w="3080"/>
        <w:gridCol w:w="15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新乡市卫滨区统计局</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168.92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170.83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vAlign w:val="center"/>
          </w:tcPr>
          <w:p>
            <w:pPr>
              <w:widowControl/>
              <w:wordWrap/>
              <w:jc w:val="center"/>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168.92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15.41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7.49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168.92</w:t>
            </w:r>
          </w:p>
        </w:tc>
        <w:tc>
          <w:tcPr>
            <w:tcW w:w="30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205.38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36.46</w:t>
            </w: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205.38</w:t>
            </w:r>
          </w:p>
        </w:tc>
        <w:tc>
          <w:tcPr>
            <w:tcW w:w="30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205.38</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156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690"/>
        <w:gridCol w:w="750"/>
        <w:gridCol w:w="495"/>
        <w:gridCol w:w="630"/>
        <w:gridCol w:w="840"/>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部门名称： </w:t>
            </w:r>
            <w:r>
              <w:rPr>
                <w:rFonts w:hint="eastAsia" w:ascii="宋体" w:hAnsi="宋体" w:cs="宋体"/>
                <w:kern w:val="0"/>
                <w:sz w:val="18"/>
                <w:szCs w:val="18"/>
                <w:highlight w:val="none"/>
                <w:lang w:eastAsia="zh-CN"/>
              </w:rPr>
              <w:t>新乡市卫滨区统计局</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220" w:type="dxa"/>
            <w:gridSpan w:val="11"/>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140"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5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69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75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4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63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84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73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9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5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4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82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205.38</w:t>
            </w:r>
          </w:p>
        </w:tc>
        <w:tc>
          <w:tcPr>
            <w:tcW w:w="82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168.92</w:t>
            </w:r>
          </w:p>
        </w:tc>
        <w:tc>
          <w:tcPr>
            <w:tcW w:w="8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168.92</w:t>
            </w:r>
          </w:p>
        </w:tc>
        <w:tc>
          <w:tcPr>
            <w:tcW w:w="8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168.92</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69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36.46</w:t>
            </w:r>
          </w:p>
        </w:tc>
        <w:tc>
          <w:tcPr>
            <w:tcW w:w="75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36.46</w:t>
            </w:r>
          </w:p>
        </w:tc>
        <w:tc>
          <w:tcPr>
            <w:tcW w:w="49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63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8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3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022</w:t>
            </w:r>
          </w:p>
        </w:tc>
        <w:tc>
          <w:tcPr>
            <w:tcW w:w="246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新乡市卫滨区统计局</w:t>
            </w:r>
          </w:p>
        </w:tc>
        <w:tc>
          <w:tcPr>
            <w:tcW w:w="82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205.38</w:t>
            </w:r>
          </w:p>
        </w:tc>
        <w:tc>
          <w:tcPr>
            <w:tcW w:w="82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168.92</w:t>
            </w:r>
          </w:p>
        </w:tc>
        <w:tc>
          <w:tcPr>
            <w:tcW w:w="8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168.92</w:t>
            </w:r>
          </w:p>
        </w:tc>
        <w:tc>
          <w:tcPr>
            <w:tcW w:w="8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168.92</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69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36.46</w:t>
            </w:r>
          </w:p>
        </w:tc>
        <w:tc>
          <w:tcPr>
            <w:tcW w:w="75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36.46</w:t>
            </w:r>
          </w:p>
        </w:tc>
        <w:tc>
          <w:tcPr>
            <w:tcW w:w="49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63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8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3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960" w:type="dxa"/>
            <w:vMerge w:val="restart"/>
            <w:tcBorders>
              <w:top w:val="nil"/>
              <w:left w:val="single" w:color="000000" w:sz="4" w:space="0"/>
              <w:right w:val="single" w:color="000000" w:sz="4" w:space="0"/>
            </w:tcBorders>
            <w:vAlign w:val="top"/>
          </w:tcPr>
          <w:p>
            <w:pPr>
              <w:widowControl/>
              <w:jc w:val="both"/>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022001</w:t>
            </w:r>
          </w:p>
        </w:tc>
        <w:tc>
          <w:tcPr>
            <w:tcW w:w="246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新乡市卫滨区统计局本级</w:t>
            </w:r>
          </w:p>
        </w:tc>
        <w:tc>
          <w:tcPr>
            <w:tcW w:w="82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153.19</w:t>
            </w:r>
          </w:p>
        </w:tc>
        <w:tc>
          <w:tcPr>
            <w:tcW w:w="82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153.19</w:t>
            </w:r>
          </w:p>
        </w:tc>
        <w:tc>
          <w:tcPr>
            <w:tcW w:w="8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153.19</w:t>
            </w:r>
          </w:p>
        </w:tc>
        <w:tc>
          <w:tcPr>
            <w:tcW w:w="8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153.19</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c>
          <w:tcPr>
            <w:tcW w:w="69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75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49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63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84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3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960" w:type="dxa"/>
            <w:vMerge w:val="continue"/>
            <w:tcBorders>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新乡市卫滨区统计局</w:t>
            </w:r>
          </w:p>
        </w:tc>
        <w:tc>
          <w:tcPr>
            <w:tcW w:w="82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52.19</w:t>
            </w:r>
          </w:p>
        </w:tc>
        <w:tc>
          <w:tcPr>
            <w:tcW w:w="82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8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8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58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69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36.46</w:t>
            </w:r>
          </w:p>
        </w:tc>
        <w:tc>
          <w:tcPr>
            <w:tcW w:w="75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36.46</w:t>
            </w:r>
          </w:p>
        </w:tc>
        <w:tc>
          <w:tcPr>
            <w:tcW w:w="495" w:type="dxa"/>
            <w:tcBorders>
              <w:top w:val="nil"/>
              <w:left w:val="nil"/>
              <w:bottom w:val="single" w:color="000000" w:sz="4" w:space="0"/>
              <w:right w:val="single" w:color="000000" w:sz="4" w:space="0"/>
            </w:tcBorders>
            <w:vAlign w:val="center"/>
          </w:tcPr>
          <w:p>
            <w:pPr>
              <w:widowControl/>
              <w:jc w:val="right"/>
              <w:rPr>
                <w:rFonts w:hint="eastAsia" w:ascii="宋体" w:hAnsi="宋体" w:cs="宋体"/>
                <w:kern w:val="0"/>
                <w:sz w:val="18"/>
                <w:szCs w:val="18"/>
                <w:highlight w:val="none"/>
              </w:rPr>
            </w:pPr>
          </w:p>
        </w:tc>
        <w:tc>
          <w:tcPr>
            <w:tcW w:w="630" w:type="dxa"/>
            <w:tcBorders>
              <w:top w:val="nil"/>
              <w:left w:val="nil"/>
              <w:bottom w:val="single" w:color="000000" w:sz="4" w:space="0"/>
              <w:right w:val="single" w:color="000000" w:sz="4" w:space="0"/>
            </w:tcBorders>
            <w:vAlign w:val="center"/>
          </w:tcPr>
          <w:p>
            <w:pPr>
              <w:widowControl/>
              <w:jc w:val="right"/>
              <w:rPr>
                <w:rFonts w:hint="eastAsia" w:ascii="宋体" w:hAnsi="宋体" w:cs="宋体"/>
                <w:kern w:val="0"/>
                <w:sz w:val="18"/>
                <w:szCs w:val="18"/>
                <w:highlight w:val="none"/>
              </w:rPr>
            </w:pPr>
          </w:p>
        </w:tc>
        <w:tc>
          <w:tcPr>
            <w:tcW w:w="840" w:type="dxa"/>
            <w:tcBorders>
              <w:top w:val="nil"/>
              <w:left w:val="nil"/>
              <w:bottom w:val="single" w:color="000000" w:sz="4" w:space="0"/>
              <w:right w:val="single" w:color="000000" w:sz="4" w:space="0"/>
            </w:tcBorders>
            <w:vAlign w:val="center"/>
          </w:tcPr>
          <w:p>
            <w:pPr>
              <w:widowControl/>
              <w:jc w:val="right"/>
              <w:rPr>
                <w:rFonts w:hint="eastAsia" w:ascii="宋体" w:hAnsi="宋体" w:cs="宋体"/>
                <w:kern w:val="0"/>
                <w:sz w:val="18"/>
                <w:szCs w:val="18"/>
                <w:highlight w:val="none"/>
              </w:rPr>
            </w:pPr>
          </w:p>
        </w:tc>
        <w:tc>
          <w:tcPr>
            <w:tcW w:w="735" w:type="dxa"/>
            <w:tcBorders>
              <w:top w:val="nil"/>
              <w:left w:val="nil"/>
              <w:bottom w:val="single" w:color="000000" w:sz="4" w:space="0"/>
              <w:right w:val="single" w:color="000000" w:sz="4" w:space="0"/>
            </w:tcBorders>
            <w:vAlign w:val="center"/>
          </w:tcPr>
          <w:p>
            <w:pPr>
              <w:widowControl/>
              <w:jc w:val="right"/>
              <w:rPr>
                <w:rFonts w:hint="eastAsia"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04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0"/>
        <w:gridCol w:w="500"/>
        <w:gridCol w:w="500"/>
        <w:gridCol w:w="1410"/>
        <w:gridCol w:w="990"/>
        <w:gridCol w:w="935"/>
        <w:gridCol w:w="992"/>
        <w:gridCol w:w="1033"/>
        <w:gridCol w:w="1180"/>
        <w:gridCol w:w="1180"/>
        <w:gridCol w:w="1427"/>
        <w:gridCol w:w="992"/>
        <w:gridCol w:w="1134"/>
        <w:gridCol w:w="867"/>
        <w:gridCol w:w="267"/>
        <w:gridCol w:w="11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041" w:type="dxa"/>
            <w:gridSpan w:val="16"/>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5041" w:type="dxa"/>
            <w:gridSpan w:val="16"/>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900" w:type="dxa"/>
            <w:gridSpan w:val="5"/>
            <w:tcBorders>
              <w:top w:val="nil"/>
              <w:left w:val="nil"/>
              <w:bottom w:val="nil"/>
              <w:right w:val="nil"/>
            </w:tcBorders>
            <w:vAlign w:val="center"/>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新乡市卫滨区统计局</w:t>
            </w:r>
          </w:p>
        </w:tc>
        <w:tc>
          <w:tcPr>
            <w:tcW w:w="9740" w:type="dxa"/>
            <w:gridSpan w:val="9"/>
            <w:tcBorders>
              <w:top w:val="nil"/>
              <w:left w:val="nil"/>
              <w:bottom w:val="nil"/>
              <w:right w:val="nil"/>
            </w:tcBorders>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 xml:space="preserve"> </w:t>
            </w:r>
          </w:p>
        </w:tc>
        <w:tc>
          <w:tcPr>
            <w:tcW w:w="1401" w:type="dxa"/>
            <w:gridSpan w:val="2"/>
            <w:tcBorders>
              <w:top w:val="nil"/>
              <w:left w:val="nil"/>
              <w:bottom w:val="nil"/>
              <w:right w:val="nil"/>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141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1925"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1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79" w:hRule="atLeast"/>
        </w:trPr>
        <w:tc>
          <w:tcPr>
            <w:tcW w:w="50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141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5"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0"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1925" w:type="dxa"/>
            <w:gridSpan w:val="2"/>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992"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205.38</w:t>
            </w:r>
          </w:p>
        </w:tc>
        <w:tc>
          <w:tcPr>
            <w:tcW w:w="1033"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143.19</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134.64</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2.04</w:t>
            </w:r>
          </w:p>
        </w:tc>
        <w:tc>
          <w:tcPr>
            <w:tcW w:w="14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6.51</w:t>
            </w:r>
          </w:p>
        </w:tc>
        <w:tc>
          <w:tcPr>
            <w:tcW w:w="992"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62.19</w:t>
            </w:r>
          </w:p>
        </w:tc>
        <w:tc>
          <w:tcPr>
            <w:tcW w:w="1134"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25.73</w:t>
            </w:r>
          </w:p>
        </w:tc>
        <w:tc>
          <w:tcPr>
            <w:tcW w:w="1134"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36.46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c>
          <w:tcPr>
            <w:tcW w:w="141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022</w:t>
            </w:r>
          </w:p>
        </w:tc>
        <w:tc>
          <w:tcPr>
            <w:tcW w:w="1925"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新乡市卫滨区统计局</w:t>
            </w:r>
          </w:p>
        </w:tc>
        <w:tc>
          <w:tcPr>
            <w:tcW w:w="992"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205.38</w:t>
            </w:r>
          </w:p>
        </w:tc>
        <w:tc>
          <w:tcPr>
            <w:tcW w:w="1033"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143.19</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134.64</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2.04</w:t>
            </w:r>
          </w:p>
        </w:tc>
        <w:tc>
          <w:tcPr>
            <w:tcW w:w="14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6.51</w:t>
            </w:r>
          </w:p>
        </w:tc>
        <w:tc>
          <w:tcPr>
            <w:tcW w:w="992"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62.19</w:t>
            </w:r>
          </w:p>
        </w:tc>
        <w:tc>
          <w:tcPr>
            <w:tcW w:w="1134"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25.73</w:t>
            </w:r>
          </w:p>
        </w:tc>
        <w:tc>
          <w:tcPr>
            <w:tcW w:w="1134"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36.46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201</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05</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01</w:t>
            </w:r>
          </w:p>
        </w:tc>
        <w:tc>
          <w:tcPr>
            <w:tcW w:w="141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行政运行</w:t>
            </w:r>
          </w:p>
        </w:tc>
        <w:tc>
          <w:tcPr>
            <w:tcW w:w="1925"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108.64</w:t>
            </w:r>
          </w:p>
        </w:tc>
        <w:tc>
          <w:tcPr>
            <w:tcW w:w="992"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108.64</w:t>
            </w:r>
          </w:p>
        </w:tc>
        <w:tc>
          <w:tcPr>
            <w:tcW w:w="1033"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100.09</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2.04</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6.51</w:t>
            </w:r>
          </w:p>
        </w:tc>
        <w:tc>
          <w:tcPr>
            <w:tcW w:w="14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201</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05</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07</w:t>
            </w:r>
          </w:p>
        </w:tc>
        <w:tc>
          <w:tcPr>
            <w:tcW w:w="141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专项普查活动</w:t>
            </w:r>
          </w:p>
        </w:tc>
        <w:tc>
          <w:tcPr>
            <w:tcW w:w="1925"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47.19</w:t>
            </w:r>
          </w:p>
        </w:tc>
        <w:tc>
          <w:tcPr>
            <w:tcW w:w="992"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47.19</w:t>
            </w:r>
          </w:p>
        </w:tc>
        <w:tc>
          <w:tcPr>
            <w:tcW w:w="1134"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1134"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31.46</w:t>
            </w:r>
          </w:p>
        </w:tc>
        <w:tc>
          <w:tcPr>
            <w:tcW w:w="1134"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201</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05</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99</w:t>
            </w:r>
          </w:p>
        </w:tc>
        <w:tc>
          <w:tcPr>
            <w:tcW w:w="141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其他统计信息事务支出</w:t>
            </w:r>
          </w:p>
        </w:tc>
        <w:tc>
          <w:tcPr>
            <w:tcW w:w="1925"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15.00</w:t>
            </w:r>
          </w:p>
        </w:tc>
        <w:tc>
          <w:tcPr>
            <w:tcW w:w="992"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15.00</w:t>
            </w:r>
          </w:p>
        </w:tc>
        <w:tc>
          <w:tcPr>
            <w:tcW w:w="1134"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10.00</w:t>
            </w:r>
          </w:p>
        </w:tc>
        <w:tc>
          <w:tcPr>
            <w:tcW w:w="1134"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5.00</w:t>
            </w:r>
          </w:p>
        </w:tc>
        <w:tc>
          <w:tcPr>
            <w:tcW w:w="1134"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54"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208</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05</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05</w:t>
            </w:r>
          </w:p>
        </w:tc>
        <w:tc>
          <w:tcPr>
            <w:tcW w:w="141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机关事业单位基本养老保险缴费支出</w:t>
            </w:r>
          </w:p>
        </w:tc>
        <w:tc>
          <w:tcPr>
            <w:tcW w:w="1925"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15.41</w:t>
            </w:r>
          </w:p>
        </w:tc>
        <w:tc>
          <w:tcPr>
            <w:tcW w:w="992"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15.41</w:t>
            </w:r>
          </w:p>
        </w:tc>
        <w:tc>
          <w:tcPr>
            <w:tcW w:w="1033"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15.41</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210</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01</w:t>
            </w:r>
          </w:p>
        </w:tc>
        <w:tc>
          <w:tcPr>
            <w:tcW w:w="141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行政单位医疗</w:t>
            </w:r>
          </w:p>
        </w:tc>
        <w:tc>
          <w:tcPr>
            <w:tcW w:w="1925"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7.49</w:t>
            </w:r>
          </w:p>
        </w:tc>
        <w:tc>
          <w:tcPr>
            <w:tcW w:w="992"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7.49</w:t>
            </w:r>
          </w:p>
        </w:tc>
        <w:tc>
          <w:tcPr>
            <w:tcW w:w="1033"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7.49</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221</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02</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01</w:t>
            </w:r>
          </w:p>
        </w:tc>
        <w:tc>
          <w:tcPr>
            <w:tcW w:w="141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住房公积金</w:t>
            </w:r>
          </w:p>
        </w:tc>
        <w:tc>
          <w:tcPr>
            <w:tcW w:w="1925"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11.65</w:t>
            </w:r>
          </w:p>
        </w:tc>
        <w:tc>
          <w:tcPr>
            <w:tcW w:w="992"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11.65</w:t>
            </w:r>
          </w:p>
        </w:tc>
        <w:tc>
          <w:tcPr>
            <w:tcW w:w="1033"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11.65</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6"/>
        <w:tblW w:w="10494" w:type="dxa"/>
        <w:tblInd w:w="-83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5"/>
                <w:szCs w:val="15"/>
                <w:highlight w:val="none"/>
                <w:lang w:eastAsia="zh-CN"/>
              </w:rPr>
              <w:t>新乡市卫滨区统计局</w:t>
            </w: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39" w:type="dxa"/>
            <w:gridSpan w:val="6"/>
            <w:tcBorders>
              <w:top w:val="single" w:color="000000" w:sz="4" w:space="0"/>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168.92</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205.38</w:t>
            </w: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205.38</w:t>
            </w: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189.65</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168.92</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170.83</w:t>
            </w: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170.83</w:t>
            </w: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155.10</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168.92</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36.46</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36.46</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15.41</w:t>
            </w: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15.41</w:t>
            </w: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15.41</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7.49</w:t>
            </w: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7.49</w:t>
            </w: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7.49</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11.65</w:t>
            </w: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11.65</w:t>
            </w: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11.65</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205.38</w:t>
            </w:r>
          </w:p>
        </w:tc>
        <w:tc>
          <w:tcPr>
            <w:tcW w:w="2640"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205.38</w:t>
            </w:r>
          </w:p>
        </w:tc>
        <w:tc>
          <w:tcPr>
            <w:tcW w:w="1147"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205.38</w:t>
            </w:r>
          </w:p>
        </w:tc>
        <w:tc>
          <w:tcPr>
            <w:tcW w:w="1009" w:type="dxa"/>
            <w:tcBorders>
              <w:top w:val="nil"/>
              <w:left w:val="nil"/>
              <w:bottom w:val="single" w:color="000000" w:sz="4" w:space="0"/>
              <w:right w:val="single" w:color="000000" w:sz="4" w:space="0"/>
            </w:tcBorders>
            <w:vAlign w:val="center"/>
          </w:tcPr>
          <w:p>
            <w:pPr>
              <w:autoSpaceDN w:val="0"/>
              <w:jc w:val="right"/>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189.65</w:t>
            </w:r>
          </w:p>
        </w:tc>
        <w:tc>
          <w:tcPr>
            <w:tcW w:w="736"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vAlign w:val="center"/>
          </w:tcPr>
          <w:p>
            <w:pPr>
              <w:widowControl/>
              <w:wordWrap/>
              <w:adjustRightInd/>
              <w:snapToGrid/>
              <w:spacing w:line="30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3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w:t>
            </w:r>
            <w:r>
              <w:rPr>
                <w:rFonts w:hint="eastAsia" w:ascii="宋体" w:hAnsi="宋体" w:cs="宋体"/>
                <w:b/>
                <w:bCs/>
                <w:kern w:val="0"/>
                <w:sz w:val="38"/>
                <w:szCs w:val="38"/>
                <w:highlight w:val="none"/>
                <w:lang w:eastAsia="zh-CN"/>
              </w:rPr>
              <w:t>情况</w:t>
            </w:r>
            <w:r>
              <w:rPr>
                <w:rFonts w:hint="eastAsia" w:ascii="宋体" w:hAnsi="宋体" w:cs="宋体"/>
                <w:b/>
                <w:bCs/>
                <w:kern w:val="0"/>
                <w:sz w:val="38"/>
                <w:szCs w:val="38"/>
                <w:highlight w:val="none"/>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140" w:type="dxa"/>
            <w:gridSpan w:val="13"/>
            <w:tcBorders>
              <w:top w:val="nil"/>
              <w:left w:val="nil"/>
              <w:bottom w:val="nil"/>
              <w:right w:val="nil"/>
            </w:tcBorders>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rPr>
              <w:t xml:space="preserve"> 部门名称：</w:t>
            </w:r>
            <w:r>
              <w:rPr>
                <w:rFonts w:hint="eastAsia" w:ascii="宋体" w:hAnsi="宋体" w:cs="宋体"/>
                <w:kern w:val="0"/>
                <w:sz w:val="18"/>
                <w:szCs w:val="18"/>
                <w:highlight w:val="none"/>
                <w:lang w:eastAsia="zh-CN"/>
              </w:rPr>
              <w:t>新乡市卫滨区统计局</w:t>
            </w:r>
          </w:p>
        </w:tc>
        <w:tc>
          <w:tcPr>
            <w:tcW w:w="1180" w:type="dxa"/>
            <w:tcBorders>
              <w:top w:val="nil"/>
              <w:left w:val="nil"/>
              <w:bottom w:val="nil"/>
              <w:right w:val="nil"/>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79" w:hRule="atLeast"/>
        </w:trPr>
        <w:tc>
          <w:tcPr>
            <w:tcW w:w="50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w:t>
            </w:r>
          </w:p>
        </w:tc>
        <w:tc>
          <w:tcPr>
            <w:tcW w:w="50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168.92</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143.19</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134.64</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2.04</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6.51</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25.73</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25.73</w:t>
            </w: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022</w:t>
            </w:r>
          </w:p>
        </w:tc>
        <w:tc>
          <w:tcPr>
            <w:tcW w:w="246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新乡市卫滨区统计局</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168.92</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143.19</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134.64</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2.04</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6.51</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25.73</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25.73</w:t>
            </w: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201</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05</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01</w:t>
            </w:r>
          </w:p>
        </w:tc>
        <w:tc>
          <w:tcPr>
            <w:tcW w:w="7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行政运行</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108.64</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108.64</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100.09</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2.04</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6.51</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201</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05</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07</w:t>
            </w:r>
          </w:p>
        </w:tc>
        <w:tc>
          <w:tcPr>
            <w:tcW w:w="7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专项普查活动</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201</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05</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99</w:t>
            </w:r>
          </w:p>
        </w:tc>
        <w:tc>
          <w:tcPr>
            <w:tcW w:w="7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其他统计信息事务支出</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10.00</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10.00</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10.00</w:t>
            </w: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208</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05</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05</w:t>
            </w:r>
          </w:p>
        </w:tc>
        <w:tc>
          <w:tcPr>
            <w:tcW w:w="7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机关事业单位基本养老保险缴费支出</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15.41</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15.41</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15.41</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210</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01</w:t>
            </w:r>
          </w:p>
        </w:tc>
        <w:tc>
          <w:tcPr>
            <w:tcW w:w="7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行政单位医疗</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7.49</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7.49</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7.49</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221</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02</w:t>
            </w:r>
          </w:p>
        </w:tc>
        <w:tc>
          <w:tcPr>
            <w:tcW w:w="50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01</w:t>
            </w:r>
          </w:p>
        </w:tc>
        <w:tc>
          <w:tcPr>
            <w:tcW w:w="7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住房公积金</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11.65</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11.65</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11.65</w:t>
            </w: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9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0"/>
        <w:gridCol w:w="224"/>
        <w:gridCol w:w="276"/>
        <w:gridCol w:w="1265"/>
        <w:gridCol w:w="1553"/>
        <w:gridCol w:w="525"/>
        <w:gridCol w:w="480"/>
        <w:gridCol w:w="295"/>
        <w:gridCol w:w="1227"/>
        <w:gridCol w:w="191"/>
        <w:gridCol w:w="732"/>
        <w:gridCol w:w="915"/>
        <w:gridCol w:w="763"/>
        <w:gridCol w:w="47"/>
        <w:gridCol w:w="540"/>
        <w:gridCol w:w="240"/>
        <w:gridCol w:w="840"/>
        <w:gridCol w:w="459"/>
        <w:gridCol w:w="261"/>
        <w:gridCol w:w="947"/>
        <w:gridCol w:w="163"/>
        <w:gridCol w:w="472"/>
        <w:gridCol w:w="68"/>
        <w:gridCol w:w="690"/>
        <w:gridCol w:w="855"/>
        <w:gridCol w:w="513"/>
        <w:gridCol w:w="207"/>
        <w:gridCol w:w="6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4"/>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4"/>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1556" w:type="dxa"/>
            <w:gridSpan w:val="18"/>
            <w:tcBorders>
              <w:top w:val="nil"/>
              <w:left w:val="nil"/>
              <w:bottom w:val="nil"/>
              <w:right w:val="nil"/>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新乡市卫滨区统计局</w:t>
            </w:r>
          </w:p>
        </w:tc>
        <w:tc>
          <w:tcPr>
            <w:tcW w:w="2761" w:type="dxa"/>
            <w:gridSpan w:val="6"/>
            <w:tcBorders>
              <w:top w:val="nil"/>
              <w:left w:val="nil"/>
              <w:bottom w:val="nil"/>
              <w:right w:val="nil"/>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3"/>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541" w:type="dxa"/>
            <w:gridSpan w:val="2"/>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853" w:type="dxa"/>
            <w:gridSpan w:val="4"/>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gridSpan w:val="2"/>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3"/>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5"/>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4"/>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4"/>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gridBefore w:val="2"/>
          <w:gridAfter w:val="2"/>
          <w:wBefore w:w="724" w:type="dxa"/>
          <w:wAfter w:w="879" w:type="dxa"/>
          <w:trHeight w:val="285" w:hRule="atLeast"/>
        </w:trPr>
        <w:tc>
          <w:tcPr>
            <w:tcW w:w="1541" w:type="dxa"/>
            <w:gridSpan w:val="2"/>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2853" w:type="dxa"/>
            <w:gridSpan w:val="4"/>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gridSpan w:val="2"/>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10" w:type="dxa"/>
            <w:gridSpan w:val="3"/>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126" w:type="dxa"/>
            <w:gridSpan w:val="5"/>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143.19</w:t>
            </w:r>
          </w:p>
        </w:tc>
        <w:tc>
          <w:tcPr>
            <w:tcW w:w="184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136.68</w:t>
            </w:r>
          </w:p>
        </w:tc>
        <w:tc>
          <w:tcPr>
            <w:tcW w:w="2126"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6.51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541" w:type="dxa"/>
            <w:gridSpan w:val="2"/>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30107</w:t>
            </w:r>
          </w:p>
        </w:tc>
        <w:tc>
          <w:tcPr>
            <w:tcW w:w="285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绩效工资</w:t>
            </w:r>
          </w:p>
        </w:tc>
        <w:tc>
          <w:tcPr>
            <w:tcW w:w="1418"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50501</w:t>
            </w:r>
          </w:p>
        </w:tc>
        <w:tc>
          <w:tcPr>
            <w:tcW w:w="2410" w:type="dxa"/>
            <w:gridSpan w:val="3"/>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工资福利支出</w:t>
            </w:r>
          </w:p>
        </w:tc>
        <w:tc>
          <w:tcPr>
            <w:tcW w:w="2126" w:type="dxa"/>
            <w:gridSpan w:val="5"/>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24.76</w:t>
            </w:r>
          </w:p>
        </w:tc>
        <w:tc>
          <w:tcPr>
            <w:tcW w:w="184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24.76</w:t>
            </w:r>
          </w:p>
        </w:tc>
        <w:tc>
          <w:tcPr>
            <w:tcW w:w="2126"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541" w:type="dxa"/>
            <w:gridSpan w:val="2"/>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30103</w:t>
            </w:r>
          </w:p>
        </w:tc>
        <w:tc>
          <w:tcPr>
            <w:tcW w:w="285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奖金</w:t>
            </w:r>
          </w:p>
        </w:tc>
        <w:tc>
          <w:tcPr>
            <w:tcW w:w="1418"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50101</w:t>
            </w:r>
          </w:p>
        </w:tc>
        <w:tc>
          <w:tcPr>
            <w:tcW w:w="2410" w:type="dxa"/>
            <w:gridSpan w:val="3"/>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工资奖金津补贴</w:t>
            </w:r>
          </w:p>
        </w:tc>
        <w:tc>
          <w:tcPr>
            <w:tcW w:w="2126" w:type="dxa"/>
            <w:gridSpan w:val="5"/>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5.04</w:t>
            </w:r>
          </w:p>
        </w:tc>
        <w:tc>
          <w:tcPr>
            <w:tcW w:w="184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5.04</w:t>
            </w:r>
          </w:p>
        </w:tc>
        <w:tc>
          <w:tcPr>
            <w:tcW w:w="2126"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541" w:type="dxa"/>
            <w:gridSpan w:val="2"/>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30101</w:t>
            </w:r>
          </w:p>
        </w:tc>
        <w:tc>
          <w:tcPr>
            <w:tcW w:w="285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基本工资</w:t>
            </w:r>
          </w:p>
        </w:tc>
        <w:tc>
          <w:tcPr>
            <w:tcW w:w="1418"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50101</w:t>
            </w:r>
          </w:p>
        </w:tc>
        <w:tc>
          <w:tcPr>
            <w:tcW w:w="2410" w:type="dxa"/>
            <w:gridSpan w:val="3"/>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工资奖金津补贴</w:t>
            </w:r>
          </w:p>
        </w:tc>
        <w:tc>
          <w:tcPr>
            <w:tcW w:w="2126" w:type="dxa"/>
            <w:gridSpan w:val="5"/>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54.50</w:t>
            </w:r>
          </w:p>
        </w:tc>
        <w:tc>
          <w:tcPr>
            <w:tcW w:w="184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54.50</w:t>
            </w:r>
          </w:p>
        </w:tc>
        <w:tc>
          <w:tcPr>
            <w:tcW w:w="2126"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541" w:type="dxa"/>
            <w:gridSpan w:val="2"/>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30102</w:t>
            </w:r>
          </w:p>
        </w:tc>
        <w:tc>
          <w:tcPr>
            <w:tcW w:w="285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津贴补贴</w:t>
            </w:r>
          </w:p>
        </w:tc>
        <w:tc>
          <w:tcPr>
            <w:tcW w:w="1418"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50101</w:t>
            </w:r>
          </w:p>
        </w:tc>
        <w:tc>
          <w:tcPr>
            <w:tcW w:w="2410" w:type="dxa"/>
            <w:gridSpan w:val="3"/>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工资奖金津补贴</w:t>
            </w:r>
          </w:p>
        </w:tc>
        <w:tc>
          <w:tcPr>
            <w:tcW w:w="2126" w:type="dxa"/>
            <w:gridSpan w:val="5"/>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15.79</w:t>
            </w:r>
          </w:p>
        </w:tc>
        <w:tc>
          <w:tcPr>
            <w:tcW w:w="184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15.79</w:t>
            </w:r>
          </w:p>
        </w:tc>
        <w:tc>
          <w:tcPr>
            <w:tcW w:w="2126"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541" w:type="dxa"/>
            <w:gridSpan w:val="2"/>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30302</w:t>
            </w:r>
          </w:p>
        </w:tc>
        <w:tc>
          <w:tcPr>
            <w:tcW w:w="285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退休费</w:t>
            </w:r>
          </w:p>
        </w:tc>
        <w:tc>
          <w:tcPr>
            <w:tcW w:w="1418"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50905</w:t>
            </w:r>
          </w:p>
        </w:tc>
        <w:tc>
          <w:tcPr>
            <w:tcW w:w="2410" w:type="dxa"/>
            <w:gridSpan w:val="3"/>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离退休费</w:t>
            </w:r>
          </w:p>
        </w:tc>
        <w:tc>
          <w:tcPr>
            <w:tcW w:w="2126" w:type="dxa"/>
            <w:gridSpan w:val="5"/>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2.04</w:t>
            </w:r>
          </w:p>
        </w:tc>
        <w:tc>
          <w:tcPr>
            <w:tcW w:w="184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2.04</w:t>
            </w:r>
          </w:p>
        </w:tc>
        <w:tc>
          <w:tcPr>
            <w:tcW w:w="2126"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541" w:type="dxa"/>
            <w:gridSpan w:val="2"/>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30228</w:t>
            </w:r>
          </w:p>
        </w:tc>
        <w:tc>
          <w:tcPr>
            <w:tcW w:w="285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工会经费</w:t>
            </w:r>
          </w:p>
        </w:tc>
        <w:tc>
          <w:tcPr>
            <w:tcW w:w="1418"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50201</w:t>
            </w:r>
          </w:p>
        </w:tc>
        <w:tc>
          <w:tcPr>
            <w:tcW w:w="2410" w:type="dxa"/>
            <w:gridSpan w:val="3"/>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办公经费</w:t>
            </w:r>
          </w:p>
        </w:tc>
        <w:tc>
          <w:tcPr>
            <w:tcW w:w="2126" w:type="dxa"/>
            <w:gridSpan w:val="5"/>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1.27</w:t>
            </w:r>
          </w:p>
        </w:tc>
        <w:tc>
          <w:tcPr>
            <w:tcW w:w="184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541" w:type="dxa"/>
            <w:gridSpan w:val="2"/>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30299</w:t>
            </w:r>
          </w:p>
        </w:tc>
        <w:tc>
          <w:tcPr>
            <w:tcW w:w="285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其他商品和服务支出</w:t>
            </w:r>
          </w:p>
        </w:tc>
        <w:tc>
          <w:tcPr>
            <w:tcW w:w="1418"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50299</w:t>
            </w:r>
          </w:p>
        </w:tc>
        <w:tc>
          <w:tcPr>
            <w:tcW w:w="2410" w:type="dxa"/>
            <w:gridSpan w:val="3"/>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其他商品和服务支出</w:t>
            </w:r>
          </w:p>
        </w:tc>
        <w:tc>
          <w:tcPr>
            <w:tcW w:w="2126" w:type="dxa"/>
            <w:gridSpan w:val="5"/>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0.06</w:t>
            </w:r>
          </w:p>
        </w:tc>
        <w:tc>
          <w:tcPr>
            <w:tcW w:w="184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541" w:type="dxa"/>
            <w:gridSpan w:val="2"/>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30201</w:t>
            </w:r>
          </w:p>
        </w:tc>
        <w:tc>
          <w:tcPr>
            <w:tcW w:w="285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办公费</w:t>
            </w:r>
          </w:p>
        </w:tc>
        <w:tc>
          <w:tcPr>
            <w:tcW w:w="1418"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50201</w:t>
            </w:r>
          </w:p>
        </w:tc>
        <w:tc>
          <w:tcPr>
            <w:tcW w:w="2410" w:type="dxa"/>
            <w:gridSpan w:val="3"/>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办公经费</w:t>
            </w:r>
          </w:p>
        </w:tc>
        <w:tc>
          <w:tcPr>
            <w:tcW w:w="2126" w:type="dxa"/>
            <w:gridSpan w:val="5"/>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2.84</w:t>
            </w:r>
          </w:p>
        </w:tc>
        <w:tc>
          <w:tcPr>
            <w:tcW w:w="184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541" w:type="dxa"/>
            <w:gridSpan w:val="2"/>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30239</w:t>
            </w:r>
          </w:p>
        </w:tc>
        <w:tc>
          <w:tcPr>
            <w:tcW w:w="285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其他交通费用</w:t>
            </w:r>
          </w:p>
        </w:tc>
        <w:tc>
          <w:tcPr>
            <w:tcW w:w="1418"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50201</w:t>
            </w:r>
          </w:p>
        </w:tc>
        <w:tc>
          <w:tcPr>
            <w:tcW w:w="2410" w:type="dxa"/>
            <w:gridSpan w:val="3"/>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办公经费</w:t>
            </w:r>
          </w:p>
        </w:tc>
        <w:tc>
          <w:tcPr>
            <w:tcW w:w="2126" w:type="dxa"/>
            <w:gridSpan w:val="5"/>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2.34</w:t>
            </w:r>
          </w:p>
        </w:tc>
        <w:tc>
          <w:tcPr>
            <w:tcW w:w="184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541" w:type="dxa"/>
            <w:gridSpan w:val="2"/>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30108</w:t>
            </w:r>
          </w:p>
        </w:tc>
        <w:tc>
          <w:tcPr>
            <w:tcW w:w="285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机关事业单位基本养老保险缴费</w:t>
            </w:r>
          </w:p>
        </w:tc>
        <w:tc>
          <w:tcPr>
            <w:tcW w:w="1418"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50102</w:t>
            </w:r>
          </w:p>
        </w:tc>
        <w:tc>
          <w:tcPr>
            <w:tcW w:w="2410" w:type="dxa"/>
            <w:gridSpan w:val="3"/>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社会保障缴费</w:t>
            </w:r>
          </w:p>
        </w:tc>
        <w:tc>
          <w:tcPr>
            <w:tcW w:w="2126" w:type="dxa"/>
            <w:gridSpan w:val="5"/>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15.41</w:t>
            </w:r>
          </w:p>
        </w:tc>
        <w:tc>
          <w:tcPr>
            <w:tcW w:w="184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15.41</w:t>
            </w:r>
          </w:p>
        </w:tc>
        <w:tc>
          <w:tcPr>
            <w:tcW w:w="2126"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454" w:hRule="atLeast"/>
        </w:trPr>
        <w:tc>
          <w:tcPr>
            <w:tcW w:w="1541" w:type="dxa"/>
            <w:gridSpan w:val="2"/>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30110</w:t>
            </w:r>
          </w:p>
        </w:tc>
        <w:tc>
          <w:tcPr>
            <w:tcW w:w="285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职工基本医疗保险缴费</w:t>
            </w:r>
          </w:p>
        </w:tc>
        <w:tc>
          <w:tcPr>
            <w:tcW w:w="1418"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50102</w:t>
            </w:r>
          </w:p>
        </w:tc>
        <w:tc>
          <w:tcPr>
            <w:tcW w:w="2410" w:type="dxa"/>
            <w:gridSpan w:val="3"/>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社会保障缴费</w:t>
            </w:r>
          </w:p>
        </w:tc>
        <w:tc>
          <w:tcPr>
            <w:tcW w:w="2126" w:type="dxa"/>
            <w:gridSpan w:val="5"/>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7.49</w:t>
            </w:r>
          </w:p>
        </w:tc>
        <w:tc>
          <w:tcPr>
            <w:tcW w:w="184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7.49</w:t>
            </w:r>
          </w:p>
        </w:tc>
        <w:tc>
          <w:tcPr>
            <w:tcW w:w="2126"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541" w:type="dxa"/>
            <w:gridSpan w:val="2"/>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30113</w:t>
            </w:r>
          </w:p>
        </w:tc>
        <w:tc>
          <w:tcPr>
            <w:tcW w:w="285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住房公积金</w:t>
            </w:r>
          </w:p>
        </w:tc>
        <w:tc>
          <w:tcPr>
            <w:tcW w:w="1418" w:type="dxa"/>
            <w:gridSpan w:val="2"/>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50103</w:t>
            </w:r>
          </w:p>
        </w:tc>
        <w:tc>
          <w:tcPr>
            <w:tcW w:w="2410" w:type="dxa"/>
            <w:gridSpan w:val="3"/>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住房公积金</w:t>
            </w:r>
          </w:p>
        </w:tc>
        <w:tc>
          <w:tcPr>
            <w:tcW w:w="2126" w:type="dxa"/>
            <w:gridSpan w:val="5"/>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11.65</w:t>
            </w:r>
          </w:p>
        </w:tc>
        <w:tc>
          <w:tcPr>
            <w:tcW w:w="1843"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11.65</w:t>
            </w:r>
          </w:p>
        </w:tc>
        <w:tc>
          <w:tcPr>
            <w:tcW w:w="2126" w:type="dxa"/>
            <w:gridSpan w:val="4"/>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920" w:type="dxa"/>
            <w:gridSpan w:val="28"/>
            <w:tcBorders>
              <w:top w:val="nil"/>
              <w:left w:val="nil"/>
              <w:bottom w:val="nil"/>
              <w:right w:val="nil"/>
            </w:tcBorders>
            <w:vAlign w:val="center"/>
          </w:tcPr>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5920" w:type="dxa"/>
            <w:gridSpan w:val="28"/>
            <w:tcBorders>
              <w:top w:val="nil"/>
              <w:left w:val="nil"/>
              <w:bottom w:val="nil"/>
              <w:right w:val="nil"/>
            </w:tcBorders>
            <w:vAlign w:val="center"/>
          </w:tcPr>
          <w:p>
            <w:pPr>
              <w:widowControl/>
              <w:jc w:val="center"/>
              <w:rPr>
                <w:rFonts w:hint="eastAsia" w:ascii="宋体" w:hAnsi="宋体" w:cs="宋体"/>
                <w:b/>
                <w:bCs/>
                <w:kern w:val="0"/>
                <w:sz w:val="38"/>
                <w:szCs w:val="38"/>
                <w:highlight w:val="none"/>
              </w:rPr>
            </w:pPr>
          </w:p>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3818" w:type="dxa"/>
            <w:gridSpan w:val="5"/>
            <w:tcBorders>
              <w:top w:val="nil"/>
              <w:left w:val="nil"/>
              <w:bottom w:val="nil"/>
              <w:right w:val="nil"/>
            </w:tcBorders>
            <w:vAlign w:val="center"/>
          </w:tcPr>
          <w:p>
            <w:pPr>
              <w:widowControl/>
              <w:wordWrap/>
              <w:adjustRightInd/>
              <w:snapToGrid/>
              <w:spacing w:line="320" w:lineRule="exact"/>
              <w:ind w:left="0" w:leftChars="0" w:right="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5"/>
                <w:szCs w:val="15"/>
                <w:highlight w:val="none"/>
                <w:lang w:eastAsia="zh-CN"/>
              </w:rPr>
              <w:t>新乡市卫滨区统计局</w:t>
            </w:r>
          </w:p>
        </w:tc>
        <w:tc>
          <w:tcPr>
            <w:tcW w:w="5715" w:type="dxa"/>
            <w:gridSpan w:val="10"/>
            <w:tcBorders>
              <w:top w:val="nil"/>
              <w:left w:val="nil"/>
              <w:bottom w:val="nil"/>
              <w:right w:val="nil"/>
            </w:tcBorders>
            <w:vAlign w:val="center"/>
          </w:tcPr>
          <w:p>
            <w:pPr>
              <w:widowControl/>
              <w:wordWrap/>
              <w:adjustRightInd/>
              <w:snapToGrid/>
              <w:spacing w:line="320" w:lineRule="exact"/>
              <w:ind w:left="0" w:leftChars="0" w:right="0" w:firstLine="0" w:firstLineChars="0"/>
              <w:jc w:val="both"/>
              <w:textAlignment w:val="auto"/>
              <w:outlineLvl w:val="9"/>
              <w:rPr>
                <w:rFonts w:hint="eastAsia" w:ascii="宋体" w:hAnsi="宋体" w:cs="宋体"/>
                <w:kern w:val="0"/>
                <w:sz w:val="15"/>
                <w:szCs w:val="15"/>
                <w:highlight w:val="none"/>
              </w:rPr>
            </w:pPr>
          </w:p>
        </w:tc>
        <w:tc>
          <w:tcPr>
            <w:tcW w:w="6387" w:type="dxa"/>
            <w:gridSpan w:val="13"/>
            <w:tcBorders>
              <w:top w:val="nil"/>
              <w:left w:val="nil"/>
              <w:bottom w:val="nil"/>
              <w:right w:val="nil"/>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818" w:type="dxa"/>
            <w:gridSpan w:val="5"/>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527" w:type="dxa"/>
            <w:gridSpan w:val="4"/>
            <w:tcBorders>
              <w:top w:val="single" w:color="000000" w:sz="4" w:space="0"/>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923"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725" w:type="dxa"/>
            <w:gridSpan w:val="3"/>
            <w:tcBorders>
              <w:top w:val="single" w:color="000000" w:sz="4" w:space="0"/>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78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72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111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818"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2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522"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923"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91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8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8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111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0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818"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52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48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522"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3"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205.38</w:t>
            </w:r>
          </w:p>
        </w:tc>
        <w:tc>
          <w:tcPr>
            <w:tcW w:w="91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168.92</w:t>
            </w:r>
          </w:p>
        </w:tc>
        <w:tc>
          <w:tcPr>
            <w:tcW w:w="81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168.92</w:t>
            </w:r>
          </w:p>
        </w:tc>
        <w:tc>
          <w:tcPr>
            <w:tcW w:w="78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36.46</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022</w:t>
            </w:r>
          </w:p>
        </w:tc>
        <w:tc>
          <w:tcPr>
            <w:tcW w:w="50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2818"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新乡市卫滨区统计局</w:t>
            </w:r>
          </w:p>
        </w:tc>
        <w:tc>
          <w:tcPr>
            <w:tcW w:w="52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1522"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923"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205.38</w:t>
            </w:r>
          </w:p>
        </w:tc>
        <w:tc>
          <w:tcPr>
            <w:tcW w:w="91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168.92</w:t>
            </w:r>
          </w:p>
        </w:tc>
        <w:tc>
          <w:tcPr>
            <w:tcW w:w="81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168.92</w:t>
            </w:r>
          </w:p>
        </w:tc>
        <w:tc>
          <w:tcPr>
            <w:tcW w:w="78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36.46</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301</w:t>
            </w:r>
          </w:p>
        </w:tc>
        <w:tc>
          <w:tcPr>
            <w:tcW w:w="50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07</w:t>
            </w:r>
          </w:p>
        </w:tc>
        <w:tc>
          <w:tcPr>
            <w:tcW w:w="2818"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绩效工资</w:t>
            </w:r>
          </w:p>
        </w:tc>
        <w:tc>
          <w:tcPr>
            <w:tcW w:w="52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505</w:t>
            </w:r>
          </w:p>
        </w:tc>
        <w:tc>
          <w:tcPr>
            <w:tcW w:w="48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1522"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工资福利支出</w:t>
            </w:r>
          </w:p>
        </w:tc>
        <w:tc>
          <w:tcPr>
            <w:tcW w:w="923"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24.76</w:t>
            </w:r>
          </w:p>
        </w:tc>
        <w:tc>
          <w:tcPr>
            <w:tcW w:w="91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24.76</w:t>
            </w:r>
          </w:p>
        </w:tc>
        <w:tc>
          <w:tcPr>
            <w:tcW w:w="81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24.76</w:t>
            </w:r>
          </w:p>
        </w:tc>
        <w:tc>
          <w:tcPr>
            <w:tcW w:w="78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301</w:t>
            </w:r>
          </w:p>
        </w:tc>
        <w:tc>
          <w:tcPr>
            <w:tcW w:w="50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03</w:t>
            </w:r>
          </w:p>
        </w:tc>
        <w:tc>
          <w:tcPr>
            <w:tcW w:w="2818"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奖金</w:t>
            </w:r>
          </w:p>
        </w:tc>
        <w:tc>
          <w:tcPr>
            <w:tcW w:w="52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501</w:t>
            </w:r>
          </w:p>
        </w:tc>
        <w:tc>
          <w:tcPr>
            <w:tcW w:w="48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1522"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工资奖金津补贴</w:t>
            </w:r>
          </w:p>
        </w:tc>
        <w:tc>
          <w:tcPr>
            <w:tcW w:w="923"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5.04</w:t>
            </w:r>
          </w:p>
        </w:tc>
        <w:tc>
          <w:tcPr>
            <w:tcW w:w="91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5.04</w:t>
            </w:r>
          </w:p>
        </w:tc>
        <w:tc>
          <w:tcPr>
            <w:tcW w:w="81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5.04</w:t>
            </w:r>
          </w:p>
        </w:tc>
        <w:tc>
          <w:tcPr>
            <w:tcW w:w="78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301</w:t>
            </w:r>
          </w:p>
        </w:tc>
        <w:tc>
          <w:tcPr>
            <w:tcW w:w="50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2818"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基本工资</w:t>
            </w:r>
          </w:p>
        </w:tc>
        <w:tc>
          <w:tcPr>
            <w:tcW w:w="52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501</w:t>
            </w:r>
          </w:p>
        </w:tc>
        <w:tc>
          <w:tcPr>
            <w:tcW w:w="48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1522"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工资奖金津补贴</w:t>
            </w:r>
          </w:p>
        </w:tc>
        <w:tc>
          <w:tcPr>
            <w:tcW w:w="923"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54.50</w:t>
            </w:r>
          </w:p>
        </w:tc>
        <w:tc>
          <w:tcPr>
            <w:tcW w:w="91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54.50</w:t>
            </w:r>
          </w:p>
        </w:tc>
        <w:tc>
          <w:tcPr>
            <w:tcW w:w="81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54.50</w:t>
            </w:r>
          </w:p>
        </w:tc>
        <w:tc>
          <w:tcPr>
            <w:tcW w:w="78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301</w:t>
            </w:r>
          </w:p>
        </w:tc>
        <w:tc>
          <w:tcPr>
            <w:tcW w:w="50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02</w:t>
            </w:r>
          </w:p>
        </w:tc>
        <w:tc>
          <w:tcPr>
            <w:tcW w:w="2818"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津贴补贴</w:t>
            </w:r>
          </w:p>
        </w:tc>
        <w:tc>
          <w:tcPr>
            <w:tcW w:w="52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501</w:t>
            </w:r>
          </w:p>
        </w:tc>
        <w:tc>
          <w:tcPr>
            <w:tcW w:w="48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1522"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工资奖金津补贴</w:t>
            </w:r>
          </w:p>
        </w:tc>
        <w:tc>
          <w:tcPr>
            <w:tcW w:w="923"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15.79</w:t>
            </w:r>
          </w:p>
        </w:tc>
        <w:tc>
          <w:tcPr>
            <w:tcW w:w="91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15.79</w:t>
            </w:r>
          </w:p>
        </w:tc>
        <w:tc>
          <w:tcPr>
            <w:tcW w:w="81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15.79</w:t>
            </w:r>
          </w:p>
        </w:tc>
        <w:tc>
          <w:tcPr>
            <w:tcW w:w="78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303</w:t>
            </w:r>
          </w:p>
        </w:tc>
        <w:tc>
          <w:tcPr>
            <w:tcW w:w="50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02</w:t>
            </w:r>
          </w:p>
        </w:tc>
        <w:tc>
          <w:tcPr>
            <w:tcW w:w="2818"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退休费</w:t>
            </w:r>
          </w:p>
        </w:tc>
        <w:tc>
          <w:tcPr>
            <w:tcW w:w="52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509</w:t>
            </w:r>
          </w:p>
        </w:tc>
        <w:tc>
          <w:tcPr>
            <w:tcW w:w="48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05</w:t>
            </w:r>
          </w:p>
        </w:tc>
        <w:tc>
          <w:tcPr>
            <w:tcW w:w="1522"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离退休费</w:t>
            </w:r>
          </w:p>
        </w:tc>
        <w:tc>
          <w:tcPr>
            <w:tcW w:w="923"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2.04</w:t>
            </w:r>
          </w:p>
        </w:tc>
        <w:tc>
          <w:tcPr>
            <w:tcW w:w="91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2.04</w:t>
            </w:r>
          </w:p>
        </w:tc>
        <w:tc>
          <w:tcPr>
            <w:tcW w:w="81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2.04</w:t>
            </w:r>
          </w:p>
        </w:tc>
        <w:tc>
          <w:tcPr>
            <w:tcW w:w="78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302</w:t>
            </w:r>
          </w:p>
        </w:tc>
        <w:tc>
          <w:tcPr>
            <w:tcW w:w="50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28</w:t>
            </w:r>
          </w:p>
        </w:tc>
        <w:tc>
          <w:tcPr>
            <w:tcW w:w="2818"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工会经费</w:t>
            </w:r>
          </w:p>
        </w:tc>
        <w:tc>
          <w:tcPr>
            <w:tcW w:w="52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502</w:t>
            </w:r>
          </w:p>
        </w:tc>
        <w:tc>
          <w:tcPr>
            <w:tcW w:w="48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1522"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办公经费</w:t>
            </w:r>
          </w:p>
        </w:tc>
        <w:tc>
          <w:tcPr>
            <w:tcW w:w="923"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1.27</w:t>
            </w:r>
          </w:p>
        </w:tc>
        <w:tc>
          <w:tcPr>
            <w:tcW w:w="91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1.27</w:t>
            </w:r>
          </w:p>
        </w:tc>
        <w:tc>
          <w:tcPr>
            <w:tcW w:w="81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1.27</w:t>
            </w:r>
          </w:p>
        </w:tc>
        <w:tc>
          <w:tcPr>
            <w:tcW w:w="78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302</w:t>
            </w:r>
          </w:p>
        </w:tc>
        <w:tc>
          <w:tcPr>
            <w:tcW w:w="50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99</w:t>
            </w:r>
          </w:p>
        </w:tc>
        <w:tc>
          <w:tcPr>
            <w:tcW w:w="2818"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其他商品和服务支出</w:t>
            </w:r>
          </w:p>
        </w:tc>
        <w:tc>
          <w:tcPr>
            <w:tcW w:w="52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502</w:t>
            </w:r>
          </w:p>
        </w:tc>
        <w:tc>
          <w:tcPr>
            <w:tcW w:w="48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99</w:t>
            </w:r>
          </w:p>
        </w:tc>
        <w:tc>
          <w:tcPr>
            <w:tcW w:w="1522"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其他商品和服务支出</w:t>
            </w:r>
          </w:p>
        </w:tc>
        <w:tc>
          <w:tcPr>
            <w:tcW w:w="923"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62.25</w:t>
            </w:r>
          </w:p>
        </w:tc>
        <w:tc>
          <w:tcPr>
            <w:tcW w:w="91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25.79</w:t>
            </w:r>
          </w:p>
        </w:tc>
        <w:tc>
          <w:tcPr>
            <w:tcW w:w="81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25.79</w:t>
            </w:r>
          </w:p>
        </w:tc>
        <w:tc>
          <w:tcPr>
            <w:tcW w:w="78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36.46</w:t>
            </w: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302</w:t>
            </w:r>
          </w:p>
        </w:tc>
        <w:tc>
          <w:tcPr>
            <w:tcW w:w="50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2818"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办公费</w:t>
            </w:r>
          </w:p>
        </w:tc>
        <w:tc>
          <w:tcPr>
            <w:tcW w:w="52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502</w:t>
            </w:r>
          </w:p>
        </w:tc>
        <w:tc>
          <w:tcPr>
            <w:tcW w:w="48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1522"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办公经费</w:t>
            </w:r>
          </w:p>
        </w:tc>
        <w:tc>
          <w:tcPr>
            <w:tcW w:w="923"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2.84</w:t>
            </w:r>
          </w:p>
        </w:tc>
        <w:tc>
          <w:tcPr>
            <w:tcW w:w="91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2.84</w:t>
            </w:r>
          </w:p>
        </w:tc>
        <w:tc>
          <w:tcPr>
            <w:tcW w:w="81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2.84</w:t>
            </w:r>
          </w:p>
        </w:tc>
        <w:tc>
          <w:tcPr>
            <w:tcW w:w="78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302</w:t>
            </w:r>
          </w:p>
        </w:tc>
        <w:tc>
          <w:tcPr>
            <w:tcW w:w="50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39</w:t>
            </w:r>
          </w:p>
        </w:tc>
        <w:tc>
          <w:tcPr>
            <w:tcW w:w="2818"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其他交通费用</w:t>
            </w:r>
          </w:p>
        </w:tc>
        <w:tc>
          <w:tcPr>
            <w:tcW w:w="52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502</w:t>
            </w:r>
          </w:p>
        </w:tc>
        <w:tc>
          <w:tcPr>
            <w:tcW w:w="48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01</w:t>
            </w:r>
          </w:p>
        </w:tc>
        <w:tc>
          <w:tcPr>
            <w:tcW w:w="1522"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办公经费</w:t>
            </w:r>
          </w:p>
        </w:tc>
        <w:tc>
          <w:tcPr>
            <w:tcW w:w="923"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2.34</w:t>
            </w:r>
          </w:p>
        </w:tc>
        <w:tc>
          <w:tcPr>
            <w:tcW w:w="91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2.34</w:t>
            </w:r>
          </w:p>
        </w:tc>
        <w:tc>
          <w:tcPr>
            <w:tcW w:w="81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2.34</w:t>
            </w:r>
          </w:p>
        </w:tc>
        <w:tc>
          <w:tcPr>
            <w:tcW w:w="78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301</w:t>
            </w:r>
          </w:p>
        </w:tc>
        <w:tc>
          <w:tcPr>
            <w:tcW w:w="50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08</w:t>
            </w:r>
          </w:p>
        </w:tc>
        <w:tc>
          <w:tcPr>
            <w:tcW w:w="2818"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机关事业单位基本养老保险缴费</w:t>
            </w:r>
          </w:p>
        </w:tc>
        <w:tc>
          <w:tcPr>
            <w:tcW w:w="52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501</w:t>
            </w:r>
          </w:p>
        </w:tc>
        <w:tc>
          <w:tcPr>
            <w:tcW w:w="48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02</w:t>
            </w:r>
          </w:p>
        </w:tc>
        <w:tc>
          <w:tcPr>
            <w:tcW w:w="1522"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社会保障缴费</w:t>
            </w:r>
          </w:p>
        </w:tc>
        <w:tc>
          <w:tcPr>
            <w:tcW w:w="923"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15.41</w:t>
            </w:r>
          </w:p>
        </w:tc>
        <w:tc>
          <w:tcPr>
            <w:tcW w:w="91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15.41</w:t>
            </w:r>
          </w:p>
        </w:tc>
        <w:tc>
          <w:tcPr>
            <w:tcW w:w="81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15.41</w:t>
            </w:r>
          </w:p>
        </w:tc>
        <w:tc>
          <w:tcPr>
            <w:tcW w:w="78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301</w:t>
            </w:r>
          </w:p>
        </w:tc>
        <w:tc>
          <w:tcPr>
            <w:tcW w:w="50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10</w:t>
            </w:r>
          </w:p>
        </w:tc>
        <w:tc>
          <w:tcPr>
            <w:tcW w:w="2818"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职工基本医疗保险缴费</w:t>
            </w:r>
          </w:p>
        </w:tc>
        <w:tc>
          <w:tcPr>
            <w:tcW w:w="52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501</w:t>
            </w:r>
          </w:p>
        </w:tc>
        <w:tc>
          <w:tcPr>
            <w:tcW w:w="48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02</w:t>
            </w:r>
          </w:p>
        </w:tc>
        <w:tc>
          <w:tcPr>
            <w:tcW w:w="1522"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社会保障缴费</w:t>
            </w:r>
          </w:p>
        </w:tc>
        <w:tc>
          <w:tcPr>
            <w:tcW w:w="923"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7.49</w:t>
            </w:r>
          </w:p>
        </w:tc>
        <w:tc>
          <w:tcPr>
            <w:tcW w:w="91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7.49</w:t>
            </w:r>
          </w:p>
        </w:tc>
        <w:tc>
          <w:tcPr>
            <w:tcW w:w="81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7.49</w:t>
            </w:r>
          </w:p>
        </w:tc>
        <w:tc>
          <w:tcPr>
            <w:tcW w:w="78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301</w:t>
            </w:r>
          </w:p>
        </w:tc>
        <w:tc>
          <w:tcPr>
            <w:tcW w:w="50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13</w:t>
            </w:r>
          </w:p>
        </w:tc>
        <w:tc>
          <w:tcPr>
            <w:tcW w:w="2818"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住房公积金</w:t>
            </w:r>
          </w:p>
        </w:tc>
        <w:tc>
          <w:tcPr>
            <w:tcW w:w="52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501</w:t>
            </w:r>
          </w:p>
        </w:tc>
        <w:tc>
          <w:tcPr>
            <w:tcW w:w="48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03</w:t>
            </w:r>
          </w:p>
        </w:tc>
        <w:tc>
          <w:tcPr>
            <w:tcW w:w="1522"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住房公积金</w:t>
            </w:r>
          </w:p>
        </w:tc>
        <w:tc>
          <w:tcPr>
            <w:tcW w:w="923"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11.65</w:t>
            </w:r>
          </w:p>
        </w:tc>
        <w:tc>
          <w:tcPr>
            <w:tcW w:w="91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11.65</w:t>
            </w:r>
          </w:p>
        </w:tc>
        <w:tc>
          <w:tcPr>
            <w:tcW w:w="81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r>
              <w:rPr>
                <w:rFonts w:hint="default" w:ascii="宋体" w:hAnsi="宋体" w:eastAsia="宋体"/>
                <w:b w:val="0"/>
                <w:i w:val="0"/>
                <w:color w:val="000000"/>
                <w:sz w:val="18"/>
                <w:u w:val="none"/>
                <w:lang w:eastAsia="zh-CN"/>
              </w:rPr>
              <w:t>11.65</w:t>
            </w:r>
          </w:p>
        </w:tc>
        <w:tc>
          <w:tcPr>
            <w:tcW w:w="78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vAlign w:val="center"/>
          </w:tcPr>
          <w:p>
            <w:pPr>
              <w:widowControl/>
              <w:wordWrap/>
              <w:adjustRightInd/>
              <w:snapToGrid/>
              <w:spacing w:line="320" w:lineRule="exact"/>
              <w:ind w:left="0" w:leftChars="0" w:right="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3032" w:type="dxa"/>
        <w:tblInd w:w="110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52"/>
        <w:gridCol w:w="1785"/>
        <w:gridCol w:w="1875"/>
        <w:gridCol w:w="2340"/>
        <w:gridCol w:w="2340"/>
        <w:gridCol w:w="23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w:t>
            </w:r>
            <w:r>
              <w:rPr>
                <w:rFonts w:hint="eastAsia" w:ascii="宋体" w:hAnsi="宋体" w:cs="宋体"/>
                <w:b/>
                <w:bCs/>
                <w:kern w:val="0"/>
                <w:sz w:val="38"/>
                <w:szCs w:val="38"/>
                <w:highlight w:val="none"/>
                <w:lang w:eastAsia="zh-CN"/>
              </w:rPr>
              <w:t>支出情况</w:t>
            </w:r>
            <w:r>
              <w:rPr>
                <w:rFonts w:hint="eastAsia" w:ascii="宋体" w:hAnsi="宋体" w:cs="宋体"/>
                <w:b/>
                <w:bCs/>
                <w:kern w:val="0"/>
                <w:sz w:val="38"/>
                <w:szCs w:val="38"/>
                <w:highlight w:val="none"/>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新乡市卫滨区统计局</w:t>
            </w:r>
          </w:p>
        </w:tc>
        <w:tc>
          <w:tcPr>
            <w:tcW w:w="2340" w:type="dxa"/>
            <w:tcBorders>
              <w:top w:val="nil"/>
              <w:left w:val="nil"/>
              <w:bottom w:val="nil"/>
              <w:right w:val="nil"/>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2352" w:type="dxa"/>
            <w:tcBorders>
              <w:top w:val="nil"/>
              <w:left w:val="single" w:color="000000" w:sz="4" w:space="0"/>
              <w:bottom w:val="single" w:color="000000" w:sz="4" w:space="0"/>
              <w:right w:val="single" w:color="000000" w:sz="4" w:space="0"/>
            </w:tcBorders>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785" w:type="dxa"/>
            <w:tcBorders>
              <w:top w:val="nil"/>
              <w:left w:val="nil"/>
              <w:bottom w:val="single" w:color="000000" w:sz="4" w:space="0"/>
              <w:right w:val="single" w:color="000000" w:sz="4" w:space="0"/>
            </w:tcBorders>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875"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r>
              <w:rPr>
                <w:rFonts w:hint="eastAsia" w:ascii="宋体" w:hAnsi="宋体" w:eastAsia="宋体" w:cs="宋体"/>
                <w:sz w:val="18"/>
                <w:szCs w:val="18"/>
                <w:highlight w:val="none"/>
                <w:lang w:val="en-US" w:eastAsia="zh-CN"/>
              </w:rPr>
              <w:t>说明：</w:t>
            </w:r>
            <w:r>
              <w:rPr>
                <w:rFonts w:hint="eastAsia" w:ascii="宋体" w:hAnsi="宋体" w:eastAsia="宋体" w:cs="宋体"/>
                <w:kern w:val="2"/>
                <w:sz w:val="18"/>
                <w:szCs w:val="18"/>
                <w:highlight w:val="none"/>
                <w:lang w:val="en-US" w:eastAsia="zh-CN" w:bidi="ar-SA"/>
              </w:rPr>
              <w:t>我们单位没有“三公”经费支出，故此表无数据。</w:t>
            </w:r>
          </w:p>
        </w:tc>
      </w:tr>
    </w:tbl>
    <w:p>
      <w:pPr>
        <w:kinsoku w:val="0"/>
        <w:overflowPunct w:val="0"/>
        <w:adjustRightInd w:val="0"/>
        <w:snapToGrid w:val="0"/>
        <w:spacing w:line="560" w:lineRule="exact"/>
        <w:rPr>
          <w:rFonts w:hint="eastAsia" w:ascii="黑体" w:hAnsi="Times New Roman" w:eastAsia="黑体" w:cs="黑体"/>
          <w:sz w:val="32"/>
          <w:szCs w:val="32"/>
          <w:highlight w:val="none"/>
          <w:lang w:val="en-US" w:eastAsia="zh-CN"/>
        </w:rPr>
      </w:pPr>
      <w:r>
        <w:rPr>
          <w:rFonts w:hint="eastAsia" w:ascii="黑体" w:hAnsi="Times New Roman" w:eastAsia="黑体" w:cs="黑体"/>
          <w:sz w:val="32"/>
          <w:szCs w:val="32"/>
          <w:highlight w:val="none"/>
          <w:lang w:val="en-US" w:eastAsia="zh-CN"/>
        </w:rPr>
        <w:t xml:space="preserve">      </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pPr w:leftFromText="180" w:rightFromText="180" w:vertAnchor="text" w:horzAnchor="page" w:tblpX="916" w:tblpY="357"/>
        <w:tblOverlap w:val="never"/>
        <w:tblW w:w="152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w:t>
            </w:r>
            <w:r>
              <w:rPr>
                <w:rFonts w:hint="eastAsia" w:ascii="宋体" w:hAnsi="宋体" w:cs="宋体"/>
                <w:b/>
                <w:bCs/>
                <w:color w:val="000000"/>
                <w:kern w:val="0"/>
                <w:sz w:val="38"/>
                <w:szCs w:val="38"/>
                <w:highlight w:val="none"/>
                <w:lang w:eastAsia="zh-CN"/>
              </w:rPr>
              <w:t>预算</w:t>
            </w:r>
            <w:r>
              <w:rPr>
                <w:rFonts w:ascii="宋体" w:hAnsi="宋体" w:cs="宋体"/>
                <w:b/>
                <w:bCs/>
                <w:color w:val="000000"/>
                <w:kern w:val="0"/>
                <w:sz w:val="38"/>
                <w:szCs w:val="38"/>
                <w:highlight w:val="none"/>
              </w:rPr>
              <w:t>支出</w:t>
            </w:r>
            <w:r>
              <w:rPr>
                <w:rFonts w:hint="eastAsia" w:ascii="宋体" w:hAnsi="宋体" w:cs="宋体"/>
                <w:b/>
                <w:bCs/>
                <w:color w:val="000000"/>
                <w:kern w:val="0"/>
                <w:sz w:val="38"/>
                <w:szCs w:val="38"/>
                <w:highlight w:val="none"/>
                <w:lang w:eastAsia="zh-CN"/>
              </w:rPr>
              <w:t>情况</w:t>
            </w:r>
            <w:r>
              <w:rPr>
                <w:rFonts w:ascii="宋体" w:hAnsi="宋体" w:cs="宋体"/>
                <w:b/>
                <w:bCs/>
                <w:color w:val="000000"/>
                <w:kern w:val="0"/>
                <w:sz w:val="38"/>
                <w:szCs w:val="38"/>
                <w:highlight w:val="none"/>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040" w:type="dxa"/>
            <w:gridSpan w:val="13"/>
            <w:tcBorders>
              <w:top w:val="nil"/>
              <w:left w:val="nil"/>
              <w:bottom w:val="nil"/>
              <w:right w:val="nil"/>
            </w:tcBorders>
            <w:vAlign w:val="center"/>
          </w:tcPr>
          <w:p>
            <w:pPr>
              <w:widowControl/>
              <w:jc w:val="lef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r>
              <w:rPr>
                <w:rFonts w:hint="eastAsia" w:ascii="宋体" w:hAnsi="宋体" w:cs="宋体"/>
                <w:color w:val="000000"/>
                <w:kern w:val="0"/>
                <w:sz w:val="18"/>
                <w:szCs w:val="18"/>
                <w:highlight w:val="none"/>
                <w:lang w:eastAsia="zh-CN"/>
              </w:rPr>
              <w:t>新乡市卫滨区统计局</w:t>
            </w:r>
          </w:p>
        </w:tc>
        <w:tc>
          <w:tcPr>
            <w:tcW w:w="1230" w:type="dxa"/>
            <w:tcBorders>
              <w:top w:val="nil"/>
              <w:left w:val="nil"/>
              <w:bottom w:val="nil"/>
              <w:right w:val="nil"/>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vAlign w:val="center"/>
          </w:tcPr>
          <w:p>
            <w:pPr>
              <w:tabs>
                <w:tab w:val="left" w:pos="252"/>
              </w:tabs>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vAlign w:val="center"/>
          </w:tcPr>
          <w:p>
            <w:pPr>
              <w:tabs>
                <w:tab w:val="left" w:pos="252"/>
              </w:tabs>
              <w:jc w:val="center"/>
              <w:rPr>
                <w:rFonts w:ascii="宋体" w:hAnsi="宋体" w:cs="宋体"/>
                <w:color w:val="000000"/>
                <w:sz w:val="18"/>
                <w:szCs w:val="18"/>
                <w:highlight w:val="none"/>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vAlign w:val="center"/>
          </w:tcPr>
          <w:p>
            <w:pPr>
              <w:tabs>
                <w:tab w:val="left" w:pos="252"/>
              </w:tabs>
              <w:jc w:val="center"/>
              <w:rPr>
                <w:rFonts w:ascii="宋体" w:hAnsi="宋体" w:cs="宋体"/>
                <w:color w:val="000000"/>
                <w:sz w:val="18"/>
                <w:szCs w:val="18"/>
                <w:highlight w:val="none"/>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vAlign w:val="center"/>
          </w:tcPr>
          <w:p>
            <w:pPr>
              <w:tabs>
                <w:tab w:val="left" w:pos="252"/>
              </w:tabs>
              <w:jc w:val="center"/>
              <w:rPr>
                <w:rFonts w:ascii="宋体" w:hAnsi="宋体" w:cs="宋体"/>
                <w:color w:val="000000"/>
                <w:sz w:val="18"/>
                <w:szCs w:val="18"/>
                <w:highlight w:val="none"/>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highlight w:val="none"/>
              </w:rPr>
            </w:pPr>
            <w:r>
              <w:rPr>
                <w:rFonts w:hint="eastAsia" w:ascii="宋体" w:hAnsi="宋体" w:cs="宋体"/>
                <w:color w:val="000000"/>
                <w:sz w:val="18"/>
                <w:szCs w:val="18"/>
                <w:highlight w:val="none"/>
                <w:lang w:val="en-US" w:eastAsia="zh-CN"/>
              </w:rPr>
              <w:t>0</w:t>
            </w:r>
          </w:p>
        </w:tc>
        <w:tc>
          <w:tcPr>
            <w:tcW w:w="1230" w:type="dxa"/>
            <w:tcBorders>
              <w:top w:val="single" w:color="000000" w:sz="4" w:space="0"/>
              <w:left w:val="single" w:color="000000" w:sz="4" w:space="0"/>
              <w:bottom w:val="single" w:color="000000" w:sz="4" w:space="0"/>
              <w:right w:val="single" w:color="000000" w:sz="4" w:space="0"/>
            </w:tcBorders>
            <w:vAlign w:val="center"/>
          </w:tcPr>
          <w:p>
            <w:pPr>
              <w:tabs>
                <w:tab w:val="left" w:pos="252"/>
              </w:tabs>
              <w:jc w:val="center"/>
              <w:rPr>
                <w:rFonts w:ascii="宋体" w:hAnsi="宋体" w:cs="宋体"/>
                <w:color w:val="000000"/>
                <w:sz w:val="18"/>
                <w:szCs w:val="18"/>
                <w:highlight w:val="none"/>
              </w:rPr>
            </w:pPr>
            <w:r>
              <w:rPr>
                <w:rFonts w:hint="eastAsia" w:ascii="宋体" w:hAnsi="宋体" w:cs="宋体"/>
                <w:color w:val="000000"/>
                <w:sz w:val="18"/>
                <w:szCs w:val="18"/>
                <w:highlight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240" w:lineRule="auto"/>
        <w:ind w:right="0"/>
        <w:jc w:val="left"/>
        <w:rPr>
          <w:rFonts w:hint="eastAsia" w:ascii="宋体" w:hAnsi="宋体" w:eastAsia="宋体" w:cs="宋体"/>
          <w:sz w:val="18"/>
          <w:szCs w:val="18"/>
          <w:highlight w:val="none"/>
        </w:rPr>
      </w:pPr>
    </w:p>
    <w:p>
      <w:pPr>
        <w:kinsoku w:val="0"/>
        <w:overflowPunct w:val="0"/>
        <w:adjustRightInd w:val="0"/>
        <w:snapToGrid w:val="0"/>
        <w:spacing w:line="360" w:lineRule="auto"/>
        <w:ind w:right="51"/>
        <w:jc w:val="left"/>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 xml:space="preserve">   </w:t>
      </w:r>
    </w:p>
    <w:p>
      <w:pPr>
        <w:kinsoku w:val="0"/>
        <w:overflowPunct w:val="0"/>
        <w:adjustRightInd w:val="0"/>
        <w:snapToGrid w:val="0"/>
        <w:spacing w:line="360" w:lineRule="auto"/>
        <w:ind w:right="51"/>
        <w:jc w:val="left"/>
        <w:rPr>
          <w:rFonts w:hint="eastAsia" w:ascii="宋体" w:hAnsi="宋体" w:eastAsia="宋体" w:cs="宋体"/>
          <w:sz w:val="18"/>
          <w:szCs w:val="18"/>
          <w:highlight w:val="none"/>
        </w:rPr>
      </w:pPr>
      <w:r>
        <w:rPr>
          <w:rFonts w:hint="eastAsia" w:ascii="宋体" w:hAnsi="宋体" w:cs="宋体"/>
          <w:kern w:val="0"/>
          <w:sz w:val="18"/>
          <w:szCs w:val="18"/>
          <w:highlight w:val="none"/>
          <w:lang w:val="en-US" w:eastAsia="zh-CN"/>
        </w:rPr>
        <w:t xml:space="preserve">  </w:t>
      </w:r>
      <w:r>
        <w:rPr>
          <w:rFonts w:hint="eastAsia" w:ascii="宋体" w:hAnsi="宋体" w:eastAsia="宋体" w:cs="宋体"/>
          <w:kern w:val="0"/>
          <w:sz w:val="18"/>
          <w:szCs w:val="18"/>
          <w:highlight w:val="none"/>
          <w:lang w:eastAsia="zh-CN"/>
        </w:rPr>
        <w:t>说明：</w:t>
      </w:r>
      <w:r>
        <w:rPr>
          <w:rFonts w:hint="eastAsia" w:ascii="宋体" w:hAnsi="宋体" w:eastAsia="宋体" w:cs="宋体"/>
          <w:kern w:val="2"/>
          <w:sz w:val="18"/>
          <w:szCs w:val="18"/>
          <w:highlight w:val="none"/>
          <w:lang w:val="en-US" w:eastAsia="zh-CN" w:bidi="ar-SA"/>
        </w:rPr>
        <w:t>我们单位没有政府性基金收入，也没有使用政府性基金安排支出，故此表无数据</w:t>
      </w:r>
      <w:r>
        <w:rPr>
          <w:rFonts w:hint="eastAsia" w:ascii="宋体" w:hAnsi="宋体" w:cs="宋体"/>
          <w:kern w:val="2"/>
          <w:sz w:val="18"/>
          <w:szCs w:val="18"/>
          <w:highlight w:val="none"/>
          <w:lang w:val="en-US" w:eastAsia="zh-CN" w:bidi="ar-SA"/>
        </w:rPr>
        <w:t>。</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4097" w:type="dxa"/>
        <w:tblInd w:w="103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98"/>
        <w:gridCol w:w="2793"/>
        <w:gridCol w:w="1665"/>
        <w:gridCol w:w="885"/>
        <w:gridCol w:w="945"/>
        <w:gridCol w:w="960"/>
        <w:gridCol w:w="975"/>
        <w:gridCol w:w="915"/>
        <w:gridCol w:w="975"/>
        <w:gridCol w:w="1005"/>
        <w:gridCol w:w="735"/>
        <w:gridCol w:w="10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项目支出表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051" w:type="dxa"/>
            <w:gridSpan w:val="11"/>
            <w:tcBorders>
              <w:top w:val="nil"/>
              <w:left w:val="nil"/>
              <w:bottom w:val="nil"/>
              <w:right w:val="nil"/>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新乡市卫滨区统计局</w:t>
            </w:r>
          </w:p>
        </w:tc>
        <w:tc>
          <w:tcPr>
            <w:tcW w:w="1046" w:type="dxa"/>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279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166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88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288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289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73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04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7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6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45"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6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975"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915"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75"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005"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73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4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1198"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793"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65" w:type="dxa"/>
            <w:tcBorders>
              <w:top w:val="nil"/>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62.19</w:t>
            </w:r>
          </w:p>
        </w:tc>
        <w:tc>
          <w:tcPr>
            <w:tcW w:w="94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25.73</w:t>
            </w:r>
          </w:p>
        </w:tc>
        <w:tc>
          <w:tcPr>
            <w:tcW w:w="96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7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1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36.46</w:t>
            </w:r>
          </w:p>
        </w:tc>
        <w:tc>
          <w:tcPr>
            <w:tcW w:w="97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0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3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46"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793"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022</w:t>
            </w:r>
          </w:p>
        </w:tc>
        <w:tc>
          <w:tcPr>
            <w:tcW w:w="166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新乡市卫滨区统计局</w:t>
            </w:r>
          </w:p>
        </w:tc>
        <w:tc>
          <w:tcPr>
            <w:tcW w:w="88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62.19</w:t>
            </w:r>
          </w:p>
        </w:tc>
        <w:tc>
          <w:tcPr>
            <w:tcW w:w="94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25.73</w:t>
            </w:r>
          </w:p>
        </w:tc>
        <w:tc>
          <w:tcPr>
            <w:tcW w:w="96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7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1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36.46</w:t>
            </w:r>
          </w:p>
        </w:tc>
        <w:tc>
          <w:tcPr>
            <w:tcW w:w="97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0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3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46"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vAlign w:val="top"/>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其他运转类</w:t>
            </w:r>
          </w:p>
        </w:tc>
        <w:tc>
          <w:tcPr>
            <w:tcW w:w="2793"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第五次全国经济普查“两员”补贴经费</w:t>
            </w:r>
          </w:p>
        </w:tc>
        <w:tc>
          <w:tcPr>
            <w:tcW w:w="166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新乡市卫滨区统计局</w:t>
            </w:r>
          </w:p>
        </w:tc>
        <w:tc>
          <w:tcPr>
            <w:tcW w:w="88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94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96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7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1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7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0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3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46"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vAlign w:val="top"/>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特定目标类</w:t>
            </w:r>
          </w:p>
        </w:tc>
        <w:tc>
          <w:tcPr>
            <w:tcW w:w="2793"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新财预2023.269号第五次全国经济普查工作普查指导员和普查员报酬补助资金</w:t>
            </w:r>
          </w:p>
        </w:tc>
        <w:tc>
          <w:tcPr>
            <w:tcW w:w="166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新乡市卫滨区统计局</w:t>
            </w:r>
          </w:p>
        </w:tc>
        <w:tc>
          <w:tcPr>
            <w:tcW w:w="88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94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6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7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15"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97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0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35"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46" w:type="dxa"/>
            <w:tcBorders>
              <w:top w:val="nil"/>
              <w:left w:val="nil"/>
              <w:bottom w:val="single" w:color="000000"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auto" w:sz="4" w:space="0"/>
              <w:right w:val="single" w:color="000000" w:sz="4" w:space="0"/>
            </w:tcBorders>
            <w:vAlign w:val="top"/>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特定目标类</w:t>
            </w:r>
          </w:p>
        </w:tc>
        <w:tc>
          <w:tcPr>
            <w:tcW w:w="2793" w:type="dxa"/>
            <w:tcBorders>
              <w:top w:val="nil"/>
              <w:left w:val="nil"/>
              <w:bottom w:val="single" w:color="auto"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新财预2023.274号新乡市第五次全国经济普查指导员和普查员报酬补助资金</w:t>
            </w:r>
          </w:p>
        </w:tc>
        <w:tc>
          <w:tcPr>
            <w:tcW w:w="1665" w:type="dxa"/>
            <w:tcBorders>
              <w:top w:val="nil"/>
              <w:left w:val="nil"/>
              <w:bottom w:val="single" w:color="auto"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新乡市卫滨区统计局</w:t>
            </w:r>
          </w:p>
        </w:tc>
        <w:tc>
          <w:tcPr>
            <w:tcW w:w="885" w:type="dxa"/>
            <w:tcBorders>
              <w:top w:val="nil"/>
              <w:left w:val="nil"/>
              <w:bottom w:val="single" w:color="auto"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945" w:type="dxa"/>
            <w:tcBorders>
              <w:top w:val="nil"/>
              <w:left w:val="nil"/>
              <w:bottom w:val="single" w:color="auto"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60" w:type="dxa"/>
            <w:tcBorders>
              <w:top w:val="nil"/>
              <w:left w:val="nil"/>
              <w:bottom w:val="single" w:color="auto"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75" w:type="dxa"/>
            <w:tcBorders>
              <w:top w:val="nil"/>
              <w:left w:val="nil"/>
              <w:bottom w:val="single" w:color="auto" w:sz="4" w:space="0"/>
              <w:right w:val="single" w:color="000000" w:sz="4" w:space="0"/>
            </w:tcBorders>
            <w:vAlign w:val="top"/>
          </w:tcPr>
          <w:p>
            <w:pPr>
              <w:autoSpaceDN w:val="0"/>
              <w:jc w:val="both"/>
              <w:textAlignment w:val="center"/>
              <w:rPr>
                <w:rFonts w:ascii="宋体" w:hAnsi="宋体" w:cs="宋体"/>
                <w:kern w:val="0"/>
                <w:sz w:val="18"/>
                <w:szCs w:val="18"/>
                <w:highlight w:val="none"/>
              </w:rPr>
            </w:pPr>
          </w:p>
        </w:tc>
        <w:tc>
          <w:tcPr>
            <w:tcW w:w="915" w:type="dxa"/>
            <w:tcBorders>
              <w:top w:val="nil"/>
              <w:left w:val="nil"/>
              <w:bottom w:val="single" w:color="auto"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975" w:type="dxa"/>
            <w:tcBorders>
              <w:top w:val="nil"/>
              <w:left w:val="nil"/>
              <w:bottom w:val="single" w:color="auto"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05" w:type="dxa"/>
            <w:tcBorders>
              <w:top w:val="nil"/>
              <w:left w:val="nil"/>
              <w:bottom w:val="single" w:color="auto"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35" w:type="dxa"/>
            <w:tcBorders>
              <w:top w:val="nil"/>
              <w:left w:val="nil"/>
              <w:bottom w:val="single" w:color="auto"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46" w:type="dxa"/>
            <w:tcBorders>
              <w:top w:val="nil"/>
              <w:left w:val="nil"/>
              <w:bottom w:val="single" w:color="auto" w:sz="4" w:space="0"/>
              <w:right w:val="single" w:color="000000"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79" w:hRule="atLeast"/>
        </w:trPr>
        <w:tc>
          <w:tcPr>
            <w:tcW w:w="1198" w:type="dxa"/>
            <w:tcBorders>
              <w:top w:val="single" w:color="auto" w:sz="4" w:space="0"/>
              <w:left w:val="single" w:color="auto" w:sz="4" w:space="0"/>
              <w:bottom w:val="single" w:color="auto" w:sz="4" w:space="0"/>
              <w:right w:val="single" w:color="auto" w:sz="4" w:space="0"/>
            </w:tcBorders>
            <w:vAlign w:val="top"/>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其他运转类</w:t>
            </w:r>
          </w:p>
        </w:tc>
        <w:tc>
          <w:tcPr>
            <w:tcW w:w="2793"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统计业务工作经费</w:t>
            </w:r>
          </w:p>
        </w:tc>
        <w:tc>
          <w:tcPr>
            <w:tcW w:w="166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新乡市卫滨区统计局本级</w:t>
            </w:r>
          </w:p>
        </w:tc>
        <w:tc>
          <w:tcPr>
            <w:tcW w:w="88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10.00</w:t>
            </w:r>
          </w:p>
        </w:tc>
        <w:tc>
          <w:tcPr>
            <w:tcW w:w="94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10.00</w:t>
            </w:r>
          </w:p>
        </w:tc>
        <w:tc>
          <w:tcPr>
            <w:tcW w:w="960"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97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91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975" w:type="dxa"/>
            <w:tcBorders>
              <w:top w:val="single" w:color="auto" w:sz="4" w:space="0"/>
              <w:left w:val="single" w:color="auto" w:sz="4" w:space="0"/>
              <w:bottom w:val="single" w:color="auto" w:sz="4" w:space="0"/>
              <w:right w:val="single" w:color="auto" w:sz="4" w:space="0"/>
            </w:tcBorders>
            <w:vAlign w:val="top"/>
          </w:tcPr>
          <w:p>
            <w:pPr>
              <w:widowControl/>
              <w:jc w:val="right"/>
              <w:rPr>
                <w:rFonts w:ascii="宋体" w:hAnsi="宋体" w:cs="宋体"/>
                <w:kern w:val="0"/>
                <w:sz w:val="18"/>
                <w:szCs w:val="18"/>
                <w:highlight w:val="none"/>
              </w:rPr>
            </w:pPr>
          </w:p>
        </w:tc>
        <w:tc>
          <w:tcPr>
            <w:tcW w:w="1005" w:type="dxa"/>
            <w:tcBorders>
              <w:top w:val="single" w:color="auto" w:sz="4" w:space="0"/>
              <w:left w:val="single" w:color="auto" w:sz="4" w:space="0"/>
              <w:bottom w:val="single" w:color="auto" w:sz="4" w:space="0"/>
              <w:right w:val="single" w:color="auto" w:sz="4" w:space="0"/>
            </w:tcBorders>
            <w:vAlign w:val="top"/>
          </w:tcPr>
          <w:p>
            <w:pPr>
              <w:widowControl/>
              <w:jc w:val="right"/>
              <w:rPr>
                <w:rFonts w:ascii="宋体" w:hAnsi="宋体" w:cs="宋体"/>
                <w:kern w:val="0"/>
                <w:sz w:val="18"/>
                <w:szCs w:val="18"/>
                <w:highlight w:val="none"/>
              </w:rPr>
            </w:pPr>
          </w:p>
        </w:tc>
        <w:tc>
          <w:tcPr>
            <w:tcW w:w="735" w:type="dxa"/>
            <w:tcBorders>
              <w:top w:val="single" w:color="auto" w:sz="4" w:space="0"/>
              <w:left w:val="single" w:color="auto" w:sz="4" w:space="0"/>
              <w:bottom w:val="single" w:color="auto" w:sz="4" w:space="0"/>
              <w:right w:val="single" w:color="auto" w:sz="4" w:space="0"/>
            </w:tcBorders>
            <w:vAlign w:val="top"/>
          </w:tcPr>
          <w:p>
            <w:pPr>
              <w:widowControl/>
              <w:jc w:val="right"/>
              <w:rPr>
                <w:rFonts w:ascii="宋体" w:hAnsi="宋体" w:cs="宋体"/>
                <w:kern w:val="0"/>
                <w:sz w:val="18"/>
                <w:szCs w:val="18"/>
                <w:highlight w:val="none"/>
              </w:rPr>
            </w:pPr>
          </w:p>
        </w:tc>
        <w:tc>
          <w:tcPr>
            <w:tcW w:w="1046" w:type="dxa"/>
            <w:tcBorders>
              <w:top w:val="single" w:color="auto" w:sz="4" w:space="0"/>
              <w:left w:val="single" w:color="auto" w:sz="4" w:space="0"/>
              <w:bottom w:val="single" w:color="auto" w:sz="4" w:space="0"/>
              <w:right w:val="single" w:color="auto" w:sz="4" w:space="0"/>
            </w:tcBorders>
            <w:vAlign w:val="top"/>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1198" w:type="dxa"/>
            <w:tcBorders>
              <w:top w:val="single" w:color="auto" w:sz="4" w:space="0"/>
              <w:left w:val="single" w:color="auto" w:sz="4" w:space="0"/>
              <w:bottom w:val="single" w:color="auto" w:sz="4" w:space="0"/>
              <w:right w:val="single" w:color="auto" w:sz="4" w:space="0"/>
            </w:tcBorders>
            <w:vAlign w:val="top"/>
          </w:tcPr>
          <w:p>
            <w:pPr>
              <w:autoSpaceDN w:val="0"/>
              <w:jc w:val="righ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特定目标类</w:t>
            </w:r>
          </w:p>
        </w:tc>
        <w:tc>
          <w:tcPr>
            <w:tcW w:w="2793"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新财预2023.308关于下达2022年“四上”企业及建筑企业统计工作奖励资金的通知</w:t>
            </w:r>
          </w:p>
        </w:tc>
        <w:tc>
          <w:tcPr>
            <w:tcW w:w="166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新乡市卫滨区统计局</w:t>
            </w:r>
          </w:p>
        </w:tc>
        <w:tc>
          <w:tcPr>
            <w:tcW w:w="88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5.00</w:t>
            </w:r>
          </w:p>
        </w:tc>
        <w:tc>
          <w:tcPr>
            <w:tcW w:w="94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960"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97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91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5.00</w:t>
            </w:r>
          </w:p>
        </w:tc>
        <w:tc>
          <w:tcPr>
            <w:tcW w:w="975" w:type="dxa"/>
            <w:tcBorders>
              <w:top w:val="single" w:color="auto" w:sz="4" w:space="0"/>
              <w:left w:val="single" w:color="auto" w:sz="4" w:space="0"/>
              <w:bottom w:val="single" w:color="auto" w:sz="4" w:space="0"/>
              <w:right w:val="single" w:color="auto" w:sz="4" w:space="0"/>
            </w:tcBorders>
            <w:vAlign w:val="top"/>
          </w:tcPr>
          <w:p>
            <w:pPr>
              <w:widowControl/>
              <w:jc w:val="right"/>
              <w:rPr>
                <w:rFonts w:ascii="宋体" w:hAnsi="宋体" w:cs="宋体"/>
                <w:kern w:val="0"/>
                <w:sz w:val="18"/>
                <w:szCs w:val="18"/>
                <w:highlight w:val="none"/>
              </w:rPr>
            </w:pPr>
          </w:p>
        </w:tc>
        <w:tc>
          <w:tcPr>
            <w:tcW w:w="1005" w:type="dxa"/>
            <w:tcBorders>
              <w:top w:val="single" w:color="auto" w:sz="4" w:space="0"/>
              <w:left w:val="single" w:color="auto" w:sz="4" w:space="0"/>
              <w:bottom w:val="single" w:color="auto" w:sz="4" w:space="0"/>
              <w:right w:val="single" w:color="auto" w:sz="4" w:space="0"/>
            </w:tcBorders>
            <w:vAlign w:val="top"/>
          </w:tcPr>
          <w:p>
            <w:pPr>
              <w:widowControl/>
              <w:jc w:val="right"/>
              <w:rPr>
                <w:rFonts w:ascii="宋体" w:hAnsi="宋体" w:cs="宋体"/>
                <w:kern w:val="0"/>
                <w:sz w:val="18"/>
                <w:szCs w:val="18"/>
                <w:highlight w:val="none"/>
              </w:rPr>
            </w:pPr>
          </w:p>
        </w:tc>
        <w:tc>
          <w:tcPr>
            <w:tcW w:w="735" w:type="dxa"/>
            <w:tcBorders>
              <w:top w:val="single" w:color="auto" w:sz="4" w:space="0"/>
              <w:left w:val="single" w:color="auto" w:sz="4" w:space="0"/>
              <w:bottom w:val="single" w:color="auto" w:sz="4" w:space="0"/>
              <w:right w:val="single" w:color="auto" w:sz="4" w:space="0"/>
            </w:tcBorders>
            <w:vAlign w:val="top"/>
          </w:tcPr>
          <w:p>
            <w:pPr>
              <w:widowControl/>
              <w:jc w:val="right"/>
              <w:rPr>
                <w:rFonts w:ascii="宋体" w:hAnsi="宋体" w:cs="宋体"/>
                <w:kern w:val="0"/>
                <w:sz w:val="18"/>
                <w:szCs w:val="18"/>
                <w:highlight w:val="none"/>
              </w:rPr>
            </w:pPr>
          </w:p>
        </w:tc>
        <w:tc>
          <w:tcPr>
            <w:tcW w:w="1046" w:type="dxa"/>
            <w:tcBorders>
              <w:top w:val="single" w:color="auto" w:sz="4" w:space="0"/>
              <w:left w:val="single" w:color="auto" w:sz="4" w:space="0"/>
              <w:bottom w:val="single" w:color="auto" w:sz="4" w:space="0"/>
              <w:right w:val="single" w:color="auto" w:sz="4" w:space="0"/>
            </w:tcBorders>
            <w:vAlign w:val="top"/>
          </w:tcPr>
          <w:p>
            <w:pPr>
              <w:widowControl/>
              <w:jc w:val="right"/>
              <w:rPr>
                <w:rFonts w:ascii="宋体" w:hAnsi="宋体" w:cs="宋体"/>
                <w:kern w:val="0"/>
                <w:sz w:val="18"/>
                <w:szCs w:val="18"/>
                <w:highlight w:val="none"/>
              </w:rPr>
            </w:pPr>
          </w:p>
        </w:tc>
      </w:tr>
    </w:tbl>
    <w:p>
      <w:pPr>
        <w:kinsoku w:val="0"/>
        <w:overflowPunct w:val="0"/>
        <w:adjustRightInd w:val="0"/>
        <w:snapToGrid w:val="0"/>
        <w:spacing w:line="560" w:lineRule="exact"/>
        <w:rPr>
          <w:rFonts w:hint="eastAsia" w:ascii="黑体" w:hAnsi="Times New Roman" w:eastAsia="黑体" w:cs="黑体"/>
          <w:sz w:val="32"/>
          <w:szCs w:val="32"/>
          <w:highlight w:val="none"/>
          <w:lang w:eastAsia="zh-CN"/>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975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0"/>
        <w:gridCol w:w="1460"/>
        <w:gridCol w:w="1927"/>
        <w:gridCol w:w="840"/>
        <w:gridCol w:w="41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757" w:type="dxa"/>
            <w:gridSpan w:val="5"/>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9757" w:type="dxa"/>
            <w:gridSpan w:val="5"/>
            <w:tcBorders>
              <w:top w:val="nil"/>
              <w:left w:val="nil"/>
              <w:bottom w:val="nil"/>
              <w:right w:val="nil"/>
            </w:tcBorders>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757" w:type="dxa"/>
            <w:gridSpan w:val="5"/>
            <w:tcBorders>
              <w:top w:val="nil"/>
              <w:left w:val="nil"/>
              <w:bottom w:val="nil"/>
              <w:right w:val="nil"/>
            </w:tcBorders>
            <w:vAlign w:val="center"/>
          </w:tcPr>
          <w:p>
            <w:pPr>
              <w:widowControl/>
              <w:jc w:val="center"/>
              <w:rPr>
                <w:rFonts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757" w:type="dxa"/>
            <w:gridSpan w:val="5"/>
            <w:tcBorders>
              <w:top w:val="nil"/>
              <w:left w:val="nil"/>
              <w:bottom w:val="single" w:color="000000" w:sz="4" w:space="0"/>
              <w:right w:val="nil"/>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新乡市卫滨区统计局</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0" w:hRule="atLeast"/>
        </w:trPr>
        <w:tc>
          <w:tcPr>
            <w:tcW w:w="13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839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切实做好统计年、定报工作、切实做好经济普查及各类统计调查工作，切实做好“四上”企业入库工作。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136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年度主要任务</w:t>
            </w:r>
          </w:p>
        </w:tc>
        <w:tc>
          <w:tcPr>
            <w:tcW w:w="338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任务名称</w:t>
            </w:r>
          </w:p>
        </w:tc>
        <w:tc>
          <w:tcPr>
            <w:tcW w:w="501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9"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387"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统计业务工作</w:t>
            </w:r>
          </w:p>
        </w:tc>
        <w:tc>
          <w:tcPr>
            <w:tcW w:w="5010"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做好各专业统计业务工作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9"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387"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第五次全国经济普查相关工作</w:t>
            </w:r>
          </w:p>
        </w:tc>
        <w:tc>
          <w:tcPr>
            <w:tcW w:w="5010"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做好五经普相关工作，掌握我区经济发展情况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2"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387" w:type="dxa"/>
            <w:gridSpan w:val="2"/>
            <w:tcBorders>
              <w:top w:val="single" w:color="000000" w:sz="4" w:space="0"/>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“四上”企业入库工作</w:t>
            </w:r>
          </w:p>
        </w:tc>
        <w:tc>
          <w:tcPr>
            <w:tcW w:w="5010" w:type="dxa"/>
            <w:gridSpan w:val="2"/>
            <w:tcBorders>
              <w:top w:val="single" w:color="000000" w:sz="4" w:space="0"/>
              <w:left w:val="nil"/>
              <w:bottom w:val="single" w:color="000000" w:sz="4" w:space="0"/>
              <w:right w:val="single" w:color="000000" w:sz="4" w:space="0"/>
            </w:tcBorders>
            <w:vAlign w:val="center"/>
          </w:tcPr>
          <w:p>
            <w:pPr>
              <w:autoSpaceDN w:val="0"/>
              <w:jc w:val="left"/>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做好“四上”企业入库工作，为地区经济发展做贡献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338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部门预算总额（万元）</w:t>
            </w:r>
          </w:p>
        </w:tc>
        <w:tc>
          <w:tcPr>
            <w:tcW w:w="5010"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205.38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387" w:type="dxa"/>
            <w:gridSpan w:val="2"/>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1、资金来源：（1）政府预算资金</w:t>
            </w:r>
          </w:p>
        </w:tc>
        <w:tc>
          <w:tcPr>
            <w:tcW w:w="5010"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205.38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387" w:type="dxa"/>
            <w:gridSpan w:val="2"/>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（2）财政专户管理资金</w:t>
            </w:r>
          </w:p>
        </w:tc>
        <w:tc>
          <w:tcPr>
            <w:tcW w:w="501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387" w:type="dxa"/>
            <w:gridSpan w:val="2"/>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（3）单位资金</w:t>
            </w:r>
          </w:p>
        </w:tc>
        <w:tc>
          <w:tcPr>
            <w:tcW w:w="501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387" w:type="dxa"/>
            <w:gridSpan w:val="2"/>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2、资金结构：（1）基本支出</w:t>
            </w:r>
          </w:p>
        </w:tc>
        <w:tc>
          <w:tcPr>
            <w:tcW w:w="5010"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143.19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387" w:type="dxa"/>
            <w:gridSpan w:val="2"/>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（2）项目支出</w:t>
            </w:r>
          </w:p>
        </w:tc>
        <w:tc>
          <w:tcPr>
            <w:tcW w:w="5010" w:type="dxa"/>
            <w:gridSpan w:val="2"/>
            <w:tcBorders>
              <w:top w:val="single" w:color="000000" w:sz="4" w:space="0"/>
              <w:left w:val="nil"/>
              <w:bottom w:val="single" w:color="000000" w:sz="4" w:space="0"/>
              <w:right w:val="single" w:color="000000" w:sz="4" w:space="0"/>
            </w:tcBorders>
            <w:vAlign w:val="center"/>
          </w:tcPr>
          <w:p>
            <w:pPr>
              <w:autoSpaceDN w:val="0"/>
              <w:jc w:val="center"/>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62.19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146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1927"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84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4170" w:type="dxa"/>
            <w:tcBorders>
              <w:top w:val="nil"/>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08" w:hRule="atLeast"/>
        </w:trPr>
        <w:tc>
          <w:tcPr>
            <w:tcW w:w="13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4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1927"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年度履职目标相关性</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相关</w:t>
            </w:r>
          </w:p>
          <w:p>
            <w:pPr>
              <w:jc w:val="both"/>
              <w:rPr>
                <w:rFonts w:hint="default"/>
                <w:lang w:val="en-US" w:eastAsia="zh-CN"/>
              </w:rPr>
            </w:pP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工作任务科学性</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科学</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绩效指标合理性</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合理</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1927"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预算编制完整性</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完整</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1.部门所有收入是否全部纳入部门预算；2.部门支出预算是否统筹各类资金来源，全部纳入部门预算管理。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专项资金细化率</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≥90%</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专项资金细化率=（已细化到具体市县和承担单位的资金数/部门参与分配资金总数）×100%。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预算执行率</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≥90%</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预算执行率=（预算完成数/预算数）×100%。预算完成数指部门实际执行的预算数；预算数指财政部门批复的本年度部门的（调整）预算数。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预算调整率</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结转结余率</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结转结余率=结转结余总额/预算数*100%。结转结余总额是指部门本年度的结转结余资金之和。预算数是指财政部门批复的本年度部门的（调整）预算数。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“三公经费”控制率</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“三公经费”控制率=本年度“三公经费”实际支出数/“三公经费”预算数*100%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政府采购执行率</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≥80%</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政府采购执行率=（实际政府采购金额/政府采购预算数）×100%。政府采购预算：采购机关根据事业发展计划和行政任务编制的、并经过规定程序批准的年度政府采购计划。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决算真实性</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真实</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反映本部门决算工作情况。决算编制数据是否账表一致，即决算报表数据与会计账簿数据是否一致。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资金使用合规性</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合规</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37"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管理制度健全性</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健全</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预决算信息公开性</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公开</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资产管理规范性</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规范</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1927" w:type="dxa"/>
            <w:tcBorders>
              <w:top w:val="nil"/>
              <w:left w:val="nil"/>
              <w:bottom w:val="nil"/>
              <w:right w:val="nil"/>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绩效目标编制完成率</w:t>
            </w:r>
          </w:p>
        </w:tc>
        <w:tc>
          <w:tcPr>
            <w:tcW w:w="840" w:type="dxa"/>
            <w:tcBorders>
              <w:top w:val="nil"/>
              <w:left w:val="single" w:color="000000" w:sz="4" w:space="0"/>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部门（单位）按要求实施绩效监控的项目数量占应实施绩效监控项目总数的比重。部门绩效监控完成率=已完成绩效监控项目数量/部门项目总数*100%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single" w:color="000000" w:sz="4" w:space="0"/>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绩效监控完成率</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部门（单位）按要求编制绩效目标的项目数量占应编制绩效目标项目总数的比重。部门目标编制完成率=已完成绩效目标编制项目数量/部门应编制绩效目标项目总数*100%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绩效自评完成率</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部门（单位）按要求实施绩效自评的项目数量占应实施绩效自评项目总数的比重。部门绩效自评完成率=已完成评价项目数量/部门项目总数*100%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部门绩效评价完成率</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部门重点绩效评价项目评价完成情况。部门绩效评价完成率=已完成评价项目数量/部门重点绩效评价项目数*100%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评价结果应用率</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417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绩效监控、单位自评、部门绩效评价、财政重点绩效评价结果应用情况。评价结果应用率=评价提出的意见建议采纳数/提出的意见建议总数*100%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4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五经普工作完成率</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417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统计业务工作完成率</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417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履职目标实现</w:t>
            </w: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掌握全区二、三产业相关经济指标</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≥95%</w:t>
            </w:r>
          </w:p>
        </w:tc>
        <w:tc>
          <w:tcPr>
            <w:tcW w:w="417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统计业务培训及经普培训目标实现率</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100%</w:t>
            </w:r>
          </w:p>
        </w:tc>
        <w:tc>
          <w:tcPr>
            <w:tcW w:w="417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4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履职效益</w:t>
            </w: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提高镇办及企业统计人员统计业务水平</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提高</w:t>
            </w:r>
          </w:p>
        </w:tc>
        <w:tc>
          <w:tcPr>
            <w:tcW w:w="417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 xml:space="preserve"> 掌握全区经济发展情况</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掌握</w:t>
            </w:r>
          </w:p>
        </w:tc>
        <w:tc>
          <w:tcPr>
            <w:tcW w:w="417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w:t>
            </w:r>
          </w:p>
        </w:tc>
        <w:tc>
          <w:tcPr>
            <w:tcW w:w="1927"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被调查对象满意度</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≥90%</w:t>
            </w:r>
          </w:p>
        </w:tc>
        <w:tc>
          <w:tcPr>
            <w:tcW w:w="4170" w:type="dxa"/>
            <w:tcBorders>
              <w:top w:val="nil"/>
              <w:left w:val="nil"/>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6"/>
        <w:tblW w:w="15451"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35"/>
        <w:gridCol w:w="1665"/>
        <w:gridCol w:w="690"/>
        <w:gridCol w:w="840"/>
        <w:gridCol w:w="960"/>
        <w:gridCol w:w="690"/>
        <w:gridCol w:w="1380"/>
        <w:gridCol w:w="795"/>
        <w:gridCol w:w="2205"/>
        <w:gridCol w:w="1125"/>
        <w:gridCol w:w="705"/>
        <w:gridCol w:w="793"/>
        <w:gridCol w:w="1418"/>
        <w:gridCol w:w="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451" w:type="dxa"/>
            <w:gridSpan w:val="14"/>
            <w:tcBorders>
              <w:top w:val="nil"/>
              <w:left w:val="nil"/>
              <w:bottom w:val="nil"/>
              <w:right w:val="nil"/>
            </w:tcBorders>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15451" w:type="dxa"/>
            <w:gridSpan w:val="14"/>
            <w:tcBorders>
              <w:top w:val="nil"/>
              <w:left w:val="nil"/>
              <w:bottom w:val="nil"/>
              <w:right w:val="nil"/>
            </w:tcBorders>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新乡市卫滨区统计局</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3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单位编码（项目编码）</w:t>
            </w:r>
          </w:p>
        </w:tc>
        <w:tc>
          <w:tcPr>
            <w:tcW w:w="166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项目单位 （项目名称）</w:t>
            </w:r>
          </w:p>
        </w:tc>
        <w:tc>
          <w:tcPr>
            <w:tcW w:w="3180" w:type="dxa"/>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项目金额（万元）</w:t>
            </w:r>
          </w:p>
        </w:tc>
        <w:tc>
          <w:tcPr>
            <w:tcW w:w="9271" w:type="dxa"/>
            <w:gridSpan w:val="8"/>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7" w:hRule="atLeast"/>
        </w:trPr>
        <w:tc>
          <w:tcPr>
            <w:tcW w:w="133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6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180"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75"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成本指标  </w:t>
            </w:r>
          </w:p>
        </w:tc>
        <w:tc>
          <w:tcPr>
            <w:tcW w:w="3330"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498"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2268"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满意度指标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702" w:hRule="atLeast"/>
        </w:trPr>
        <w:tc>
          <w:tcPr>
            <w:tcW w:w="133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66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9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资金总额</w:t>
            </w:r>
          </w:p>
        </w:tc>
        <w:tc>
          <w:tcPr>
            <w:tcW w:w="84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政府预算资金</w:t>
            </w:r>
          </w:p>
        </w:tc>
        <w:tc>
          <w:tcPr>
            <w:tcW w:w="96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69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单位资金</w:t>
            </w:r>
          </w:p>
        </w:tc>
        <w:tc>
          <w:tcPr>
            <w:tcW w:w="138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795"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2205"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125"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705"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793"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418"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50" w:type="dxa"/>
            <w:tcBorders>
              <w:top w:val="nil"/>
              <w:left w:val="nil"/>
              <w:bottom w:val="single" w:color="000000" w:sz="4" w:space="0"/>
              <w:right w:val="single" w:color="000000" w:sz="4" w:space="0"/>
            </w:tcBorders>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35" w:type="dxa"/>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022</w:t>
            </w:r>
          </w:p>
        </w:tc>
        <w:tc>
          <w:tcPr>
            <w:tcW w:w="166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p>
        </w:tc>
        <w:tc>
          <w:tcPr>
            <w:tcW w:w="69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62.19</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62.19</w:t>
            </w:r>
          </w:p>
        </w:tc>
        <w:tc>
          <w:tcPr>
            <w:tcW w:w="96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69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38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79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220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12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70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793"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85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4" w:hRule="atLeast"/>
        </w:trPr>
        <w:tc>
          <w:tcPr>
            <w:tcW w:w="1335" w:type="dxa"/>
            <w:vMerge w:val="restart"/>
            <w:tcBorders>
              <w:top w:val="nil"/>
              <w:left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022001</w:t>
            </w:r>
          </w:p>
        </w:tc>
        <w:tc>
          <w:tcPr>
            <w:tcW w:w="166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新乡市卫滨区统计局本级</w:t>
            </w:r>
          </w:p>
        </w:tc>
        <w:tc>
          <w:tcPr>
            <w:tcW w:w="69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10.00</w:t>
            </w:r>
          </w:p>
        </w:tc>
        <w:tc>
          <w:tcPr>
            <w:tcW w:w="84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10.00</w:t>
            </w:r>
          </w:p>
        </w:tc>
        <w:tc>
          <w:tcPr>
            <w:tcW w:w="96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69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138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9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220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0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93"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4" w:hRule="atLeast"/>
        </w:trPr>
        <w:tc>
          <w:tcPr>
            <w:tcW w:w="1335" w:type="dxa"/>
            <w:vMerge w:val="continue"/>
            <w:tcBorders>
              <w:left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1665" w:type="dxa"/>
            <w:vMerge w:val="restart"/>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新乡市卫滨区统计局</w:t>
            </w:r>
          </w:p>
        </w:tc>
        <w:tc>
          <w:tcPr>
            <w:tcW w:w="690" w:type="dxa"/>
            <w:vMerge w:val="restart"/>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52.19</w:t>
            </w:r>
          </w:p>
        </w:tc>
        <w:tc>
          <w:tcPr>
            <w:tcW w:w="840" w:type="dxa"/>
            <w:vMerge w:val="restart"/>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52.19</w:t>
            </w:r>
          </w:p>
        </w:tc>
        <w:tc>
          <w:tcPr>
            <w:tcW w:w="960" w:type="dxa"/>
            <w:vMerge w:val="restart"/>
            <w:tcBorders>
              <w:top w:val="nil"/>
              <w:left w:val="single" w:color="000000" w:sz="4" w:space="0"/>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690" w:type="dxa"/>
            <w:vMerge w:val="restart"/>
            <w:tcBorders>
              <w:top w:val="nil"/>
              <w:left w:val="single" w:color="000000" w:sz="4" w:space="0"/>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138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9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220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0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93"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7" w:hRule="atLeast"/>
        </w:trPr>
        <w:tc>
          <w:tcPr>
            <w:tcW w:w="1335" w:type="dxa"/>
            <w:vMerge w:val="continue"/>
            <w:tcBorders>
              <w:left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1665"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690"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840"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960"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690"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138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9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220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0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93"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335" w:type="dxa"/>
            <w:vMerge w:val="continue"/>
            <w:tcBorders>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1665"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690"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840"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960"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690"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138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9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220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0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93"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1335" w:type="dxa"/>
            <w:vMerge w:val="restart"/>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410703220000000016916</w:t>
            </w:r>
          </w:p>
        </w:tc>
        <w:tc>
          <w:tcPr>
            <w:tcW w:w="1665" w:type="dxa"/>
            <w:vMerge w:val="restart"/>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统计业务工作经费</w:t>
            </w:r>
          </w:p>
        </w:tc>
        <w:tc>
          <w:tcPr>
            <w:tcW w:w="690" w:type="dxa"/>
            <w:vMerge w:val="restart"/>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10.00</w:t>
            </w:r>
          </w:p>
        </w:tc>
        <w:tc>
          <w:tcPr>
            <w:tcW w:w="840" w:type="dxa"/>
            <w:vMerge w:val="restart"/>
            <w:tcBorders>
              <w:top w:val="nil"/>
              <w:left w:val="single" w:color="000000" w:sz="4" w:space="0"/>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10.00</w:t>
            </w:r>
          </w:p>
        </w:tc>
        <w:tc>
          <w:tcPr>
            <w:tcW w:w="960" w:type="dxa"/>
            <w:vMerge w:val="restart"/>
            <w:tcBorders>
              <w:top w:val="nil"/>
              <w:left w:val="single" w:color="000000" w:sz="4" w:space="0"/>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690" w:type="dxa"/>
            <w:vMerge w:val="restart"/>
            <w:tcBorders>
              <w:top w:val="nil"/>
              <w:left w:val="single" w:color="000000" w:sz="4" w:space="0"/>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138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统计工作经费总成本</w:t>
            </w:r>
          </w:p>
        </w:tc>
        <w:tc>
          <w:tcPr>
            <w:tcW w:w="79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18.26万元</w:t>
            </w:r>
          </w:p>
        </w:tc>
        <w:tc>
          <w:tcPr>
            <w:tcW w:w="220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统计业务培训次数</w:t>
            </w:r>
          </w:p>
        </w:tc>
        <w:tc>
          <w:tcPr>
            <w:tcW w:w="112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≥3次</w:t>
            </w:r>
          </w:p>
        </w:tc>
        <w:tc>
          <w:tcPr>
            <w:tcW w:w="70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93"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被调查对象满意度</w:t>
            </w:r>
          </w:p>
        </w:tc>
        <w:tc>
          <w:tcPr>
            <w:tcW w:w="85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335"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1665"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690"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840"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960"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690"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138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9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220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统计数据准确率</w:t>
            </w:r>
          </w:p>
        </w:tc>
        <w:tc>
          <w:tcPr>
            <w:tcW w:w="112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≥95%</w:t>
            </w:r>
          </w:p>
        </w:tc>
        <w:tc>
          <w:tcPr>
            <w:tcW w:w="70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93"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1" w:hRule="atLeast"/>
        </w:trPr>
        <w:tc>
          <w:tcPr>
            <w:tcW w:w="1335"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1665"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690"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840"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960"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690" w:type="dxa"/>
            <w:vMerge w:val="continue"/>
            <w:tcBorders>
              <w:top w:val="nil"/>
              <w:left w:val="single" w:color="000000" w:sz="4" w:space="0"/>
              <w:bottom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138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79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220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项目资金拨付到位时间</w:t>
            </w:r>
          </w:p>
        </w:tc>
        <w:tc>
          <w:tcPr>
            <w:tcW w:w="112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2024年12月底前</w:t>
            </w:r>
          </w:p>
        </w:tc>
        <w:tc>
          <w:tcPr>
            <w:tcW w:w="70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793"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850"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98" w:hRule="atLeast"/>
        </w:trPr>
        <w:tc>
          <w:tcPr>
            <w:tcW w:w="1335" w:type="dxa"/>
            <w:vMerge w:val="restart"/>
            <w:tcBorders>
              <w:top w:val="nil"/>
              <w:left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410703230000000003604</w:t>
            </w:r>
          </w:p>
        </w:tc>
        <w:tc>
          <w:tcPr>
            <w:tcW w:w="1665" w:type="dxa"/>
            <w:vMerge w:val="restart"/>
            <w:tcBorders>
              <w:top w:val="nil"/>
              <w:left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第五次全国经济普查“两员”补贴经费</w:t>
            </w:r>
          </w:p>
        </w:tc>
        <w:tc>
          <w:tcPr>
            <w:tcW w:w="690" w:type="dxa"/>
            <w:vMerge w:val="restart"/>
            <w:tcBorders>
              <w:top w:val="nil"/>
              <w:left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840" w:type="dxa"/>
            <w:vMerge w:val="restart"/>
            <w:tcBorders>
              <w:top w:val="nil"/>
              <w:left w:val="single" w:color="000000" w:sz="4" w:space="0"/>
              <w:right w:val="single" w:color="000000"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960" w:type="dxa"/>
            <w:vMerge w:val="restart"/>
            <w:tcBorders>
              <w:top w:val="nil"/>
              <w:left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690" w:type="dxa"/>
            <w:vMerge w:val="restart"/>
            <w:tcBorders>
              <w:top w:val="nil"/>
              <w:left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138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第五次全国经济普查指导员和普查员报酬补助资金</w:t>
            </w:r>
          </w:p>
        </w:tc>
        <w:tc>
          <w:tcPr>
            <w:tcW w:w="795"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15.72万元</w:t>
            </w:r>
          </w:p>
        </w:tc>
        <w:tc>
          <w:tcPr>
            <w:tcW w:w="2205" w:type="dxa"/>
            <w:tcBorders>
              <w:top w:val="nil"/>
              <w:left w:val="nil"/>
              <w:bottom w:val="single" w:color="000000" w:sz="4" w:space="0"/>
              <w:right w:val="single" w:color="000000"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普查指导员和普查员人数</w:t>
            </w:r>
          </w:p>
        </w:tc>
        <w:tc>
          <w:tcPr>
            <w:tcW w:w="1125" w:type="dxa"/>
            <w:tcBorders>
              <w:top w:val="nil"/>
              <w:left w:val="nil"/>
              <w:bottom w:val="single" w:color="000000" w:sz="4" w:space="0"/>
              <w:right w:val="single" w:color="000000"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176人</w:t>
            </w:r>
          </w:p>
        </w:tc>
        <w:tc>
          <w:tcPr>
            <w:tcW w:w="705"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93" w:type="dxa"/>
            <w:tcBorders>
              <w:top w:val="nil"/>
              <w:left w:val="nil"/>
              <w:bottom w:val="single" w:color="000000" w:sz="4" w:space="0"/>
              <w:right w:val="single" w:color="000000" w:sz="4" w:space="0"/>
            </w:tcBorders>
            <w:vAlign w:val="top"/>
          </w:tcPr>
          <w:p>
            <w:pPr>
              <w:widowControl/>
              <w:jc w:val="both"/>
              <w:rPr>
                <w:rFonts w:hint="eastAsia"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普查指导员和普查员满意度</w:t>
            </w:r>
          </w:p>
        </w:tc>
        <w:tc>
          <w:tcPr>
            <w:tcW w:w="850" w:type="dxa"/>
            <w:tcBorders>
              <w:top w:val="nil"/>
              <w:left w:val="nil"/>
              <w:bottom w:val="single" w:color="000000" w:sz="4" w:space="0"/>
              <w:right w:val="single" w:color="000000"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9" w:hRule="atLeast"/>
        </w:trPr>
        <w:tc>
          <w:tcPr>
            <w:tcW w:w="1335" w:type="dxa"/>
            <w:vMerge w:val="continue"/>
            <w:tcBorders>
              <w:left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1665" w:type="dxa"/>
            <w:vMerge w:val="continue"/>
            <w:tcBorders>
              <w:left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690" w:type="dxa"/>
            <w:vMerge w:val="continue"/>
            <w:tcBorders>
              <w:left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840" w:type="dxa"/>
            <w:vMerge w:val="continue"/>
            <w:tcBorders>
              <w:left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960" w:type="dxa"/>
            <w:vMerge w:val="continue"/>
            <w:tcBorders>
              <w:left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690" w:type="dxa"/>
            <w:vMerge w:val="continue"/>
            <w:tcBorders>
              <w:left w:val="single" w:color="000000" w:sz="4" w:space="0"/>
              <w:right w:val="single" w:color="000000" w:sz="4" w:space="0"/>
            </w:tcBorders>
            <w:vAlign w:val="top"/>
          </w:tcPr>
          <w:p>
            <w:pPr>
              <w:widowControl/>
              <w:jc w:val="both"/>
              <w:rPr>
                <w:rFonts w:ascii="宋体" w:hAnsi="宋体" w:cs="宋体"/>
                <w:kern w:val="0"/>
                <w:sz w:val="18"/>
                <w:szCs w:val="18"/>
                <w:highlight w:val="none"/>
              </w:rPr>
            </w:pPr>
          </w:p>
        </w:tc>
        <w:tc>
          <w:tcPr>
            <w:tcW w:w="1380" w:type="dxa"/>
            <w:tcBorders>
              <w:top w:val="nil"/>
              <w:left w:val="nil"/>
              <w:bottom w:val="single" w:color="auto"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95" w:type="dxa"/>
            <w:tcBorders>
              <w:top w:val="nil"/>
              <w:left w:val="nil"/>
              <w:bottom w:val="single" w:color="auto" w:sz="4" w:space="0"/>
              <w:right w:val="single" w:color="000000" w:sz="4" w:space="0"/>
            </w:tcBorders>
            <w:vAlign w:val="top"/>
          </w:tcPr>
          <w:p>
            <w:pPr>
              <w:widowControl/>
              <w:jc w:val="both"/>
              <w:rPr>
                <w:rFonts w:hint="eastAsia" w:ascii="宋体" w:hAnsi="宋体" w:cs="宋体"/>
                <w:kern w:val="0"/>
                <w:sz w:val="18"/>
                <w:szCs w:val="18"/>
                <w:highlight w:val="none"/>
              </w:rPr>
            </w:pPr>
          </w:p>
        </w:tc>
        <w:tc>
          <w:tcPr>
            <w:tcW w:w="2205" w:type="dxa"/>
            <w:tcBorders>
              <w:top w:val="nil"/>
              <w:left w:val="nil"/>
              <w:bottom w:val="single" w:color="auto" w:sz="4" w:space="0"/>
              <w:right w:val="single" w:color="000000"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普查数据准确率</w:t>
            </w:r>
          </w:p>
        </w:tc>
        <w:tc>
          <w:tcPr>
            <w:tcW w:w="1125" w:type="dxa"/>
            <w:tcBorders>
              <w:top w:val="nil"/>
              <w:left w:val="nil"/>
              <w:bottom w:val="single" w:color="auto" w:sz="4" w:space="0"/>
              <w:right w:val="single" w:color="000000"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≥95%</w:t>
            </w:r>
          </w:p>
        </w:tc>
        <w:tc>
          <w:tcPr>
            <w:tcW w:w="705" w:type="dxa"/>
            <w:tcBorders>
              <w:top w:val="nil"/>
              <w:left w:val="nil"/>
              <w:bottom w:val="single" w:color="auto" w:sz="4" w:space="0"/>
              <w:right w:val="single" w:color="000000" w:sz="4" w:space="0"/>
            </w:tcBorders>
            <w:vAlign w:val="top"/>
          </w:tcPr>
          <w:p>
            <w:pPr>
              <w:widowControl/>
              <w:jc w:val="both"/>
              <w:rPr>
                <w:rFonts w:hint="eastAsia" w:ascii="宋体" w:hAnsi="宋体" w:cs="宋体"/>
                <w:kern w:val="0"/>
                <w:sz w:val="18"/>
                <w:szCs w:val="18"/>
                <w:highlight w:val="none"/>
              </w:rPr>
            </w:pPr>
          </w:p>
        </w:tc>
        <w:tc>
          <w:tcPr>
            <w:tcW w:w="793" w:type="dxa"/>
            <w:tcBorders>
              <w:top w:val="nil"/>
              <w:left w:val="nil"/>
              <w:bottom w:val="single" w:color="auto" w:sz="4" w:space="0"/>
              <w:right w:val="single" w:color="000000" w:sz="4" w:space="0"/>
            </w:tcBorders>
            <w:vAlign w:val="top"/>
          </w:tcPr>
          <w:p>
            <w:pPr>
              <w:widowControl/>
              <w:jc w:val="both"/>
              <w:rPr>
                <w:rFonts w:hint="eastAsia" w:ascii="宋体" w:hAnsi="宋体" w:cs="宋体"/>
                <w:kern w:val="0"/>
                <w:sz w:val="18"/>
                <w:szCs w:val="18"/>
                <w:highlight w:val="none"/>
              </w:rPr>
            </w:pPr>
          </w:p>
        </w:tc>
        <w:tc>
          <w:tcPr>
            <w:tcW w:w="1418" w:type="dxa"/>
            <w:tcBorders>
              <w:top w:val="nil"/>
              <w:left w:val="nil"/>
              <w:bottom w:val="single" w:color="auto" w:sz="4" w:space="0"/>
              <w:right w:val="single" w:color="000000" w:sz="4" w:space="0"/>
            </w:tcBorders>
            <w:vAlign w:val="top"/>
          </w:tcPr>
          <w:p>
            <w:pPr>
              <w:widowControl/>
              <w:jc w:val="both"/>
              <w:rPr>
                <w:rFonts w:hint="eastAsia" w:ascii="宋体" w:hAnsi="宋体" w:cs="宋体"/>
                <w:kern w:val="0"/>
                <w:sz w:val="18"/>
                <w:szCs w:val="18"/>
                <w:highlight w:val="none"/>
              </w:rPr>
            </w:pPr>
          </w:p>
        </w:tc>
        <w:tc>
          <w:tcPr>
            <w:tcW w:w="850" w:type="dxa"/>
            <w:tcBorders>
              <w:top w:val="nil"/>
              <w:left w:val="nil"/>
              <w:bottom w:val="single" w:color="auto" w:sz="4" w:space="0"/>
              <w:right w:val="single" w:color="000000" w:sz="4" w:space="0"/>
            </w:tcBorders>
            <w:vAlign w:val="top"/>
          </w:tcPr>
          <w:p>
            <w:pPr>
              <w:widowControl/>
              <w:jc w:val="both"/>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1335" w:type="dxa"/>
            <w:vMerge w:val="continue"/>
            <w:tcBorders>
              <w:left w:val="single" w:color="000000" w:sz="4" w:space="0"/>
              <w:bottom w:val="single" w:color="auto" w:sz="4" w:space="0"/>
              <w:right w:val="single" w:color="000000" w:sz="4" w:space="0"/>
            </w:tcBorders>
            <w:vAlign w:val="top"/>
          </w:tcPr>
          <w:p>
            <w:pPr>
              <w:widowControl/>
              <w:jc w:val="both"/>
              <w:rPr>
                <w:rFonts w:ascii="宋体" w:hAnsi="宋体" w:cs="宋体"/>
                <w:kern w:val="0"/>
                <w:sz w:val="18"/>
                <w:szCs w:val="18"/>
                <w:highlight w:val="none"/>
              </w:rPr>
            </w:pPr>
          </w:p>
        </w:tc>
        <w:tc>
          <w:tcPr>
            <w:tcW w:w="1665" w:type="dxa"/>
            <w:vMerge w:val="continue"/>
            <w:tcBorders>
              <w:left w:val="single" w:color="000000" w:sz="4" w:space="0"/>
              <w:bottom w:val="single" w:color="auto" w:sz="4" w:space="0"/>
              <w:right w:val="single" w:color="000000" w:sz="4" w:space="0"/>
            </w:tcBorders>
            <w:vAlign w:val="top"/>
          </w:tcPr>
          <w:p>
            <w:pPr>
              <w:widowControl/>
              <w:jc w:val="both"/>
              <w:rPr>
                <w:rFonts w:ascii="宋体" w:hAnsi="宋体" w:cs="宋体"/>
                <w:kern w:val="0"/>
                <w:sz w:val="18"/>
                <w:szCs w:val="18"/>
                <w:highlight w:val="none"/>
              </w:rPr>
            </w:pPr>
          </w:p>
        </w:tc>
        <w:tc>
          <w:tcPr>
            <w:tcW w:w="690" w:type="dxa"/>
            <w:vMerge w:val="continue"/>
            <w:tcBorders>
              <w:left w:val="single" w:color="000000" w:sz="4" w:space="0"/>
              <w:bottom w:val="single" w:color="auto" w:sz="4" w:space="0"/>
              <w:right w:val="single" w:color="000000" w:sz="4" w:space="0"/>
            </w:tcBorders>
            <w:vAlign w:val="top"/>
          </w:tcPr>
          <w:p>
            <w:pPr>
              <w:widowControl/>
              <w:jc w:val="both"/>
              <w:rPr>
                <w:rFonts w:ascii="宋体" w:hAnsi="宋体" w:cs="宋体"/>
                <w:kern w:val="0"/>
                <w:sz w:val="18"/>
                <w:szCs w:val="18"/>
                <w:highlight w:val="none"/>
              </w:rPr>
            </w:pPr>
          </w:p>
        </w:tc>
        <w:tc>
          <w:tcPr>
            <w:tcW w:w="840" w:type="dxa"/>
            <w:vMerge w:val="continue"/>
            <w:tcBorders>
              <w:left w:val="single" w:color="000000" w:sz="4" w:space="0"/>
              <w:bottom w:val="single" w:color="auto" w:sz="4" w:space="0"/>
              <w:right w:val="single" w:color="000000" w:sz="4" w:space="0"/>
            </w:tcBorders>
            <w:vAlign w:val="top"/>
          </w:tcPr>
          <w:p>
            <w:pPr>
              <w:widowControl/>
              <w:jc w:val="both"/>
              <w:rPr>
                <w:rFonts w:ascii="宋体" w:hAnsi="宋体" w:cs="宋体"/>
                <w:kern w:val="0"/>
                <w:sz w:val="18"/>
                <w:szCs w:val="18"/>
                <w:highlight w:val="none"/>
              </w:rPr>
            </w:pPr>
          </w:p>
        </w:tc>
        <w:tc>
          <w:tcPr>
            <w:tcW w:w="960" w:type="dxa"/>
            <w:vMerge w:val="continue"/>
            <w:tcBorders>
              <w:left w:val="single" w:color="000000" w:sz="4" w:space="0"/>
              <w:bottom w:val="single" w:color="auto" w:sz="4" w:space="0"/>
              <w:right w:val="single" w:color="000000" w:sz="4" w:space="0"/>
            </w:tcBorders>
            <w:vAlign w:val="top"/>
          </w:tcPr>
          <w:p>
            <w:pPr>
              <w:widowControl/>
              <w:jc w:val="both"/>
              <w:rPr>
                <w:rFonts w:ascii="宋体" w:hAnsi="宋体" w:cs="宋体"/>
                <w:kern w:val="0"/>
                <w:sz w:val="18"/>
                <w:szCs w:val="18"/>
                <w:highlight w:val="none"/>
              </w:rPr>
            </w:pPr>
          </w:p>
        </w:tc>
        <w:tc>
          <w:tcPr>
            <w:tcW w:w="690" w:type="dxa"/>
            <w:vMerge w:val="continue"/>
            <w:tcBorders>
              <w:left w:val="single" w:color="000000"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1380"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795"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220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普查指导员和普查员报酬补助拨付到位时间</w:t>
            </w:r>
          </w:p>
        </w:tc>
        <w:tc>
          <w:tcPr>
            <w:tcW w:w="112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2024年12月底前</w:t>
            </w:r>
          </w:p>
        </w:tc>
        <w:tc>
          <w:tcPr>
            <w:tcW w:w="705"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793"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850"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43" w:hRule="atLeast"/>
        </w:trPr>
        <w:tc>
          <w:tcPr>
            <w:tcW w:w="1335" w:type="dxa"/>
            <w:vMerge w:val="restart"/>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410703240000000042899</w:t>
            </w:r>
          </w:p>
        </w:tc>
        <w:tc>
          <w:tcPr>
            <w:tcW w:w="1665" w:type="dxa"/>
            <w:vMerge w:val="restart"/>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新财预2023.269号第五次全国经济普查工作普查指导员和普查员报酬补助资金</w:t>
            </w:r>
          </w:p>
        </w:tc>
        <w:tc>
          <w:tcPr>
            <w:tcW w:w="690" w:type="dxa"/>
            <w:vMerge w:val="restart"/>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840" w:type="dxa"/>
            <w:vMerge w:val="restart"/>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960" w:type="dxa"/>
            <w:vMerge w:val="restart"/>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690" w:type="dxa"/>
            <w:vMerge w:val="restart"/>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1380"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第五次全国经济普查指导员和普查员报酬补助资金</w:t>
            </w:r>
          </w:p>
        </w:tc>
        <w:tc>
          <w:tcPr>
            <w:tcW w:w="79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15.73万元</w:t>
            </w:r>
          </w:p>
        </w:tc>
        <w:tc>
          <w:tcPr>
            <w:tcW w:w="220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普查涉及镇办个数</w:t>
            </w:r>
          </w:p>
        </w:tc>
        <w:tc>
          <w:tcPr>
            <w:tcW w:w="112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8个</w:t>
            </w:r>
          </w:p>
        </w:tc>
        <w:tc>
          <w:tcPr>
            <w:tcW w:w="705"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793"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普查指导员和普查员满意度</w:t>
            </w:r>
          </w:p>
        </w:tc>
        <w:tc>
          <w:tcPr>
            <w:tcW w:w="850"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4" w:hRule="atLeast"/>
        </w:trPr>
        <w:tc>
          <w:tcPr>
            <w:tcW w:w="1335"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1665"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690"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840"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960" w:type="dxa"/>
            <w:vMerge w:val="continue"/>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690" w:type="dxa"/>
            <w:vMerge w:val="continue"/>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1380"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795"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220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普查数据准确率</w:t>
            </w:r>
          </w:p>
        </w:tc>
        <w:tc>
          <w:tcPr>
            <w:tcW w:w="112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≥95%</w:t>
            </w:r>
          </w:p>
        </w:tc>
        <w:tc>
          <w:tcPr>
            <w:tcW w:w="705"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793"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850"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4" w:hRule="atLeast"/>
        </w:trPr>
        <w:tc>
          <w:tcPr>
            <w:tcW w:w="1335"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1665"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690"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840"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960" w:type="dxa"/>
            <w:vMerge w:val="continue"/>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690" w:type="dxa"/>
            <w:vMerge w:val="continue"/>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1380"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795"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220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普查指导员和普查员报酬补助拨付到位时间</w:t>
            </w:r>
          </w:p>
        </w:tc>
        <w:tc>
          <w:tcPr>
            <w:tcW w:w="112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2024年12月底前</w:t>
            </w:r>
          </w:p>
        </w:tc>
        <w:tc>
          <w:tcPr>
            <w:tcW w:w="705"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793"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850"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75" w:hRule="atLeast"/>
        </w:trPr>
        <w:tc>
          <w:tcPr>
            <w:tcW w:w="1335" w:type="dxa"/>
            <w:vMerge w:val="restart"/>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410703240000000042907</w:t>
            </w:r>
          </w:p>
        </w:tc>
        <w:tc>
          <w:tcPr>
            <w:tcW w:w="1665" w:type="dxa"/>
            <w:vMerge w:val="restart"/>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新财预2023.274号新乡市第五次全国经济普查指导员和普查员报酬补助资金</w:t>
            </w:r>
          </w:p>
        </w:tc>
        <w:tc>
          <w:tcPr>
            <w:tcW w:w="690" w:type="dxa"/>
            <w:vMerge w:val="restart"/>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840" w:type="dxa"/>
            <w:vMerge w:val="restart"/>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15.73</w:t>
            </w:r>
          </w:p>
        </w:tc>
        <w:tc>
          <w:tcPr>
            <w:tcW w:w="960" w:type="dxa"/>
            <w:vMerge w:val="restart"/>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690" w:type="dxa"/>
            <w:vMerge w:val="restart"/>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1380"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第五次全国经济普查指导员和普查员报酬补助资金（市级）</w:t>
            </w:r>
          </w:p>
        </w:tc>
        <w:tc>
          <w:tcPr>
            <w:tcW w:w="79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15.73万元</w:t>
            </w:r>
          </w:p>
        </w:tc>
        <w:tc>
          <w:tcPr>
            <w:tcW w:w="220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普查涉及镇办个数</w:t>
            </w:r>
          </w:p>
        </w:tc>
        <w:tc>
          <w:tcPr>
            <w:tcW w:w="112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8个</w:t>
            </w:r>
          </w:p>
        </w:tc>
        <w:tc>
          <w:tcPr>
            <w:tcW w:w="705"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793"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普查指导员和普查员满意度</w:t>
            </w:r>
          </w:p>
        </w:tc>
        <w:tc>
          <w:tcPr>
            <w:tcW w:w="850"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9" w:hRule="atLeast"/>
        </w:trPr>
        <w:tc>
          <w:tcPr>
            <w:tcW w:w="1335" w:type="dxa"/>
            <w:vMerge w:val="continue"/>
            <w:tcBorders>
              <w:top w:val="single" w:color="auto" w:sz="4" w:space="0"/>
              <w:left w:val="single" w:color="auto" w:sz="4" w:space="0"/>
              <w:bottom w:val="single" w:color="auto" w:sz="4" w:space="0"/>
              <w:right w:val="single" w:color="auto" w:sz="4" w:space="0"/>
            </w:tcBorders>
            <w:vAlign w:val="top"/>
          </w:tcPr>
          <w:p>
            <w:pPr>
              <w:autoSpaceDN w:val="0"/>
              <w:jc w:val="center"/>
              <w:textAlignment w:val="center"/>
              <w:rPr>
                <w:rFonts w:ascii="宋体" w:hAnsi="宋体" w:cs="宋体"/>
                <w:kern w:val="0"/>
                <w:sz w:val="18"/>
                <w:szCs w:val="18"/>
                <w:highlight w:val="none"/>
              </w:rPr>
            </w:pPr>
          </w:p>
        </w:tc>
        <w:tc>
          <w:tcPr>
            <w:tcW w:w="1665"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690"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840"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960" w:type="dxa"/>
            <w:vMerge w:val="continue"/>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690" w:type="dxa"/>
            <w:vMerge w:val="continue"/>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1380"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795"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220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普查数据准确率</w:t>
            </w:r>
          </w:p>
        </w:tc>
        <w:tc>
          <w:tcPr>
            <w:tcW w:w="112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≥95%</w:t>
            </w:r>
          </w:p>
        </w:tc>
        <w:tc>
          <w:tcPr>
            <w:tcW w:w="705" w:type="dxa"/>
            <w:tcBorders>
              <w:top w:val="single" w:color="auto" w:sz="4" w:space="0"/>
              <w:left w:val="single" w:color="auto" w:sz="4" w:space="0"/>
              <w:bottom w:val="single" w:color="auto" w:sz="4" w:space="0"/>
              <w:right w:val="single" w:color="auto" w:sz="4" w:space="0"/>
            </w:tcBorders>
            <w:vAlign w:val="top"/>
          </w:tcPr>
          <w:p>
            <w:pPr>
              <w:widowControl/>
              <w:jc w:val="left"/>
              <w:rPr>
                <w:rFonts w:hint="eastAsia" w:ascii="宋体" w:hAnsi="宋体" w:cs="宋体"/>
                <w:kern w:val="0"/>
                <w:sz w:val="18"/>
                <w:szCs w:val="18"/>
                <w:highlight w:val="none"/>
              </w:rPr>
            </w:pPr>
          </w:p>
        </w:tc>
        <w:tc>
          <w:tcPr>
            <w:tcW w:w="793" w:type="dxa"/>
            <w:tcBorders>
              <w:top w:val="single" w:color="auto" w:sz="4" w:space="0"/>
              <w:left w:val="single" w:color="auto" w:sz="4" w:space="0"/>
              <w:bottom w:val="single" w:color="auto" w:sz="4" w:space="0"/>
              <w:right w:val="single" w:color="auto" w:sz="4" w:space="0"/>
            </w:tcBorders>
            <w:vAlign w:val="top"/>
          </w:tcPr>
          <w:p>
            <w:pPr>
              <w:widowControl/>
              <w:jc w:val="left"/>
              <w:rPr>
                <w:rFonts w:hint="eastAsia" w:ascii="宋体" w:hAnsi="宋体" w:cs="宋体"/>
                <w:kern w:val="0"/>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widowControl/>
              <w:jc w:val="left"/>
              <w:rPr>
                <w:rFonts w:hint="eastAsia" w:ascii="宋体" w:hAnsi="宋体" w:cs="宋体"/>
                <w:kern w:val="0"/>
                <w:sz w:val="18"/>
                <w:szCs w:val="18"/>
                <w:highlight w:val="none"/>
              </w:rPr>
            </w:pPr>
          </w:p>
        </w:tc>
        <w:tc>
          <w:tcPr>
            <w:tcW w:w="850" w:type="dxa"/>
            <w:tcBorders>
              <w:top w:val="single" w:color="auto" w:sz="4" w:space="0"/>
              <w:left w:val="single" w:color="auto" w:sz="4" w:space="0"/>
              <w:bottom w:val="single" w:color="auto" w:sz="4" w:space="0"/>
              <w:right w:val="single" w:color="auto" w:sz="4" w:space="0"/>
            </w:tcBorders>
            <w:vAlign w:val="top"/>
          </w:tcPr>
          <w:p>
            <w:pPr>
              <w:widowControl/>
              <w:jc w:val="left"/>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335"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1665"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690"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840"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960" w:type="dxa"/>
            <w:vMerge w:val="continue"/>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690" w:type="dxa"/>
            <w:vMerge w:val="continue"/>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1380"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795"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220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普查指导员和普查员报酬补助拨付到位时间</w:t>
            </w:r>
          </w:p>
        </w:tc>
        <w:tc>
          <w:tcPr>
            <w:tcW w:w="112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2024年12月底</w:t>
            </w:r>
          </w:p>
        </w:tc>
        <w:tc>
          <w:tcPr>
            <w:tcW w:w="705"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793"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850"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9" w:hRule="atLeast"/>
        </w:trPr>
        <w:tc>
          <w:tcPr>
            <w:tcW w:w="1335" w:type="dxa"/>
            <w:vMerge w:val="restart"/>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410703240000000042911</w:t>
            </w:r>
          </w:p>
        </w:tc>
        <w:tc>
          <w:tcPr>
            <w:tcW w:w="1665" w:type="dxa"/>
            <w:vMerge w:val="restart"/>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新财预2023.308关于下达2022年“四上”企业及建筑企业统计工作奖励资金的通知</w:t>
            </w:r>
          </w:p>
        </w:tc>
        <w:tc>
          <w:tcPr>
            <w:tcW w:w="690" w:type="dxa"/>
            <w:vMerge w:val="restart"/>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5.00</w:t>
            </w:r>
          </w:p>
        </w:tc>
        <w:tc>
          <w:tcPr>
            <w:tcW w:w="840" w:type="dxa"/>
            <w:vMerge w:val="restart"/>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r>
              <w:rPr>
                <w:rFonts w:hint="default" w:ascii="宋体" w:hAnsi="宋体" w:eastAsia="宋体"/>
                <w:b w:val="0"/>
                <w:i w:val="0"/>
                <w:color w:val="000000"/>
                <w:sz w:val="18"/>
                <w:u w:val="none"/>
                <w:lang w:eastAsia="zh-CN"/>
              </w:rPr>
              <w:t>5.00</w:t>
            </w:r>
          </w:p>
        </w:tc>
        <w:tc>
          <w:tcPr>
            <w:tcW w:w="960" w:type="dxa"/>
            <w:vMerge w:val="restart"/>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690" w:type="dxa"/>
            <w:vMerge w:val="restart"/>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1380"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统计工作奖励资金</w:t>
            </w:r>
          </w:p>
        </w:tc>
        <w:tc>
          <w:tcPr>
            <w:tcW w:w="79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5万</w:t>
            </w:r>
          </w:p>
        </w:tc>
        <w:tc>
          <w:tcPr>
            <w:tcW w:w="220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被奖励企业个数</w:t>
            </w:r>
          </w:p>
        </w:tc>
        <w:tc>
          <w:tcPr>
            <w:tcW w:w="112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1个</w:t>
            </w:r>
          </w:p>
        </w:tc>
        <w:tc>
          <w:tcPr>
            <w:tcW w:w="705"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793"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被奖励企业满意度</w:t>
            </w:r>
          </w:p>
        </w:tc>
        <w:tc>
          <w:tcPr>
            <w:tcW w:w="850"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eastAsia" w:ascii="宋体" w:hAnsi="宋体" w:cs="宋体"/>
                <w:kern w:val="0"/>
                <w:sz w:val="18"/>
                <w:szCs w:val="18"/>
                <w:highlight w:val="none"/>
              </w:rPr>
            </w:pPr>
            <w:r>
              <w:rPr>
                <w:rFonts w:hint="default" w:ascii="宋体" w:hAnsi="宋体" w:eastAsia="宋体"/>
                <w:b w:val="0"/>
                <w:i w:val="0"/>
                <w:color w:val="000000"/>
                <w:sz w:val="18"/>
                <w:u w:val="none"/>
                <w:lang w:eastAsia="zh-CN"/>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1" w:hRule="atLeast"/>
        </w:trPr>
        <w:tc>
          <w:tcPr>
            <w:tcW w:w="1335"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1665"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690"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840"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960" w:type="dxa"/>
            <w:vMerge w:val="continue"/>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690" w:type="dxa"/>
            <w:vMerge w:val="continue"/>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1380"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795"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220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企业统计数据准确率</w:t>
            </w:r>
          </w:p>
        </w:tc>
        <w:tc>
          <w:tcPr>
            <w:tcW w:w="112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≥90%</w:t>
            </w:r>
          </w:p>
        </w:tc>
        <w:tc>
          <w:tcPr>
            <w:tcW w:w="705"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793"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850"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 w:hRule="atLeast"/>
        </w:trPr>
        <w:tc>
          <w:tcPr>
            <w:tcW w:w="1335"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1665"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690"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840" w:type="dxa"/>
            <w:vMerge w:val="continue"/>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ascii="宋体" w:hAnsi="宋体" w:cs="宋体"/>
                <w:kern w:val="0"/>
                <w:sz w:val="18"/>
                <w:szCs w:val="18"/>
                <w:highlight w:val="none"/>
              </w:rPr>
            </w:pPr>
          </w:p>
        </w:tc>
        <w:tc>
          <w:tcPr>
            <w:tcW w:w="960" w:type="dxa"/>
            <w:vMerge w:val="continue"/>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690" w:type="dxa"/>
            <w:vMerge w:val="continue"/>
            <w:tcBorders>
              <w:top w:val="single" w:color="auto" w:sz="4" w:space="0"/>
              <w:left w:val="single" w:color="auto" w:sz="4" w:space="0"/>
              <w:bottom w:val="single" w:color="auto" w:sz="4" w:space="0"/>
              <w:right w:val="single" w:color="auto" w:sz="4" w:space="0"/>
            </w:tcBorders>
            <w:vAlign w:val="top"/>
          </w:tcPr>
          <w:p>
            <w:pPr>
              <w:widowControl/>
              <w:jc w:val="both"/>
              <w:rPr>
                <w:rFonts w:ascii="宋体" w:hAnsi="宋体" w:cs="宋体"/>
                <w:kern w:val="0"/>
                <w:sz w:val="18"/>
                <w:szCs w:val="18"/>
                <w:highlight w:val="none"/>
              </w:rPr>
            </w:pPr>
          </w:p>
        </w:tc>
        <w:tc>
          <w:tcPr>
            <w:tcW w:w="1380"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795"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220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统计工作奖励资金拨付时间</w:t>
            </w:r>
            <w:bookmarkStart w:id="0" w:name="_GoBack"/>
            <w:bookmarkEnd w:id="0"/>
          </w:p>
        </w:tc>
        <w:tc>
          <w:tcPr>
            <w:tcW w:w="1125" w:type="dxa"/>
            <w:tcBorders>
              <w:top w:val="single" w:color="auto" w:sz="4" w:space="0"/>
              <w:left w:val="single" w:color="auto" w:sz="4" w:space="0"/>
              <w:bottom w:val="single" w:color="auto" w:sz="4" w:space="0"/>
              <w:right w:val="single" w:color="auto" w:sz="4" w:space="0"/>
            </w:tcBorders>
            <w:vAlign w:val="top"/>
          </w:tcPr>
          <w:p>
            <w:pPr>
              <w:autoSpaceDN w:val="0"/>
              <w:jc w:val="both"/>
              <w:textAlignment w:val="center"/>
              <w:rPr>
                <w:rFonts w:hint="default" w:ascii="宋体" w:hAnsi="宋体" w:eastAsia="宋体"/>
                <w:b w:val="0"/>
                <w:i w:val="0"/>
                <w:color w:val="000000"/>
                <w:sz w:val="18"/>
                <w:u w:val="none"/>
                <w:lang w:eastAsia="zh-CN"/>
              </w:rPr>
            </w:pPr>
            <w:r>
              <w:rPr>
                <w:rFonts w:hint="default" w:ascii="宋体" w:hAnsi="宋体" w:eastAsia="宋体"/>
                <w:b w:val="0"/>
                <w:i w:val="0"/>
                <w:color w:val="000000"/>
                <w:sz w:val="18"/>
                <w:u w:val="none"/>
                <w:lang w:eastAsia="zh-CN"/>
              </w:rPr>
              <w:t>2024年12月底前</w:t>
            </w:r>
          </w:p>
        </w:tc>
        <w:tc>
          <w:tcPr>
            <w:tcW w:w="705"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793"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c>
          <w:tcPr>
            <w:tcW w:w="850"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宋体" w:hAnsi="宋体" w:cs="宋体"/>
                <w:kern w:val="0"/>
                <w:sz w:val="18"/>
                <w:szCs w:val="18"/>
                <w:highlight w:val="none"/>
              </w:rPr>
            </w:pPr>
          </w:p>
        </w:tc>
      </w:tr>
    </w:tbl>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auto"/>
    <w:pitch w:val="default"/>
    <w:sig w:usb0="61007A87" w:usb1="80000000" w:usb2="00000008" w:usb3="00000000" w:csb0="200101FF" w:csb1="20280000"/>
  </w:font>
  <w:font w:name="微软雅黑">
    <w:panose1 w:val="020B0503020204020204"/>
    <w:charset w:val="86"/>
    <w:family w:val="auto"/>
    <w:pitch w:val="default"/>
    <w:sig w:usb0="80000287" w:usb1="2A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altName w:val="Arial Unicode MS"/>
    <w:panose1 w:val="02010609060101010101"/>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华文楷体">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Cambria Math">
    <w:panose1 w:val="02040503050406030204"/>
    <w:charset w:val="00"/>
    <w:family w:val="auto"/>
    <w:pitch w:val="default"/>
    <w:sig w:usb0="A00002EF" w:usb1="420020EB" w:usb2="00000000" w:usb3="00000000" w:csb0="2000009F" w:csb1="00000000"/>
  </w:font>
  <w:font w:name="Courier New">
    <w:panose1 w:val="02070309020205020404"/>
    <w:charset w:val="00"/>
    <w:family w:val="modern"/>
    <w:pitch w:val="default"/>
    <w:sig w:usb0="00007A87" w:usb1="80000000" w:usb2="00000008"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abstractNum w:abstractNumId="4">
    <w:nsid w:val="65FB8650"/>
    <w:multiLevelType w:val="singleLevel"/>
    <w:tmpl w:val="65FB8650"/>
    <w:lvl w:ilvl="0" w:tentative="0">
      <w:start w:val="1"/>
      <w:numFmt w:val="decimal"/>
      <w:suff w:val="nothing"/>
      <w:lvlText w:val="%1、"/>
      <w:lvlJc w:val="left"/>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EC3F0F"/>
    <w:rsid w:val="053242F3"/>
    <w:rsid w:val="1150223B"/>
    <w:rsid w:val="13F641E3"/>
    <w:rsid w:val="1CAD6F52"/>
    <w:rsid w:val="204028F5"/>
    <w:rsid w:val="2AA43584"/>
    <w:rsid w:val="2D9640B2"/>
    <w:rsid w:val="306B218B"/>
    <w:rsid w:val="30BB6B52"/>
    <w:rsid w:val="372403A9"/>
    <w:rsid w:val="385828AC"/>
    <w:rsid w:val="3C065670"/>
    <w:rsid w:val="3CEE3C33"/>
    <w:rsid w:val="3D006874"/>
    <w:rsid w:val="3E255F7A"/>
    <w:rsid w:val="3E52563E"/>
    <w:rsid w:val="43135097"/>
    <w:rsid w:val="44AC451B"/>
    <w:rsid w:val="47436377"/>
    <w:rsid w:val="4D500042"/>
    <w:rsid w:val="4DC3414D"/>
    <w:rsid w:val="4EE047A3"/>
    <w:rsid w:val="4F2A17F6"/>
    <w:rsid w:val="51254AA6"/>
    <w:rsid w:val="51855EEB"/>
    <w:rsid w:val="55E04B41"/>
    <w:rsid w:val="579D743C"/>
    <w:rsid w:val="57CB3E02"/>
    <w:rsid w:val="583D6F6B"/>
    <w:rsid w:val="5A0C58A7"/>
    <w:rsid w:val="5B6D7337"/>
    <w:rsid w:val="64F653DB"/>
    <w:rsid w:val="65DA19D6"/>
    <w:rsid w:val="71775573"/>
    <w:rsid w:val="72F74586"/>
    <w:rsid w:val="79A53AC1"/>
    <w:rsid w:val="7DDD3BE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5"/>
    <w:link w:val="3"/>
    <w:qFormat/>
    <w:uiPriority w:val="0"/>
    <w:rPr>
      <w:rFonts w:ascii="Calibri" w:hAnsi="Calibri"/>
      <w:kern w:val="2"/>
      <w:sz w:val="18"/>
      <w:szCs w:val="18"/>
    </w:rPr>
  </w:style>
  <w:style w:type="character" w:customStyle="1" w:styleId="10">
    <w:name w:val="页眉 字符"/>
    <w:basedOn w:val="5"/>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2024-03-21T09:22:51Z</dcterms:modified>
  <dc:title>2017年度省级部门预算公开参考格式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