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新乡市卫滨区信访局2024年度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eastAsia="zh-CN"/>
        </w:rPr>
      </w:pPr>
      <w:r>
        <w:rPr>
          <w:rFonts w:hint="eastAsia" w:ascii="方正小标宋简体" w:hAnsi="方正小标宋简体" w:eastAsia="方正小标宋简体" w:cs="方正小标宋简体"/>
          <w:sz w:val="44"/>
          <w:szCs w:val="44"/>
          <w:highlight w:val="none"/>
          <w:lang w:eastAsia="zh-CN"/>
        </w:rPr>
        <w:t>二〇二四年三月</w:t>
      </w:r>
    </w:p>
    <w:p>
      <w:pPr>
        <w:widowControl w:val="0"/>
        <w:wordWrap/>
        <w:spacing w:line="360" w:lineRule="auto"/>
        <w:textAlignment w:val="auto"/>
        <w:rPr>
          <w:rFonts w:hint="eastAsia" w:ascii="仿宋_GB2312" w:hAnsi="黑体" w:eastAsia="仿宋_GB2312"/>
          <w:sz w:val="32"/>
          <w:szCs w:val="32"/>
          <w:highlight w:val="red"/>
        </w:rPr>
      </w:pPr>
    </w:p>
    <w:p>
      <w:pPr>
        <w:widowControl w:val="0"/>
        <w:wordWrap/>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widowControl w:val="0"/>
        <w:wordWrap/>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信访局</w:t>
      </w:r>
      <w:r>
        <w:rPr>
          <w:rFonts w:hint="eastAsia" w:ascii="黑体" w:hAnsi="黑体" w:eastAsia="黑体" w:cs="黑体"/>
          <w:sz w:val="32"/>
          <w:szCs w:val="32"/>
        </w:rPr>
        <w:t>概况</w:t>
      </w:r>
    </w:p>
    <w:p>
      <w:pPr>
        <w:widowControl w:val="0"/>
        <w:kinsoku w:val="0"/>
        <w:wordWrap/>
        <w:overflowPunct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widowControl w:val="0"/>
        <w:kinsoku w:val="0"/>
        <w:wordWrap/>
        <w:overflowPunct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widowControl w:val="0"/>
        <w:kinsoku w:val="0"/>
        <w:wordWrap/>
        <w:overflowPunct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信访局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widowControl w:val="0"/>
        <w:kinsoku w:val="0"/>
        <w:wordWrap/>
        <w:overflowPunct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widowControl w:val="0"/>
        <w:wordWrap/>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widowControl w:val="0"/>
        <w:wordWrap/>
        <w:adjustRightInd/>
        <w:snapToGrid/>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widowControl w:val="0"/>
        <w:wordWrap/>
        <w:adjustRightInd/>
        <w:snapToGrid/>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widowControl w:val="0"/>
        <w:wordWrap/>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widowControl w:val="0"/>
        <w:kinsoku w:val="0"/>
        <w:wordWrap/>
        <w:overflowPunct w:val="0"/>
        <w:adjustRightInd w:val="0"/>
        <w:snapToGrid w:val="0"/>
        <w:spacing w:line="360" w:lineRule="auto"/>
        <w:ind w:left="0" w:leftChars="0" w:right="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widowControl w:val="0"/>
        <w:kinsoku w:val="0"/>
        <w:wordWrap/>
        <w:overflowPunct w:val="0"/>
        <w:autoSpaceDE w:val="0"/>
        <w:autoSpaceDN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widowControl w:val="0"/>
        <w:kinsoku w:val="0"/>
        <w:wordWrap/>
        <w:overflowPunct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widowControl w:val="0"/>
        <w:kinsoku w:val="0"/>
        <w:wordWrap/>
        <w:overflowPunct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信访局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widowControl w:val="0"/>
        <w:numPr>
          <w:ilvl w:val="0"/>
          <w:numId w:val="1"/>
        </w:numPr>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widowControl w:val="0"/>
        <w:numPr>
          <w:ilvl w:val="0"/>
          <w:numId w:val="1"/>
        </w:numPr>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十一、部门整体绩效目标表</w:t>
      </w:r>
    </w:p>
    <w:p>
      <w:pPr>
        <w:widowControl w:val="0"/>
        <w:kinsoku w:val="0"/>
        <w:wordWrap/>
        <w:overflowPunct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w:t>
      </w:r>
      <w:r>
        <w:rPr>
          <w:rFonts w:hint="eastAsia" w:ascii="仿宋_GB2312" w:eastAsia="仿宋_GB2312"/>
          <w:sz w:val="32"/>
          <w:szCs w:val="32"/>
          <w:highlight w:val="none"/>
        </w:rPr>
        <w:t>项目绩效目标汇总表</w:t>
      </w:r>
    </w:p>
    <w:p>
      <w:pPr>
        <w:widowControl w:val="0"/>
        <w:wordWrap/>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r>
        <w:rPr>
          <w:rFonts w:hint="eastAsia" w:ascii="方正小标宋简体" w:hAnsi="方正小标宋简体" w:eastAsia="方正小标宋简体" w:cs="方正小标宋简体"/>
          <w:sz w:val="36"/>
          <w:szCs w:val="36"/>
        </w:rPr>
        <w:t>第一部分</w:t>
      </w:r>
    </w:p>
    <w:p>
      <w:pPr>
        <w:widowControl w:val="0"/>
        <w:wordWrap/>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信访局</w:t>
      </w:r>
      <w:r>
        <w:rPr>
          <w:rFonts w:hint="eastAsia" w:ascii="方正小标宋简体" w:hAnsi="方正小标宋简体" w:eastAsia="方正小标宋简体" w:cs="方正小标宋简体"/>
          <w:sz w:val="36"/>
          <w:szCs w:val="36"/>
        </w:rPr>
        <w:t>概况</w:t>
      </w:r>
    </w:p>
    <w:p>
      <w:pPr>
        <w:widowControl w:val="0"/>
        <w:numPr>
          <w:ilvl w:val="0"/>
          <w:numId w:val="2"/>
        </w:numPr>
        <w:wordWrap/>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信访局</w:t>
      </w:r>
      <w:r>
        <w:rPr>
          <w:rFonts w:hint="eastAsia" w:ascii="黑体" w:hAnsi="黑体" w:eastAsia="黑体"/>
          <w:sz w:val="32"/>
          <w:szCs w:val="32"/>
        </w:rPr>
        <w:t>主要职责</w:t>
      </w:r>
    </w:p>
    <w:p>
      <w:pPr>
        <w:pStyle w:val="9"/>
        <w:spacing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信访局是新乡市卫滨区人民政府工作部门，主要任务是贯彻落实党中央关于信访工作的方针政策和决策部署，落实省委、市委、区委工作要求，在履行职责过程中坚持和加强党对信访工作的集中统一领导。主要职责是：</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（一）代表区委、区政府受理人民群众给区委、区政府及其主要领导人的来信，</w:t>
      </w:r>
      <w:r>
        <w:rPr>
          <w:rFonts w:hint="eastAsia" w:ascii="仿宋_GB2312" w:hAnsi="仿宋_GB2312" w:eastAsia="仿宋_GB2312" w:cs="仿宋_GB2312"/>
          <w:sz w:val="32"/>
          <w:szCs w:val="32"/>
        </w:rPr>
        <w:t>接待群众来访，受理人民群众通过电话、电报和网络的信访案件，为来信来访群众提供有关法律、法规和政策咨询服务。</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sz w:val="32"/>
          <w:szCs w:val="32"/>
        </w:rPr>
        <w:t>（二）承办上级领导机关、本级领导机关及其负责人转办、交办的信访事项，</w:t>
      </w:r>
      <w:r>
        <w:rPr>
          <w:rFonts w:hint="eastAsia" w:ascii="仿宋_GB2312" w:hAnsi="仿宋_GB2312" w:eastAsia="仿宋_GB2312" w:cs="仿宋_GB2312"/>
          <w:sz w:val="32"/>
          <w:szCs w:val="32"/>
        </w:rPr>
        <w:t>督促检查领导同志批示件的落实情况；负责向乡、办事处和区直各部门交办信访事项，督促检查重要信访事项的处理和落实，审结要结果案件，并实施信访责任追究制。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sz w:val="32"/>
          <w:szCs w:val="32"/>
        </w:rPr>
        <w:t>（三）协调处理跨乡、办事处和区直各部门之间的群众集体赴京到省来区上访、突发上访事件等重要信访；</w:t>
      </w:r>
      <w:r>
        <w:rPr>
          <w:rFonts w:hint="eastAsia" w:ascii="仿宋_GB2312" w:hAnsi="仿宋_GB2312" w:eastAsia="仿宋_GB2312" w:cs="仿宋_GB2312"/>
          <w:sz w:val="32"/>
          <w:szCs w:val="32"/>
        </w:rPr>
        <w:t>对重要案件实施个案监督，并提出对有关责任人的处理意见和建议。</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（四）检查指导乡、办事处和区直各部门的信访工作，组织交流工作经验，提出改进措施，组织信访干部培训；</w:t>
      </w:r>
      <w:r>
        <w:rPr>
          <w:rFonts w:hint="eastAsia" w:ascii="仿宋_GB2312" w:hAnsi="仿宋_GB2312" w:eastAsia="仿宋_GB2312" w:cs="仿宋_GB2312"/>
          <w:sz w:val="32"/>
          <w:szCs w:val="32"/>
        </w:rPr>
        <w:t>指导全区信访部门办公自动化建设。</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（五）研究起草有关信访工作的政策和规范性文件</w:t>
      </w:r>
      <w:r>
        <w:rPr>
          <w:rFonts w:hint="eastAsia" w:ascii="仿宋_GB2312" w:hAnsi="仿宋_GB2312" w:eastAsia="仿宋_GB2312" w:cs="仿宋_GB2312"/>
          <w:sz w:val="32"/>
          <w:szCs w:val="32"/>
        </w:rPr>
        <w:t>；负责信访工作的宣传和信息发布；总结推广信访工作经验，提出加强和改进信访工作的意见和建议。</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（六）承办应由区政府为复查、复核主体的信访事项的复查、复核工作，并做好检查、协调和调研督导工作。</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（七）负责区信访联席会议办公室日常工作及区信访群众疏导调解中心工作。</w:t>
      </w:r>
    </w:p>
    <w:p>
      <w:pPr>
        <w:pStyle w:val="9"/>
        <w:widowControl w:val="0"/>
        <w:wordWrap/>
        <w:spacing w:line="360" w:lineRule="auto"/>
        <w:ind w:firstLine="640" w:firstLineChars="200"/>
        <w:jc w:val="both"/>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（八）完成区委、区政府交办的其他任务。</w:t>
      </w:r>
    </w:p>
    <w:p>
      <w:pPr>
        <w:pStyle w:val="9"/>
        <w:widowControl w:val="0"/>
        <w:wordWrap/>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信访局部门</w:t>
      </w:r>
      <w:r>
        <w:rPr>
          <w:rFonts w:hint="eastAsia" w:ascii="黑体" w:hAnsi="黑体" w:eastAsia="黑体"/>
          <w:sz w:val="32"/>
          <w:szCs w:val="32"/>
          <w:highlight w:val="none"/>
        </w:rPr>
        <w:t>构成</w:t>
      </w:r>
    </w:p>
    <w:p>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新乡市卫滨区信访局</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年度部门预算只有本级。</w:t>
      </w:r>
    </w:p>
    <w:p>
      <w:pPr>
        <w:spacing w:line="560" w:lineRule="exact"/>
        <w:ind w:left="0" w:leftChars="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新乡市卫滨区信访局设下列内设机构：综合办公室（接访复查室、网信督查室）。</w:t>
      </w:r>
      <w:r>
        <w:rPr>
          <w:rFonts w:hint="eastAsia" w:ascii="仿宋_GB2312" w:hAnsi="仿宋_GB2312" w:eastAsia="仿宋_GB2312" w:cs="仿宋_GB2312"/>
          <w:kern w:val="0"/>
          <w:sz w:val="32"/>
          <w:szCs w:val="32"/>
        </w:rPr>
        <w:t>另设有</w:t>
      </w:r>
      <w:r>
        <w:rPr>
          <w:rFonts w:hint="eastAsia" w:ascii="Times New Roman" w:hAnsi="Times New Roman" w:eastAsia="仿宋_GB2312"/>
          <w:sz w:val="32"/>
          <w:szCs w:val="32"/>
        </w:rPr>
        <w:t>1</w:t>
      </w:r>
      <w:r>
        <w:rPr>
          <w:rFonts w:hint="eastAsia" w:ascii="仿宋_GB2312" w:hAnsi="仿宋_GB2312" w:eastAsia="仿宋_GB2312" w:cs="仿宋_GB2312"/>
          <w:kern w:val="0"/>
          <w:sz w:val="32"/>
          <w:szCs w:val="32"/>
        </w:rPr>
        <w:t>个二级机构事业单位，即新乡市卫滨区群众来访接待服务中心。</w:t>
      </w:r>
    </w:p>
    <w:p>
      <w:pPr>
        <w:spacing w:line="560" w:lineRule="exact"/>
        <w:ind w:left="0" w:leftChars="0" w:firstLine="640" w:firstLineChars="200"/>
        <w:jc w:val="left"/>
        <w:rPr>
          <w:rFonts w:ascii="仿宋_GB2312" w:hAnsi="仿宋" w:eastAsia="仿宋_GB2312"/>
          <w:sz w:val="32"/>
          <w:szCs w:val="32"/>
        </w:rPr>
      </w:pPr>
      <w:r>
        <w:rPr>
          <w:rFonts w:hint="eastAsia" w:ascii="仿宋_GB2312" w:hAnsi="仿宋_GB2312" w:eastAsia="仿宋_GB2312" w:cs="仿宋_GB2312"/>
          <w:sz w:val="32"/>
          <w:szCs w:val="32"/>
        </w:rPr>
        <w:t>纳入本部门</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w:t>
      </w:r>
      <w:r>
        <w:rPr>
          <w:rFonts w:hint="eastAsia" w:ascii="Times New Roman" w:hAnsi="Times New Roman" w:eastAsia="仿宋_GB2312"/>
          <w:sz w:val="32"/>
          <w:szCs w:val="32"/>
        </w:rPr>
        <w:t>2</w:t>
      </w:r>
      <w:r>
        <w:rPr>
          <w:rFonts w:hint="eastAsia" w:ascii="仿宋_GB2312" w:hAnsi="仿宋_GB2312" w:eastAsia="仿宋_GB2312" w:cs="仿宋_GB2312"/>
          <w:sz w:val="32"/>
          <w:szCs w:val="32"/>
        </w:rPr>
        <w:t>个,</w:t>
      </w:r>
      <w:r>
        <w:rPr>
          <w:rFonts w:hint="eastAsia" w:ascii="仿宋_GB2312" w:hAnsi="仿宋" w:eastAsia="仿宋_GB2312"/>
          <w:sz w:val="32"/>
          <w:szCs w:val="32"/>
        </w:rPr>
        <w:t>其中二级机构</w:t>
      </w:r>
      <w:r>
        <w:rPr>
          <w:rFonts w:hint="eastAsia" w:ascii="Times New Roman" w:hAnsi="Times New Roman" w:eastAsia="仿宋_GB2312"/>
          <w:sz w:val="32"/>
          <w:szCs w:val="32"/>
        </w:rPr>
        <w:t>1</w:t>
      </w:r>
      <w:r>
        <w:rPr>
          <w:rFonts w:hint="eastAsia" w:ascii="仿宋_GB2312" w:hAnsi="仿宋" w:eastAsia="仿宋_GB2312"/>
          <w:sz w:val="32"/>
          <w:szCs w:val="32"/>
        </w:rPr>
        <w:t>个，具体是：</w:t>
      </w:r>
    </w:p>
    <w:p>
      <w:pPr>
        <w:widowControl w:val="0"/>
        <w:numPr>
          <w:ilvl w:val="0"/>
          <w:numId w:val="3"/>
        </w:numPr>
        <w:wordWrap/>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新乡市卫滨区信访局本级</w:t>
      </w:r>
    </w:p>
    <w:p>
      <w:pPr>
        <w:widowControl w:val="0"/>
        <w:numPr>
          <w:ilvl w:val="0"/>
          <w:numId w:val="3"/>
        </w:numPr>
        <w:wordWrap/>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新乡市卫滨区群众来访接待服务中心（未独立核算）</w:t>
      </w:r>
    </w:p>
    <w:p>
      <w:pPr>
        <w:widowControl w:val="0"/>
        <w:wordWrap/>
        <w:adjustRightInd w:val="0"/>
        <w:snapToGrid w:val="0"/>
        <w:spacing w:line="360" w:lineRule="auto"/>
        <w:textAlignment w:val="auto"/>
        <w:rPr>
          <w:rFonts w:hint="eastAsia" w:ascii="黑体" w:hAnsi="Times New Roman" w:eastAsia="黑体" w:cs="黑体"/>
          <w:sz w:val="32"/>
          <w:szCs w:val="32"/>
          <w:highlight w:val="red"/>
        </w:rPr>
      </w:pPr>
      <w:r>
        <w:rPr>
          <w:rFonts w:hint="eastAsia" w:ascii="Times New Roman" w:hAnsi="Times New Roman" w:eastAsia="仿宋_GB2312"/>
          <w:sz w:val="32"/>
          <w:szCs w:val="32"/>
          <w:lang w:val="en-US" w:eastAsia="zh-CN"/>
        </w:rPr>
        <w:t xml:space="preserve">   </w:t>
      </w: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黑体" w:hAnsi="Times New Roman" w:eastAsia="黑体" w:cs="黑体"/>
          <w:sz w:val="32"/>
          <w:szCs w:val="32"/>
        </w:rPr>
        <w:br w:type="page"/>
      </w:r>
      <w:r>
        <w:rPr>
          <w:rFonts w:hint="eastAsia" w:ascii="方正小标宋简体" w:hAnsi="方正小标宋简体" w:eastAsia="方正小标宋简体" w:cs="方正小标宋简体"/>
          <w:sz w:val="36"/>
          <w:szCs w:val="36"/>
        </w:rPr>
        <w:t>第二部分</w:t>
      </w:r>
    </w:p>
    <w:p>
      <w:pPr>
        <w:widowControl w:val="0"/>
        <w:wordWrap/>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信访局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widowControl w:val="0"/>
        <w:wordWrap/>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widowControl w:val="0"/>
        <w:wordWrap/>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default" w:ascii="Times New Roman" w:hAnsi="Times New Roman" w:eastAsia="仿宋_GB2312" w:cs="Times New Roman"/>
          <w:sz w:val="32"/>
          <w:szCs w:val="32"/>
          <w:lang w:val="en-US" w:eastAsia="zh-CN"/>
        </w:rPr>
        <w:t>170.21</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170.21</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17.19</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11.23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人员增加，人员类费用增加</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17.19</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11.23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人员增加，人员类费用等支出增加</w:t>
      </w:r>
      <w:r>
        <w:rPr>
          <w:rFonts w:hint="default" w:ascii="Times New Roman" w:hAnsi="Times New Roman" w:eastAsia="仿宋_GB2312" w:cs="Times New Roman"/>
          <w:sz w:val="32"/>
          <w:szCs w:val="32"/>
        </w:rPr>
        <w:t>。</w:t>
      </w:r>
    </w:p>
    <w:p>
      <w:pPr>
        <w:widowControl w:val="0"/>
        <w:wordWrap/>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年收入预算合计</w:t>
      </w:r>
      <w:r>
        <w:rPr>
          <w:rFonts w:hint="default" w:ascii="Times New Roman" w:hAnsi="Times New Roman" w:eastAsia="仿宋_GB2312" w:cs="Times New Roman"/>
          <w:sz w:val="32"/>
          <w:szCs w:val="32"/>
          <w:lang w:val="en-US" w:eastAsia="zh-CN"/>
        </w:rPr>
        <w:t>170.21</w:t>
      </w:r>
      <w:r>
        <w:rPr>
          <w:rFonts w:hint="default" w:ascii="Times New Roman" w:hAnsi="Times New Roman" w:eastAsia="仿宋_GB2312" w:cs="Times New Roman"/>
          <w:sz w:val="32"/>
          <w:szCs w:val="32"/>
        </w:rPr>
        <w:t>万元，收入预算总计增加</w:t>
      </w:r>
      <w:r>
        <w:rPr>
          <w:rFonts w:hint="default" w:ascii="Times New Roman" w:hAnsi="Times New Roman" w:eastAsia="仿宋_GB2312" w:cs="Times New Roman"/>
          <w:sz w:val="32"/>
          <w:szCs w:val="32"/>
          <w:lang w:val="en-US" w:eastAsia="zh-CN"/>
        </w:rPr>
        <w:t>17.19</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color w:val="000000"/>
          <w:sz w:val="32"/>
          <w:szCs w:val="32"/>
          <w:lang w:val="en-US" w:eastAsia="zh-CN"/>
        </w:rPr>
        <w:t>11.23</w:t>
      </w:r>
      <w:r>
        <w:rPr>
          <w:rFonts w:hint="default" w:ascii="Times New Roman" w:hAnsi="Times New Roman" w:eastAsia="仿宋_GB2312" w:cs="Times New Roman"/>
          <w:sz w:val="32"/>
          <w:szCs w:val="32"/>
        </w:rPr>
        <w:t>%，原因为</w:t>
      </w:r>
      <w:r>
        <w:rPr>
          <w:rFonts w:hint="default" w:ascii="Times New Roman" w:hAnsi="Times New Roman" w:eastAsia="仿宋_GB2312" w:cs="Times New Roman"/>
          <w:sz w:val="32"/>
          <w:szCs w:val="32"/>
          <w:lang w:eastAsia="zh-CN"/>
        </w:rPr>
        <w:t>人员增加</w:t>
      </w:r>
      <w:r>
        <w:rPr>
          <w:rFonts w:hint="default" w:ascii="Times New Roman" w:hAnsi="Times New Roman" w:eastAsia="仿宋_GB2312" w:cs="Times New Roman"/>
          <w:sz w:val="32"/>
          <w:szCs w:val="32"/>
        </w:rPr>
        <w:t>。其中：一般公共预算</w:t>
      </w:r>
      <w:r>
        <w:rPr>
          <w:rFonts w:hint="default" w:ascii="Times New Roman" w:hAnsi="Times New Roman" w:eastAsia="仿宋_GB2312" w:cs="Times New Roman"/>
          <w:sz w:val="32"/>
          <w:szCs w:val="32"/>
          <w:lang w:val="en-US" w:eastAsia="zh-CN"/>
        </w:rPr>
        <w:t>170.21</w:t>
      </w:r>
      <w:r>
        <w:rPr>
          <w:rFonts w:hint="default" w:ascii="Times New Roman" w:hAnsi="Times New Roman" w:eastAsia="仿宋_GB2312" w:cs="Times New Roman"/>
          <w:sz w:val="32"/>
          <w:szCs w:val="32"/>
        </w:rPr>
        <w:t>万元; 政府性基金收入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lang w:eastAsia="zh-CN"/>
        </w:rPr>
        <w:t>（其中专户管理的教育收费</w:t>
      </w:r>
      <w:r>
        <w:rPr>
          <w:rFonts w:hint="default"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事业</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；事业单位经营</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；上级补助</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；附属单位上缴</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；上年结转结余中一般公共预算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；上年结转结余中单位资金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170.21</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145.21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85.31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14.69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widowControl w:val="0"/>
        <w:wordWrap/>
        <w:spacing w:line="360" w:lineRule="auto"/>
        <w:ind w:firstLine="640" w:firstLineChars="200"/>
        <w:textAlignment w:val="auto"/>
        <w:rPr>
          <w:rFonts w:hint="default" w:ascii="Times New Roman" w:hAnsi="Times New Roman" w:eastAsia="仿宋_GB2312" w:cs="Times New Roman"/>
          <w:b w:val="0"/>
          <w:bCs w:val="0"/>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170.21</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w:t>
      </w:r>
      <w:r>
        <w:rPr>
          <w:rFonts w:hint="default" w:ascii="Times New Roman" w:hAnsi="Times New Roman" w:eastAsia="仿宋_GB2312" w:cs="Times New Roman"/>
          <w:b w:val="0"/>
          <w:bCs w:val="0"/>
          <w:sz w:val="32"/>
          <w:szCs w:val="32"/>
        </w:rPr>
        <w:t>与 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年相比，一般公共预算收支预算增加</w:t>
      </w:r>
      <w:r>
        <w:rPr>
          <w:rFonts w:hint="default" w:ascii="Times New Roman" w:hAnsi="Times New Roman" w:eastAsia="仿宋_GB2312" w:cs="Times New Roman"/>
          <w:b w:val="0"/>
          <w:bCs w:val="0"/>
          <w:sz w:val="32"/>
          <w:szCs w:val="32"/>
          <w:lang w:val="en-US" w:eastAsia="zh-CN"/>
        </w:rPr>
        <w:t>17.19</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en-US" w:eastAsia="zh-CN"/>
        </w:rPr>
        <w:t>11.23</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sz w:val="32"/>
          <w:szCs w:val="32"/>
          <w:lang w:eastAsia="zh-CN"/>
        </w:rPr>
        <w:t>人员增加</w:t>
      </w:r>
      <w:r>
        <w:rPr>
          <w:rFonts w:hint="default" w:ascii="Times New Roman" w:hAnsi="Times New Roman" w:eastAsia="仿宋_GB2312" w:cs="Times New Roman"/>
          <w:b w:val="0"/>
          <w:bCs w:val="0"/>
          <w:sz w:val="32"/>
          <w:szCs w:val="32"/>
        </w:rPr>
        <w:t>；政府性基金收支预算</w:t>
      </w:r>
      <w:r>
        <w:rPr>
          <w:rFonts w:hint="default" w:ascii="Times New Roman" w:hAnsi="Times New Roman" w:eastAsia="仿宋_GB2312" w:cs="Times New Roman"/>
          <w:b w:val="0"/>
          <w:bCs w:val="0"/>
          <w:sz w:val="32"/>
          <w:szCs w:val="32"/>
          <w:lang w:eastAsia="zh-CN"/>
        </w:rPr>
        <w:t>与上年保持一致，</w:t>
      </w:r>
      <w:r>
        <w:rPr>
          <w:rFonts w:hint="default" w:ascii="Times New Roman" w:hAnsi="Times New Roman" w:eastAsia="仿宋_GB2312" w:cs="Times New Roman"/>
          <w:sz w:val="32"/>
          <w:szCs w:val="32"/>
        </w:rPr>
        <w:t>主要是无政府性基金</w:t>
      </w:r>
      <w:r>
        <w:rPr>
          <w:rFonts w:hint="default" w:ascii="Times New Roman" w:hAnsi="Times New Roman" w:eastAsia="仿宋_GB2312" w:cs="Times New Roman"/>
          <w:b w:val="0"/>
          <w:bCs w:val="0"/>
          <w:sz w:val="32"/>
          <w:szCs w:val="32"/>
        </w:rPr>
        <w:t>。</w:t>
      </w:r>
    </w:p>
    <w:p>
      <w:pPr>
        <w:widowControl w:val="0"/>
        <w:wordWrap/>
        <w:spacing w:line="360" w:lineRule="auto"/>
        <w:ind w:firstLine="640" w:firstLineChars="200"/>
        <w:textAlignment w:val="auto"/>
        <w:rPr>
          <w:rFonts w:hint="eastAsia" w:ascii="仿宋_GB2312" w:eastAsia="仿宋_GB2312"/>
          <w:sz w:val="32"/>
          <w:szCs w:val="32"/>
          <w:highlight w:val="yellow"/>
        </w:rPr>
      </w:pPr>
      <w:r>
        <w:rPr>
          <w:rFonts w:hint="eastAsia" w:ascii="黑体" w:hAnsi="黑体" w:eastAsia="黑体"/>
          <w:sz w:val="32"/>
          <w:szCs w:val="32"/>
          <w:highlight w:val="none"/>
        </w:rPr>
        <w:t>五、一般公共预算支出预算情况说明</w:t>
      </w:r>
    </w:p>
    <w:p>
      <w:pPr>
        <w:widowControl w:val="0"/>
        <w:wordWrap/>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170.21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145.21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85.31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14.69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default" w:ascii="Times New Roman" w:hAnsi="Times New Roman" w:eastAsia="仿宋_GB2312" w:cs="Times New Roman"/>
          <w:sz w:val="32"/>
          <w:szCs w:val="32"/>
        </w:rPr>
        <w:t>一般公共服务（类）支出</w:t>
      </w:r>
      <w:r>
        <w:rPr>
          <w:rFonts w:hint="default" w:ascii="Times New Roman" w:hAnsi="Times New Roman" w:eastAsia="仿宋_GB2312" w:cs="Times New Roman"/>
          <w:sz w:val="32"/>
          <w:szCs w:val="32"/>
          <w:lang w:val="en-US" w:eastAsia="zh-CN"/>
        </w:rPr>
        <w:t>136.12</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79.97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lang w:val="en-US" w:eastAsia="zh-CN"/>
        </w:rPr>
        <w:t>社会保障和就业（类）支出15.14万元，占8.89%；卫生健康（类）支出7.53万元，占4.42%；住房保障（类）支出11.42万元，占6.72%。</w:t>
      </w:r>
    </w:p>
    <w:p>
      <w:pPr>
        <w:widowControl w:val="0"/>
        <w:wordWrap/>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145.21</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139.48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96.05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主要包括：基本工资、津贴补贴、奖金、绩效工资、机关事业单位基本养老保险缴费、职工基本医疗保险缴费、住房公积金、退休费；</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5.73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3.95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主要包括：办公费、邮电费、工会经费、其他交通费用、其他商品和服务支出。</w:t>
      </w:r>
    </w:p>
    <w:p>
      <w:pPr>
        <w:widowControl w:val="0"/>
        <w:wordWrap/>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widowControl w:val="0"/>
        <w:wordWrap/>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w:t>
      </w:r>
      <w:r>
        <w:rPr>
          <w:rFonts w:hint="eastAsia" w:ascii="仿宋_GB2312" w:hAnsi="宋体" w:eastAsia="仿宋_GB2312" w:cs="Courier New"/>
          <w:sz w:val="32"/>
          <w:szCs w:val="32"/>
          <w:highlight w:val="none"/>
        </w:rPr>
        <w:t>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年初预算为</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宋体" w:eastAsia="仿宋_GB2312" w:cs="Courier New"/>
          <w:sz w:val="32"/>
          <w:szCs w:val="32"/>
          <w:highlight w:val="none"/>
        </w:rPr>
        <w:t>。</w:t>
      </w:r>
    </w:p>
    <w:p>
      <w:pPr>
        <w:widowControl w:val="0"/>
        <w:wordWrap/>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w:t>
      </w:r>
      <w:r>
        <w:rPr>
          <w:rFonts w:hint="eastAsia" w:ascii="仿宋_GB2312" w:hAnsi="宋体" w:eastAsia="仿宋_GB2312" w:cs="Courier New"/>
          <w:sz w:val="32"/>
          <w:szCs w:val="32"/>
          <w:lang w:eastAsia="zh-CN"/>
        </w:rPr>
        <w:t>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保持一致。</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 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widowControl w:val="0"/>
        <w:kinsoku w:val="0"/>
        <w:wordWrap/>
        <w:overflowPunct w:val="0"/>
        <w:autoSpaceDE w:val="0"/>
        <w:autoSpaceDN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widowControl w:val="0"/>
        <w:kinsoku w:val="0"/>
        <w:wordWrap/>
        <w:overflowPunct w:val="0"/>
        <w:autoSpaceDE w:val="0"/>
        <w:autoSpaceDN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eastAsia="zh-CN"/>
        </w:rPr>
        <w:t>新乡市卫滨区信访局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5.73</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主要包括办公费、邮电费、工会经费、其他交通费用、其他商品和服务支出</w:t>
      </w:r>
      <w:r>
        <w:rPr>
          <w:rFonts w:hint="eastAsia" w:ascii="仿宋_GB2312" w:eastAsia="仿宋_GB2312"/>
          <w:sz w:val="32"/>
          <w:szCs w:val="32"/>
          <w:highlight w:val="none"/>
        </w:rPr>
        <w:t>。</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17</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12</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p>
    <w:p>
      <w:pPr>
        <w:widowControl w:val="0"/>
        <w:numPr>
          <w:ilvl w:val="0"/>
          <w:numId w:val="4"/>
        </w:numPr>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4"/>
        <w:ind w:firstLine="640" w:firstLineChars="200"/>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我部门</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widowControl w:val="0"/>
        <w:numPr>
          <w:ilvl w:val="0"/>
          <w:numId w:val="0"/>
        </w:numPr>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25</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82.26</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82.26</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无</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年期末，新乡市</w:t>
      </w:r>
      <w:r>
        <w:rPr>
          <w:rFonts w:hint="eastAsia" w:ascii="仿宋_GB2312" w:hAnsi="仿宋_GB2312" w:eastAsia="仿宋_GB2312" w:cs="仿宋_GB2312"/>
          <w:sz w:val="32"/>
          <w:szCs w:val="32"/>
        </w:rPr>
        <w:t>卫滨区信访局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新乡市</w:t>
      </w:r>
      <w:r>
        <w:rPr>
          <w:rFonts w:hint="eastAsia" w:ascii="仿宋_GB2312" w:hAnsi="仿宋_GB2312" w:eastAsia="仿宋_GB2312" w:cs="仿宋_GB2312"/>
          <w:sz w:val="32"/>
          <w:szCs w:val="32"/>
        </w:rPr>
        <w:t>卫滨区信访局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年起全面实施支出经济分类科目改革，根据政府预算管理和部门预算管理的不同特点，分设部门预算支出经济分类科目和政府预算支出经济分类科目，两套科目之间保持对应关系。为适应改革要求，新乡市</w:t>
      </w:r>
      <w:r>
        <w:rPr>
          <w:rFonts w:hint="eastAsia" w:ascii="仿宋_GB2312" w:hAnsi="仿宋_GB2312" w:eastAsia="仿宋_GB2312" w:cs="仿宋_GB2312"/>
          <w:sz w:val="32"/>
          <w:szCs w:val="32"/>
        </w:rPr>
        <w:t>卫滨区信访局</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widowControl w:val="0"/>
        <w:numPr>
          <w:ilvl w:val="0"/>
          <w:numId w:val="0"/>
        </w:numPr>
        <w:kinsoku w:val="0"/>
        <w:wordWrap/>
        <w:overflowPunct w:val="0"/>
        <w:autoSpaceDE w:val="0"/>
        <w:autoSpaceDN w:val="0"/>
        <w:adjustRightInd w:val="0"/>
        <w:snapToGrid w:val="0"/>
        <w:spacing w:line="360" w:lineRule="auto"/>
        <w:textAlignment w:val="auto"/>
        <w:rPr>
          <w:rFonts w:hint="default" w:ascii="楷体_GB2312" w:hAnsi="楷体_GB2312" w:eastAsia="楷体_GB2312" w:cs="楷体_GB2312"/>
          <w:sz w:val="32"/>
          <w:szCs w:val="32"/>
          <w:highlight w:val="yellow"/>
          <w:lang w:val="en-US"/>
        </w:rPr>
      </w:pPr>
      <w:r>
        <w:rPr>
          <w:rFonts w:hint="eastAsia" w:ascii="楷体" w:hAnsi="楷体" w:eastAsia="楷体" w:cs="仿宋_GB2312"/>
          <w:kern w:val="0"/>
          <w:sz w:val="32"/>
          <w:szCs w:val="32"/>
          <w:lang w:val="en-US" w:eastAsia="zh-CN"/>
        </w:rPr>
        <w:t xml:space="preserve">    </w:t>
      </w:r>
      <w:r>
        <w:rPr>
          <w:rFonts w:hint="eastAsia" w:ascii="楷体" w:hAnsi="楷体" w:eastAsia="楷体" w:cs="仿宋_GB2312"/>
          <w:kern w:val="0"/>
          <w:sz w:val="32"/>
          <w:szCs w:val="32"/>
        </w:rPr>
        <w:t>（</w:t>
      </w:r>
      <w:r>
        <w:rPr>
          <w:rFonts w:hint="eastAsia" w:ascii="楷体" w:hAnsi="楷体" w:eastAsia="楷体" w:cs="仿宋_GB2312"/>
          <w:kern w:val="0"/>
          <w:sz w:val="32"/>
          <w:szCs w:val="32"/>
          <w:lang w:eastAsia="zh-CN"/>
        </w:rPr>
        <w:t>六</w:t>
      </w:r>
      <w:r>
        <w:rPr>
          <w:rFonts w:hint="eastAsia" w:ascii="楷体" w:hAnsi="楷体" w:eastAsia="楷体" w:cs="仿宋_GB2312"/>
          <w:kern w:val="0"/>
          <w:sz w:val="32"/>
          <w:szCs w:val="32"/>
        </w:rPr>
        <w:t>）</w:t>
      </w:r>
      <w:r>
        <w:rPr>
          <w:rFonts w:hint="eastAsia" w:ascii="楷体_GB2312" w:hAnsi="楷体_GB2312" w:eastAsia="楷体_GB2312" w:cs="楷体_GB2312"/>
          <w:sz w:val="32"/>
          <w:szCs w:val="32"/>
          <w:highlight w:val="none"/>
        </w:rPr>
        <w:t>专项转移支付项目情况</w:t>
      </w:r>
    </w:p>
    <w:p>
      <w:pPr>
        <w:widowControl w:val="0"/>
        <w:shd w:val="clear" w:color="auto" w:fill="auto"/>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新乡市</w:t>
      </w:r>
      <w:r>
        <w:rPr>
          <w:rFonts w:hint="eastAsia" w:ascii="仿宋_GB2312" w:hAnsi="仿宋_GB2312" w:eastAsia="仿宋_GB2312" w:cs="仿宋_GB2312"/>
          <w:sz w:val="32"/>
          <w:szCs w:val="32"/>
        </w:rPr>
        <w:t>卫滨区信访局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widowControl w:val="0"/>
        <w:kinsoku w:val="0"/>
        <w:wordWrap/>
        <w:overflowPunct w:val="0"/>
        <w:autoSpaceDE w:val="0"/>
        <w:autoSpaceDN w:val="0"/>
        <w:adjustRightInd w:val="0"/>
        <w:snapToGrid w:val="0"/>
        <w:spacing w:line="360" w:lineRule="auto"/>
        <w:textAlignment w:val="auto"/>
        <w:rPr>
          <w:rFonts w:hint="eastAsia" w:ascii="仿宋_GB2312" w:hAnsi="宋体" w:eastAsia="仿宋_GB2312" w:cs="Courier New"/>
          <w:sz w:val="32"/>
          <w:szCs w:val="32"/>
        </w:rPr>
      </w:pPr>
    </w:p>
    <w:p>
      <w:pPr>
        <w:widowControl w:val="0"/>
        <w:kinsoku w:val="0"/>
        <w:wordWrap/>
        <w:overflowPunct w:val="0"/>
        <w:autoSpaceDE w:val="0"/>
        <w:autoSpaceDN w:val="0"/>
        <w:adjustRightInd w:val="0"/>
        <w:snapToGrid w:val="0"/>
        <w:spacing w:line="360" w:lineRule="auto"/>
        <w:textAlignment w:val="auto"/>
        <w:rPr>
          <w:rFonts w:hint="eastAsia" w:ascii="仿宋_GB2312" w:hAnsi="宋体" w:eastAsia="仿宋_GB2312" w:cs="Courier New"/>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widowControl w:val="0"/>
        <w:kinsoku w:val="0"/>
        <w:wordWrap/>
        <w:overflowPunct w:val="0"/>
        <w:adjustRightInd w:val="0"/>
        <w:snapToGrid w:val="0"/>
        <w:spacing w:line="360" w:lineRule="auto"/>
        <w:ind w:firstLine="640" w:firstLineChars="200"/>
        <w:textAlignment w:val="auto"/>
        <w:rPr>
          <w:rFonts w:hint="eastAsia" w:ascii="黑体" w:hAnsi="Times New Roman" w:eastAsia="黑体" w:cs="黑体"/>
          <w:sz w:val="32"/>
          <w:szCs w:val="32"/>
        </w:rPr>
      </w:pPr>
    </w:p>
    <w:p>
      <w:pPr>
        <w:widowControl w:val="0"/>
        <w:kinsoku w:val="0"/>
        <w:wordWrap/>
        <w:overflowPunct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widowControl w:val="0"/>
        <w:kinsoku w:val="0"/>
        <w:wordWrap/>
        <w:overflowPunct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信访局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80"/>
        <w:gridCol w:w="1540"/>
        <w:gridCol w:w="3080"/>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170.21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136.12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170.21</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7.53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170.21</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170.21</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170.21</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合计</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019</w:t>
            </w: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019001</w:t>
            </w: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新乡市卫滨区信访局本级</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2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8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40" w:type="dxa"/>
            <w:gridSpan w:val="13"/>
            <w:tcBorders>
              <w:top w:val="nil"/>
              <w:left w:val="nil"/>
              <w:bottom w:val="nil"/>
              <w:right w:val="nil"/>
            </w:tcBorders>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p>
        </w:tc>
        <w:tc>
          <w:tcPr>
            <w:tcW w:w="1401" w:type="dxa"/>
            <w:gridSpan w:val="2"/>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合计</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131.39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w:t>
            </w:r>
          </w:p>
        </w:tc>
        <w:tc>
          <w:tcPr>
            <w:tcW w:w="50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019</w:t>
            </w:r>
          </w:p>
        </w:tc>
        <w:tc>
          <w:tcPr>
            <w:tcW w:w="2595"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131.39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03</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行政运行</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111.12</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111.12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97.30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40</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04</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信访业务</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208</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机关事业单位基本养老保险缴费支出</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210</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行政单位医疗</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221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03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新乡市卫滨区信访局</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136.12</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136.12</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136.12</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170.21</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 xml:space="preserve"> 部门名称：</w:t>
            </w:r>
            <w:r>
              <w:rPr>
                <w:rFonts w:hint="eastAsia" w:ascii="宋体" w:hAnsi="宋体" w:cs="宋体"/>
                <w:kern w:val="0"/>
                <w:sz w:val="18"/>
                <w:szCs w:val="18"/>
                <w:highlight w:val="none"/>
                <w:lang w:eastAsia="zh-CN"/>
              </w:rPr>
              <w:t>新乡市卫滨区信访局</w:t>
            </w:r>
          </w:p>
        </w:tc>
        <w:tc>
          <w:tcPr>
            <w:tcW w:w="1180" w:type="dxa"/>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w:t>
            </w:r>
          </w:p>
        </w:tc>
        <w:tc>
          <w:tcPr>
            <w:tcW w:w="50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合计</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131.39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019</w:t>
            </w: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131.39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03</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行政运行</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111.12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111.12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97.30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40</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04</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信访业务</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208</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机关事业单位基本养老保险缴费支出</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210</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行政单位医疗</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221</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w:t>
            </w:r>
          </w:p>
        </w:tc>
        <w:tc>
          <w:tcPr>
            <w:tcW w:w="5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131"/>
        <w:gridCol w:w="780"/>
        <w:gridCol w:w="840"/>
        <w:gridCol w:w="659"/>
        <w:gridCol w:w="151"/>
        <w:gridCol w:w="436"/>
        <w:gridCol w:w="240"/>
        <w:gridCol w:w="840"/>
        <w:gridCol w:w="459"/>
        <w:gridCol w:w="261"/>
        <w:gridCol w:w="947"/>
        <w:gridCol w:w="163"/>
        <w:gridCol w:w="472"/>
        <w:gridCol w:w="68"/>
        <w:gridCol w:w="690"/>
        <w:gridCol w:w="855"/>
        <w:gridCol w:w="513"/>
        <w:gridCol w:w="207"/>
        <w:gridCol w:w="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p>
        </w:tc>
        <w:tc>
          <w:tcPr>
            <w:tcW w:w="2761" w:type="dxa"/>
            <w:gridSpan w:val="6"/>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合计</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139.48</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30302</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退休费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50905</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离退休费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8.09</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30103</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奖金</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4.47</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4.47</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30101</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基本工资</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56.37</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56.37</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30107</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绩效工资</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50501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工资福利支出</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21.46</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21.46</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30102</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津贴补贴</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15.00</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15.00</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30228</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工会经费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1.24</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30299</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其他商品和服务支出</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50299</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其他商品和服务支出</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0.33</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30201</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0.60</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30239</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其他交通费用</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1.56</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30207</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邮电费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2.00</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30108</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50102</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社会保障缴费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15.14</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30110</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职工基本医疗保险缴费</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50102</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社会保障缴费</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7.53</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30113</w:t>
            </w:r>
          </w:p>
        </w:tc>
        <w:tc>
          <w:tcPr>
            <w:tcW w:w="2693"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50103</w:t>
            </w:r>
          </w:p>
        </w:tc>
        <w:tc>
          <w:tcPr>
            <w:tcW w:w="2410" w:type="dxa"/>
            <w:gridSpan w:val="4"/>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2126" w:type="dxa"/>
            <w:gridSpan w:val="5"/>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1843"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11.42</w:t>
            </w:r>
          </w:p>
        </w:tc>
        <w:tc>
          <w:tcPr>
            <w:tcW w:w="2126" w:type="dxa"/>
            <w:gridSpan w:val="4"/>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vAlign w:val="center"/>
          </w:tcPr>
          <w:p>
            <w:pPr>
              <w:widowControl/>
              <w:wordWrap/>
              <w:adjustRightInd/>
              <w:snapToGrid/>
              <w:spacing w:line="32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新乡市卫滨区信访局</w:t>
            </w:r>
            <w:r>
              <w:rPr>
                <w:rFonts w:hint="eastAsia" w:ascii="宋体" w:hAnsi="宋体" w:cs="宋体"/>
                <w:kern w:val="0"/>
                <w:sz w:val="15"/>
                <w:szCs w:val="15"/>
                <w:highlight w:val="none"/>
              </w:rPr>
              <w:t xml:space="preserve"> </w:t>
            </w:r>
          </w:p>
        </w:tc>
        <w:tc>
          <w:tcPr>
            <w:tcW w:w="5715" w:type="dxa"/>
            <w:gridSpan w:val="10"/>
            <w:tcBorders>
              <w:top w:val="nil"/>
              <w:left w:val="nil"/>
              <w:bottom w:val="nil"/>
              <w:right w:val="nil"/>
            </w:tcBorders>
            <w:vAlign w:val="center"/>
          </w:tcPr>
          <w:p>
            <w:pPr>
              <w:widowControl/>
              <w:wordWrap/>
              <w:adjustRightInd/>
              <w:snapToGrid/>
              <w:spacing w:line="320" w:lineRule="exact"/>
              <w:ind w:left="0" w:leftChars="0" w:right="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849" w:type="dxa"/>
            <w:gridSpan w:val="5"/>
            <w:tcBorders>
              <w:top w:val="single" w:color="000000" w:sz="4" w:space="0"/>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650" w:type="dxa"/>
            <w:gridSpan w:val="3"/>
            <w:tcBorders>
              <w:top w:val="single" w:color="000000" w:sz="4" w:space="0"/>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676"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844" w:type="dxa"/>
            <w:gridSpan w:val="3"/>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67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合计</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019</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新乡市卫滨区信访局</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170.21</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303</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退休费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509</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05</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离退休费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8.09</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8.09</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8.09</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03</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奖金</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4.47</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4.47</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4.47</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基本工资</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56.37</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56.37</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56.37</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07</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绩效工资</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505</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工资福利支出</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21.46</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21.46</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21.46</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津贴补贴</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15.00</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15.00</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15.00</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28</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工会经费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1.24</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1.24</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1.24</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99</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其他商品和服务支出</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99</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其他商品和服务支出</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24.33</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24.33</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24.33</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1.60</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1.60</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1.60</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39</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其他交通费用</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1.56</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1.56</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1.56</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07</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邮电费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2.00</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2.00</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2.00</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08</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机关事业单位基本养老保险缴费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社会保障缴费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15.14</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10</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职工基本医疗保险缴费</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社会保障缴费</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7.53</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13</w:t>
            </w:r>
          </w:p>
        </w:tc>
        <w:tc>
          <w:tcPr>
            <w:tcW w:w="2818" w:type="dxa"/>
            <w:gridSpan w:val="2"/>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住房公积金</w:t>
            </w:r>
          </w:p>
        </w:tc>
        <w:tc>
          <w:tcPr>
            <w:tcW w:w="525"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03</w:t>
            </w:r>
          </w:p>
        </w:tc>
        <w:tc>
          <w:tcPr>
            <w:tcW w:w="1844" w:type="dxa"/>
            <w:gridSpan w:val="3"/>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住房公积金</w:t>
            </w:r>
          </w:p>
        </w:tc>
        <w:tc>
          <w:tcPr>
            <w:tcW w:w="78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810" w:type="dxa"/>
            <w:gridSpan w:val="2"/>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11.42</w:t>
            </w:r>
          </w:p>
        </w:tc>
        <w:tc>
          <w:tcPr>
            <w:tcW w:w="676"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52"/>
        <w:gridCol w:w="1785"/>
        <w:gridCol w:w="1875"/>
        <w:gridCol w:w="2340"/>
        <w:gridCol w:w="2340"/>
        <w:gridCol w:w="2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p>
        </w:tc>
        <w:tc>
          <w:tcPr>
            <w:tcW w:w="2340" w:type="dxa"/>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352" w:type="dxa"/>
            <w:tcBorders>
              <w:top w:val="nil"/>
              <w:left w:val="single" w:color="000000" w:sz="4" w:space="0"/>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78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bookmarkStart w:id="0" w:name="_GoBack"/>
            <w:bookmarkEnd w:id="0"/>
            <w:r>
              <w:rPr>
                <w:rFonts w:hint="eastAsia" w:ascii="宋体" w:hAnsi="宋体" w:eastAsia="宋体" w:cs="宋体"/>
                <w:i w:val="0"/>
                <w:iCs w:val="0"/>
                <w:color w:val="000000"/>
                <w:kern w:val="0"/>
                <w:sz w:val="18"/>
                <w:szCs w:val="18"/>
                <w:u w:val="none"/>
                <w:lang w:val="en-US" w:eastAsia="zh-CN"/>
              </w:rPr>
              <w:t>说明：我部门没有此项收入和支出，故此表无数据。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vAlign w:val="center"/>
          </w:tcPr>
          <w:p>
            <w:pPr>
              <w:widowControl/>
              <w:jc w:val="lef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color w:val="000000"/>
                <w:kern w:val="0"/>
                <w:sz w:val="18"/>
                <w:szCs w:val="18"/>
                <w:highlight w:val="none"/>
                <w:lang w:eastAsia="zh-CN"/>
              </w:rPr>
              <w:t>新乡市卫滨区信访局</w:t>
            </w:r>
          </w:p>
        </w:tc>
        <w:tc>
          <w:tcPr>
            <w:tcW w:w="1230" w:type="dxa"/>
            <w:tcBorders>
              <w:top w:val="nil"/>
              <w:left w:val="nil"/>
              <w:bottom w:val="nil"/>
              <w:right w:val="nil"/>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lang w:eastAsia="zh-CN"/>
        </w:rPr>
        <w:t>说明：</w:t>
      </w:r>
      <w:r>
        <w:rPr>
          <w:rFonts w:hint="eastAsia" w:ascii="宋体" w:hAnsi="宋体" w:eastAsia="宋体" w:cs="宋体"/>
          <w:sz w:val="18"/>
          <w:szCs w:val="18"/>
        </w:rPr>
        <w:t>我部门没有政府性基金收入，也没有使用政府性基金安排支出，故此表无数据。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963" w:type="dxa"/>
            <w:gridSpan w:val="11"/>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color w:val="000000"/>
                <w:kern w:val="0"/>
                <w:sz w:val="18"/>
                <w:szCs w:val="18"/>
                <w:highlight w:val="none"/>
                <w:lang w:eastAsia="zh-CN"/>
              </w:rPr>
              <w:t>新乡市卫滨区信访局</w:t>
            </w:r>
          </w:p>
        </w:tc>
        <w:tc>
          <w:tcPr>
            <w:tcW w:w="1134" w:type="dxa"/>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98"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019</w:t>
            </w:r>
          </w:p>
        </w:tc>
        <w:tc>
          <w:tcPr>
            <w:tcW w:w="1701"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w:t>
            </w:r>
          </w:p>
        </w:tc>
        <w:tc>
          <w:tcPr>
            <w:tcW w:w="99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其他运转类</w:t>
            </w:r>
          </w:p>
        </w:tc>
        <w:tc>
          <w:tcPr>
            <w:tcW w:w="1275"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信访工作经费</w:t>
            </w:r>
          </w:p>
        </w:tc>
        <w:tc>
          <w:tcPr>
            <w:tcW w:w="1701"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新乡市卫滨区信访局本级</w:t>
            </w:r>
          </w:p>
        </w:tc>
        <w:tc>
          <w:tcPr>
            <w:tcW w:w="993"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1134" w:type="dxa"/>
            <w:tcBorders>
              <w:top w:val="nil"/>
              <w:left w:val="nil"/>
              <w:bottom w:val="single" w:color="000000" w:sz="4" w:space="0"/>
              <w:right w:val="single" w:color="000000" w:sz="4" w:space="0"/>
            </w:tcBorders>
            <w:vAlign w:val="center"/>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0"/>
        <w:gridCol w:w="1460"/>
        <w:gridCol w:w="2200"/>
        <w:gridCol w:w="1180"/>
        <w:gridCol w:w="3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color w:val="000000"/>
                <w:kern w:val="0"/>
                <w:sz w:val="18"/>
                <w:szCs w:val="18"/>
                <w:highlight w:val="none"/>
                <w:lang w:eastAsia="zh-CN"/>
              </w:rPr>
              <w:t>新乡市卫滨区信访局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1：代表区委、区政府受理人民群众给区委、区政府及其主要领导人的来信,接待群众来访,受理人民群众通过电话、电报和网络的信访案件,为来信来访群众提供有关法律、法规和政策咨询服务。各类指标均有所下降。</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2：承办上级领导机关、本级领导机关及其负责人转办、交办的信访事项,督促检查领导同志批示件的落实情况;负责向镇、办事处和区直各部交办信访事项,督促检查重要信访事项的处理和落实,审结要结果案件,并实施信访责任追究制。</w:t>
            </w:r>
          </w:p>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目标3：检查指导镇、办事处和区直各部门的信访基础业务规范化工作,组织交流工作经验,提出改进措施,组织信访干部培训;指导全区信访部门法治化建设。</w:t>
            </w:r>
          </w:p>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目标4：解决特殊疑难案件，减少积案存量。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维护信访秩序，重大时期不发生恶性案件和负面舆论</w:t>
            </w:r>
          </w:p>
        </w:tc>
        <w:tc>
          <w:tcPr>
            <w:tcW w:w="442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依法维护信访秩序,重要敏感时期确保不发生赴京非访、赴京越级集体上访,不发生因信访问题引发极端恶性事件,不发生因信访问题引发舆论负面炒作。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依法规范信访秩序，根据实际发生情况提出意见建议</w:t>
            </w:r>
          </w:p>
        </w:tc>
        <w:tc>
          <w:tcPr>
            <w:tcW w:w="442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依法规范信访秩序,对因工作失责引发的群体性信访事件、集体上访、非正常上访,依照规定提出责任追究建议。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检查指导镇办工作，组织培训，指导全区信访基础业务规范化、法治化建设</w:t>
            </w:r>
          </w:p>
        </w:tc>
        <w:tc>
          <w:tcPr>
            <w:tcW w:w="442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检查指导镇、办事处和区直各部门的信访基础业务规范化工作,组织交流工作经验,提出改进措施,组织信访干部培训;指导全区信访部门法治化建设。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控制增量，化解积案</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解决特殊疑难案件，减少积案存量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170.21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相关</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科学</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合理</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完整</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预算调整率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结转结余率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“三公经费”控制率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政府采购执行率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决算真实性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真实</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资金使用合规性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合规</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管理制度健全性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健全</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8"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预决算信息公开性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公开</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资产管理规范性</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规范</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绩效目标编制完成率</w:t>
            </w:r>
          </w:p>
        </w:tc>
        <w:tc>
          <w:tcPr>
            <w:tcW w:w="1180"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绩效监控完成率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绩效自评完成率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部门绩效评价完成率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评价结果应用率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维护信访秩序，重大时期不发生恶性案件和负面舆论。（工作完成率）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left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依法规范信访秩序，根据实际发生情况提出意见建议。（工作完成率）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检查指导镇办工作，组织培训，指导全区信访基础业务规范化、法治化建设。（工作完成率）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解决特殊疑难案件，减少积案存量</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下降</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受理各渠道反映的信访问题，为来信来访群众提供有关法律、法规和政策咨询服务。（目标实现率）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承办上级、本级领导机关转办、交办的信访事项,督促检查各类信访案件落实，提责任追究建议。（完成率）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left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检查指导镇办工作，组织培训，指导全区信访基础业务规范化、法治化建设。（目标实现率）</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解决特殊疑难案件，减少积案存量</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下降</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社会稳定，无重大影响案件。</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稳定</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解决特殊疑难案件，减少积案存量</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下降</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信访群众满意度</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≥85%</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相关人员满意度</w:t>
            </w:r>
          </w:p>
        </w:tc>
        <w:tc>
          <w:tcPr>
            <w:tcW w:w="1180" w:type="dxa"/>
            <w:tcBorders>
              <w:top w:val="nil"/>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324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451"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06"/>
        <w:gridCol w:w="1230"/>
        <w:gridCol w:w="739"/>
        <w:gridCol w:w="778"/>
        <w:gridCol w:w="637"/>
        <w:gridCol w:w="538"/>
        <w:gridCol w:w="1189"/>
        <w:gridCol w:w="1005"/>
        <w:gridCol w:w="1276"/>
        <w:gridCol w:w="1417"/>
        <w:gridCol w:w="1276"/>
        <w:gridCol w:w="992"/>
        <w:gridCol w:w="1418"/>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新乡市卫滨区信访局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10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8"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93"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68"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2" w:hRule="atLeast"/>
        </w:trPr>
        <w:tc>
          <w:tcPr>
            <w:tcW w:w="210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17"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76"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2"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106" w:type="dxa"/>
            <w:tcBorders>
              <w:top w:val="nil"/>
              <w:left w:val="single" w:color="000000" w:sz="4" w:space="0"/>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019</w:t>
            </w:r>
          </w:p>
        </w:tc>
        <w:tc>
          <w:tcPr>
            <w:tcW w:w="123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73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778"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637"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538"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89"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2106" w:type="dxa"/>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019001</w:t>
            </w:r>
          </w:p>
        </w:tc>
        <w:tc>
          <w:tcPr>
            <w:tcW w:w="1230" w:type="dxa"/>
            <w:tcBorders>
              <w:top w:val="nil"/>
              <w:left w:val="nil"/>
              <w:bottom w:val="single" w:color="000000" w:sz="4" w:space="0"/>
              <w:right w:val="single" w:color="000000" w:sz="4" w:space="0"/>
            </w:tcBorders>
            <w:vAlign w:val="center"/>
          </w:tcPr>
          <w:p>
            <w:pPr>
              <w:autoSpaceDN w:val="0"/>
              <w:jc w:val="center"/>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新乡市卫滨区信访局本级</w:t>
            </w:r>
          </w:p>
        </w:tc>
        <w:tc>
          <w:tcPr>
            <w:tcW w:w="73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778"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637"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2106" w:type="dxa"/>
            <w:vMerge w:val="restart"/>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410703220000000016943</w:t>
            </w:r>
          </w:p>
        </w:tc>
        <w:tc>
          <w:tcPr>
            <w:tcW w:w="1230" w:type="dxa"/>
            <w:vMerge w:val="restart"/>
            <w:tcBorders>
              <w:top w:val="nil"/>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信访工作经费</w:t>
            </w:r>
          </w:p>
        </w:tc>
        <w:tc>
          <w:tcPr>
            <w:tcW w:w="739" w:type="dxa"/>
            <w:vMerge w:val="restart"/>
            <w:tcBorders>
              <w:top w:val="nil"/>
              <w:left w:val="single" w:color="000000" w:sz="4" w:space="0"/>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778" w:type="dxa"/>
            <w:vMerge w:val="restart"/>
            <w:tcBorders>
              <w:top w:val="nil"/>
              <w:left w:val="single" w:color="000000" w:sz="4" w:space="0"/>
              <w:bottom w:val="single" w:color="000000" w:sz="4" w:space="0"/>
              <w:right w:val="single" w:color="000000" w:sz="4" w:space="0"/>
            </w:tcBorders>
            <w:vAlign w:val="center"/>
          </w:tcPr>
          <w:p>
            <w:pPr>
              <w:autoSpaceDN w:val="0"/>
              <w:jc w:val="righ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25.00</w:t>
            </w:r>
          </w:p>
        </w:tc>
        <w:tc>
          <w:tcPr>
            <w:tcW w:w="637"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信访工作经费总成本</w:t>
            </w:r>
          </w:p>
        </w:tc>
        <w:tc>
          <w:tcPr>
            <w:tcW w:w="1005"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25万元</w:t>
            </w: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案件量</w:t>
            </w:r>
          </w:p>
        </w:tc>
        <w:tc>
          <w:tcPr>
            <w:tcW w:w="1417"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≤1000件</w:t>
            </w: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维护社会稳定、有效化解社会矛盾</w:t>
            </w:r>
          </w:p>
        </w:tc>
        <w:tc>
          <w:tcPr>
            <w:tcW w:w="992"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≥95%</w:t>
            </w: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群众满意度</w:t>
            </w:r>
          </w:p>
        </w:tc>
        <w:tc>
          <w:tcPr>
            <w:tcW w:w="85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信访结案率</w:t>
            </w:r>
          </w:p>
        </w:tc>
        <w:tc>
          <w:tcPr>
            <w:tcW w:w="1417"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经费支出时间</w:t>
            </w:r>
          </w:p>
        </w:tc>
        <w:tc>
          <w:tcPr>
            <w:tcW w:w="1417"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2024年度</w:t>
            </w:r>
          </w:p>
        </w:tc>
        <w:tc>
          <w:tcPr>
            <w:tcW w:w="1276"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center"/>
          </w:tcPr>
          <w:p>
            <w:pPr>
              <w:autoSpaceDN w:val="0"/>
              <w:jc w:val="left"/>
              <w:textAlignment w:val="center"/>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2106" w:type="dxa"/>
            <w:vMerge w:val="restart"/>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1230" w:type="dxa"/>
            <w:vMerge w:val="restart"/>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p>
        </w:tc>
        <w:tc>
          <w:tcPr>
            <w:tcW w:w="739"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778"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637"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210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76"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417"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p>
        </w:tc>
        <w:tc>
          <w:tcPr>
            <w:tcW w:w="1276"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2"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A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Cambria Math">
    <w:panose1 w:val="02040503050406030204"/>
    <w:charset w:val="01"/>
    <w:family w:val="auto"/>
    <w:pitch w:val="default"/>
    <w:sig w:usb0="A00002EF" w:usb1="420020E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00000287" w:usb1="00000000" w:usb2="00000000" w:usb3="00000000" w:csb0="2000019F" w:csb1="00000000"/>
  </w:font>
  <w:font w:name="隶书">
    <w:panose1 w:val="02010509060101010101"/>
    <w:charset w:val="86"/>
    <w:family w:val="auto"/>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abstractNum w:abstractNumId="3">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7996B95"/>
    <w:rsid w:val="0CAD2915"/>
    <w:rsid w:val="0DB61D9C"/>
    <w:rsid w:val="0E444F4D"/>
    <w:rsid w:val="1051390A"/>
    <w:rsid w:val="197345BF"/>
    <w:rsid w:val="21956192"/>
    <w:rsid w:val="24525099"/>
    <w:rsid w:val="2D2D5A98"/>
    <w:rsid w:val="2FE435FB"/>
    <w:rsid w:val="369D6F20"/>
    <w:rsid w:val="39FF027B"/>
    <w:rsid w:val="4C13037B"/>
    <w:rsid w:val="59F60682"/>
    <w:rsid w:val="5D9815A9"/>
    <w:rsid w:val="5F195AE5"/>
    <w:rsid w:val="60175923"/>
    <w:rsid w:val="667F5A1F"/>
    <w:rsid w:val="6CFF6181"/>
    <w:rsid w:val="704625E7"/>
    <w:rsid w:val="776E69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uiPriority w:val="0"/>
    <w:rPr>
      <w:rFonts w:ascii="Calibri" w:hAnsi="Calibri"/>
      <w:kern w:val="2"/>
      <w:sz w:val="18"/>
      <w:szCs w:val="18"/>
    </w:rPr>
  </w:style>
  <w:style w:type="character" w:customStyle="1" w:styleId="12">
    <w:name w:val="页眉 字符"/>
    <w:basedOn w:val="7"/>
    <w:link w:val="6"/>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2024-03-22T02:32:07Z</dcterms:modified>
  <dc:title>2017年度省级部门预算公开参考格式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