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880" w:firstLineChars="200"/>
        <w:jc w:val="center"/>
        <w:rPr>
          <w:rFonts w:hint="eastAsia" w:ascii="方正小标宋简体" w:hAnsi="方正小标宋简体" w:eastAsia="方正小标宋简体" w:cs="方正小标宋简体"/>
          <w:sz w:val="44"/>
          <w:szCs w:val="44"/>
          <w:highlight w:val="none"/>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中共新乡市卫滨区委办公室</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方正小标宋简体" w:cs="Times New Roman"/>
          <w:sz w:val="44"/>
          <w:szCs w:val="44"/>
          <w:highlight w:val="red"/>
        </w:rPr>
      </w:pPr>
      <w:r>
        <w:rPr>
          <w:rFonts w:hint="default" w:ascii="Times New Roman" w:hAnsi="Times New Roman" w:eastAsia="方正小标宋简体" w:cs="Times New Roman"/>
          <w:sz w:val="44"/>
          <w:szCs w:val="44"/>
          <w:highlight w:val="none"/>
          <w:lang w:val="en-US" w:eastAsia="zh-CN"/>
        </w:rPr>
        <w:t>2024年度部门预算</w:t>
      </w:r>
    </w:p>
    <w:p>
      <w:pPr>
        <w:kinsoku w:val="0"/>
        <w:overflowPunct w:val="0"/>
        <w:adjustRightInd w:val="0"/>
        <w:snapToGrid w:val="0"/>
        <w:spacing w:line="560" w:lineRule="exact"/>
        <w:ind w:left="-142" w:right="51" w:firstLine="30" w:firstLineChars="7"/>
        <w:jc w:val="center"/>
        <w:rPr>
          <w:rFonts w:hint="default" w:ascii="Times New Roman" w:hAnsi="Times New Roman" w:eastAsia="方正小标宋简体" w:cs="Times New Roman"/>
          <w:sz w:val="44"/>
          <w:szCs w:val="44"/>
        </w:rPr>
      </w:pPr>
    </w:p>
    <w:p>
      <w:pPr>
        <w:kinsoku w:val="0"/>
        <w:overflowPunct w:val="0"/>
        <w:adjustRightInd w:val="0"/>
        <w:snapToGrid w:val="0"/>
        <w:spacing w:line="560" w:lineRule="exact"/>
        <w:ind w:left="-142" w:right="51" w:firstLine="30" w:firstLineChars="7"/>
        <w:jc w:val="center"/>
        <w:rPr>
          <w:rFonts w:hint="default" w:ascii="Times New Roman" w:hAnsi="Times New Roman" w:eastAsia="方正小标宋简体" w:cs="Times New Roman"/>
          <w:sz w:val="44"/>
          <w:szCs w:val="44"/>
          <w:lang w:val="en-US" w:eastAsia="zh-CN"/>
        </w:rPr>
      </w:pPr>
    </w:p>
    <w:p>
      <w:pPr>
        <w:kinsoku w:val="0"/>
        <w:overflowPunct w:val="0"/>
        <w:adjustRightInd w:val="0"/>
        <w:snapToGrid w:val="0"/>
        <w:spacing w:line="560" w:lineRule="exact"/>
        <w:ind w:left="-142" w:right="51" w:firstLine="30" w:firstLineChars="7"/>
        <w:jc w:val="center"/>
        <w:rPr>
          <w:rFonts w:hint="default" w:ascii="Times New Roman" w:hAnsi="Times New Roman" w:eastAsia="方正小标宋简体" w:cs="Times New Roman"/>
          <w:sz w:val="44"/>
          <w:szCs w:val="44"/>
          <w:lang w:val="en-US" w:eastAsia="zh-CN"/>
        </w:rPr>
      </w:pPr>
    </w:p>
    <w:p>
      <w:pPr>
        <w:kinsoku w:val="0"/>
        <w:overflowPunct w:val="0"/>
        <w:adjustRightInd w:val="0"/>
        <w:snapToGrid w:val="0"/>
        <w:spacing w:line="560" w:lineRule="exact"/>
        <w:ind w:left="-142" w:right="51" w:firstLine="30" w:firstLineChars="7"/>
        <w:jc w:val="center"/>
        <w:rPr>
          <w:rFonts w:hint="default" w:ascii="Times New Roman" w:hAnsi="Times New Roman" w:eastAsia="方正小标宋简体" w:cs="Times New Roman"/>
          <w:sz w:val="44"/>
          <w:szCs w:val="44"/>
          <w:lang w:val="en-US" w:eastAsia="zh-CN"/>
        </w:rPr>
      </w:pPr>
    </w:p>
    <w:p>
      <w:pPr>
        <w:kinsoku w:val="0"/>
        <w:overflowPunct w:val="0"/>
        <w:adjustRightInd w:val="0"/>
        <w:snapToGrid w:val="0"/>
        <w:spacing w:line="560" w:lineRule="exact"/>
        <w:ind w:left="-142" w:right="51" w:firstLine="30" w:firstLineChars="7"/>
        <w:jc w:val="center"/>
        <w:rPr>
          <w:rFonts w:hint="default" w:ascii="Times New Roman" w:hAnsi="Times New Roman" w:eastAsia="方正小标宋简体" w:cs="Times New Roman"/>
          <w:sz w:val="44"/>
          <w:szCs w:val="44"/>
        </w:rPr>
      </w:pPr>
    </w:p>
    <w:p>
      <w:pPr>
        <w:kinsoku w:val="0"/>
        <w:overflowPunct w:val="0"/>
        <w:adjustRightInd w:val="0"/>
        <w:snapToGrid w:val="0"/>
        <w:spacing w:line="360" w:lineRule="auto"/>
        <w:ind w:left="-142" w:right="51" w:firstLine="30" w:firstLineChars="7"/>
        <w:jc w:val="center"/>
        <w:rPr>
          <w:rFonts w:hint="default" w:ascii="Times New Roman" w:hAnsi="Times New Roman" w:eastAsia="方正小标宋简体" w:cs="Times New Roman"/>
          <w:sz w:val="44"/>
          <w:szCs w:val="44"/>
        </w:rPr>
      </w:pPr>
    </w:p>
    <w:p>
      <w:pPr>
        <w:kinsoku w:val="0"/>
        <w:overflowPunct w:val="0"/>
        <w:adjustRightInd w:val="0"/>
        <w:snapToGrid w:val="0"/>
        <w:spacing w:line="360" w:lineRule="auto"/>
        <w:ind w:left="-142" w:right="51" w:firstLine="30" w:firstLineChars="7"/>
        <w:jc w:val="center"/>
        <w:rPr>
          <w:rFonts w:hint="default" w:ascii="Times New Roman" w:hAnsi="Times New Roman" w:eastAsia="方正小标宋简体" w:cs="Times New Roman"/>
          <w:sz w:val="44"/>
          <w:szCs w:val="44"/>
        </w:rPr>
      </w:pPr>
    </w:p>
    <w:p>
      <w:pPr>
        <w:kinsoku w:val="0"/>
        <w:overflowPunct w:val="0"/>
        <w:adjustRightInd w:val="0"/>
        <w:snapToGrid w:val="0"/>
        <w:spacing w:line="360" w:lineRule="auto"/>
        <w:ind w:left="-142" w:right="51" w:firstLine="30" w:firstLineChars="7"/>
        <w:jc w:val="both"/>
        <w:rPr>
          <w:rFonts w:hint="default" w:ascii="Times New Roman" w:hAnsi="Times New Roman" w:eastAsia="方正小标宋简体" w:cs="Times New Roman"/>
          <w:sz w:val="44"/>
          <w:szCs w:val="44"/>
        </w:rPr>
      </w:pPr>
    </w:p>
    <w:p>
      <w:pPr>
        <w:kinsoku w:val="0"/>
        <w:overflowPunct w:val="0"/>
        <w:adjustRightInd w:val="0"/>
        <w:snapToGrid w:val="0"/>
        <w:spacing w:line="360" w:lineRule="auto"/>
        <w:ind w:left="-142" w:right="51" w:firstLine="30" w:firstLineChars="7"/>
        <w:jc w:val="center"/>
        <w:rPr>
          <w:rFonts w:hint="default" w:ascii="Times New Roman" w:hAnsi="Times New Roman" w:eastAsia="方正小标宋简体" w:cs="Times New Roman"/>
          <w:sz w:val="44"/>
          <w:szCs w:val="44"/>
        </w:rPr>
      </w:pPr>
    </w:p>
    <w:p>
      <w:pPr>
        <w:ind w:firstLine="2640" w:firstLineChars="600"/>
        <w:jc w:val="both"/>
        <w:rPr>
          <w:rFonts w:hint="default" w:ascii="Times New Roman" w:hAnsi="Times New Roman" w:eastAsia="方正小标宋简体" w:cs="Times New Roman"/>
          <w:sz w:val="44"/>
          <w:szCs w:val="44"/>
          <w:highlight w:val="red"/>
          <w:lang w:val="en" w:eastAsia="zh-CN"/>
        </w:rPr>
      </w:pPr>
      <w:r>
        <w:rPr>
          <w:rFonts w:hint="default" w:ascii="Times New Roman" w:hAnsi="Times New Roman" w:eastAsia="方正小标宋简体" w:cs="Times New Roman"/>
          <w:sz w:val="44"/>
          <w:szCs w:val="44"/>
          <w:highlight w:val="none"/>
          <w:lang w:val="en" w:eastAsia="zh-CN"/>
        </w:rPr>
        <w:t>二〇二四年三月</w:t>
      </w: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highlight w:val="red"/>
        </w:rPr>
      </w:pPr>
    </w:p>
    <w:p>
      <w:pPr>
        <w:keepNext w:val="0"/>
        <w:keepLines w:val="0"/>
        <w:pageBreakBefore w:val="0"/>
        <w:widowControl w:val="0"/>
        <w:wordWrap/>
        <w:topLinePunct w:val="0"/>
        <w:bidi w:val="0"/>
        <w:spacing w:line="360" w:lineRule="auto"/>
        <w:textAlignment w:val="auto"/>
        <w:rPr>
          <w:rFonts w:hint="default" w:ascii="Times New Roman" w:hAnsi="Times New Roman" w:eastAsia="仿宋_GB2312" w:cs="Times New Roman"/>
          <w:sz w:val="32"/>
          <w:szCs w:val="32"/>
          <w:highlight w:val="red"/>
        </w:rPr>
      </w:pPr>
    </w:p>
    <w:p>
      <w:pPr>
        <w:kinsoku w:val="0"/>
        <w:overflowPunct w:val="0"/>
        <w:adjustRightInd w:val="0"/>
        <w:snapToGrid w:val="0"/>
        <w:spacing w:line="360" w:lineRule="auto"/>
        <w:ind w:left="-142" w:right="51" w:firstLine="39" w:firstLineChars="7"/>
        <w:jc w:val="center"/>
        <w:rPr>
          <w:rFonts w:hint="default" w:ascii="Times New Roman" w:hAnsi="Times New Roman" w:eastAsia="黑体" w:cs="Times New Roman"/>
          <w:sz w:val="56"/>
          <w:szCs w:val="56"/>
        </w:rPr>
      </w:pPr>
      <w:r>
        <w:rPr>
          <w:rFonts w:hint="default" w:ascii="Times New Roman" w:hAnsi="Times New Roman" w:eastAsia="黑体" w:cs="Times New Roman"/>
          <w:sz w:val="56"/>
          <w:szCs w:val="56"/>
        </w:rPr>
        <w:t>目 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rPr>
        <w:t xml:space="preserve">第一部分 </w:t>
      </w:r>
      <w:r>
        <w:rPr>
          <w:rFonts w:hint="default" w:ascii="Times New Roman" w:hAnsi="Times New Roman" w:eastAsia="黑体" w:cs="Times New Roman"/>
          <w:sz w:val="32"/>
          <w:szCs w:val="32"/>
          <w:lang w:eastAsia="zh-CN"/>
        </w:rPr>
        <w:t>中共</w:t>
      </w:r>
      <w:r>
        <w:rPr>
          <w:rFonts w:hint="default" w:ascii="Times New Roman" w:hAnsi="Times New Roman" w:eastAsia="黑体" w:cs="Times New Roman"/>
          <w:sz w:val="32"/>
          <w:szCs w:val="32"/>
        </w:rPr>
        <w:t>新乡市卫滨区</w:t>
      </w:r>
      <w:r>
        <w:rPr>
          <w:rFonts w:hint="default" w:ascii="Times New Roman" w:hAnsi="Times New Roman" w:eastAsia="黑体" w:cs="Times New Roman"/>
          <w:sz w:val="32"/>
          <w:szCs w:val="32"/>
          <w:lang w:eastAsia="zh-CN"/>
        </w:rPr>
        <w:t>委办公室</w:t>
      </w:r>
      <w:r>
        <w:rPr>
          <w:rFonts w:hint="default" w:ascii="Times New Roman" w:hAnsi="Times New Roman" w:eastAsia="黑体" w:cs="Times New Roman"/>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二、部门所属预算单位构成情况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default" w:ascii="Times New Roman" w:hAnsi="Times New Roman" w:eastAsia="黑体" w:cs="Times New Roman"/>
          <w:w w:val="99"/>
          <w:sz w:val="32"/>
          <w:szCs w:val="32"/>
        </w:rPr>
      </w:pPr>
      <w:r>
        <w:rPr>
          <w:rFonts w:hint="default" w:ascii="Times New Roman" w:hAnsi="Times New Roman" w:eastAsia="黑体" w:cs="Times New Roman"/>
          <w:sz w:val="32"/>
          <w:szCs w:val="32"/>
        </w:rPr>
        <w:t xml:space="preserve">第二部分 </w:t>
      </w:r>
      <w:r>
        <w:rPr>
          <w:rFonts w:hint="default" w:ascii="Times New Roman" w:hAnsi="Times New Roman" w:eastAsia="黑体" w:cs="Times New Roman"/>
          <w:sz w:val="32"/>
          <w:szCs w:val="32"/>
          <w:lang w:eastAsia="zh-CN"/>
        </w:rPr>
        <w:t>中共</w:t>
      </w:r>
      <w:r>
        <w:rPr>
          <w:rFonts w:hint="default" w:ascii="Times New Roman" w:hAnsi="Times New Roman" w:eastAsia="黑体" w:cs="Times New Roman"/>
          <w:sz w:val="32"/>
          <w:szCs w:val="32"/>
        </w:rPr>
        <w:t>新乡市卫滨区</w:t>
      </w:r>
      <w:r>
        <w:rPr>
          <w:rFonts w:hint="default" w:ascii="Times New Roman" w:hAnsi="Times New Roman" w:eastAsia="黑体" w:cs="Times New Roman"/>
          <w:sz w:val="32"/>
          <w:szCs w:val="32"/>
          <w:lang w:eastAsia="zh-CN"/>
        </w:rPr>
        <w:t>委办公室</w:t>
      </w:r>
      <w:r>
        <w:rPr>
          <w:rFonts w:hint="default" w:ascii="Times New Roman" w:hAnsi="Times New Roman" w:eastAsia="黑体" w:cs="Times New Roman"/>
          <w:spacing w:val="-119"/>
          <w:sz w:val="32"/>
          <w:szCs w:val="32"/>
        </w:rPr>
        <w:t xml:space="preserve"> </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年度部门预算情况说明</w:t>
      </w:r>
      <w:r>
        <w:rPr>
          <w:rFonts w:hint="default" w:ascii="Times New Roman" w:hAnsi="Times New Roman" w:eastAsia="黑体" w:cs="Times New Roman"/>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default" w:ascii="Times New Roman" w:hAnsi="Times New Roman" w:eastAsia="黑体" w:cs="Times New Roman"/>
          <w:w w:val="99"/>
          <w:sz w:val="32"/>
          <w:szCs w:val="32"/>
        </w:rPr>
      </w:pPr>
      <w:r>
        <w:rPr>
          <w:rFonts w:hint="default" w:ascii="Times New Roman" w:hAnsi="Times New Roman" w:eastAsia="仿宋_GB2312" w:cs="Times New Roman"/>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w w:val="99"/>
          <w:sz w:val="32"/>
          <w:szCs w:val="32"/>
        </w:rPr>
      </w:pPr>
      <w:r>
        <w:rPr>
          <w:rFonts w:hint="default" w:ascii="Times New Roman" w:hAnsi="Times New Roman" w:eastAsia="仿宋_GB2312" w:cs="Times New Roman"/>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第三部分 </w:t>
      </w:r>
      <w:r>
        <w:rPr>
          <w:rFonts w:hint="default" w:ascii="Times New Roman" w:hAnsi="Times New Roman" w:eastAsia="黑体" w:cs="Times New Roman"/>
          <w:spacing w:val="-32"/>
          <w:sz w:val="32"/>
          <w:szCs w:val="32"/>
        </w:rPr>
        <w:t xml:space="preserve"> </w:t>
      </w:r>
      <w:r>
        <w:rPr>
          <w:rFonts w:hint="default" w:ascii="Times New Roman" w:hAnsi="Times New Roman" w:eastAsia="黑体" w:cs="Times New Roman"/>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eastAsia="zh-CN"/>
        </w:rPr>
        <w:t>中共</w:t>
      </w:r>
      <w:r>
        <w:rPr>
          <w:rFonts w:hint="default" w:ascii="Times New Roman" w:hAnsi="Times New Roman" w:eastAsia="黑体" w:cs="Times New Roman"/>
          <w:sz w:val="32"/>
          <w:szCs w:val="32"/>
        </w:rPr>
        <w:t>新乡市卫滨区</w:t>
      </w:r>
      <w:r>
        <w:rPr>
          <w:rFonts w:hint="default" w:ascii="Times New Roman" w:hAnsi="Times New Roman" w:eastAsia="黑体" w:cs="Times New Roman"/>
          <w:sz w:val="32"/>
          <w:szCs w:val="32"/>
          <w:lang w:eastAsia="zh-CN"/>
        </w:rPr>
        <w:t>委办公室</w:t>
      </w: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十一、部门整体绩效目标表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方正小标宋简体" w:cs="Times New Roman"/>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r>
        <w:rPr>
          <w:rFonts w:hint="default" w:ascii="Times New Roman" w:hAnsi="Times New Roman" w:eastAsia="方正小标宋简体" w:cs="Times New Roman"/>
          <w:sz w:val="36"/>
          <w:szCs w:val="36"/>
          <w:lang w:eastAsia="zh-CN"/>
        </w:rPr>
        <w:t>中共</w:t>
      </w:r>
      <w:r>
        <w:rPr>
          <w:rFonts w:hint="default" w:ascii="Times New Roman" w:hAnsi="Times New Roman" w:eastAsia="方正小标宋简体" w:cs="Times New Roman"/>
          <w:sz w:val="36"/>
          <w:szCs w:val="36"/>
        </w:rPr>
        <w:t>新乡市卫滨区</w:t>
      </w:r>
      <w:r>
        <w:rPr>
          <w:rFonts w:hint="default" w:ascii="Times New Roman" w:hAnsi="Times New Roman" w:eastAsia="方正小标宋简体" w:cs="Times New Roman"/>
          <w:sz w:val="36"/>
          <w:szCs w:val="36"/>
          <w:lang w:eastAsia="zh-CN"/>
        </w:rPr>
        <w:t>委办公室</w:t>
      </w:r>
      <w:r>
        <w:rPr>
          <w:rFonts w:hint="default" w:ascii="Times New Roman" w:hAnsi="Times New Roman" w:eastAsia="方正小标宋简体" w:cs="Times New Roman"/>
          <w:sz w:val="36"/>
          <w:szCs w:val="36"/>
        </w:rPr>
        <w:t>概况</w:t>
      </w:r>
    </w:p>
    <w:p>
      <w:pPr>
        <w:keepNext w:val="0"/>
        <w:keepLines w:val="0"/>
        <w:pageBreakBefore w:val="0"/>
        <w:widowControl w:val="0"/>
        <w:numPr>
          <w:ilvl w:val="0"/>
          <w:numId w:val="2"/>
        </w:numPr>
        <w:kinsoku/>
        <w:wordWrap/>
        <w:overflowPunct/>
        <w:topLinePunct w:val="0"/>
        <w:autoSpaceDE/>
        <w:autoSpaceDN/>
        <w:bidi w:val="0"/>
        <w:adjustRightInd w:val="0"/>
        <w:snapToGrid w:val="0"/>
        <w:spacing w:line="57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中共</w:t>
      </w:r>
      <w:r>
        <w:rPr>
          <w:rFonts w:hint="default" w:ascii="Times New Roman" w:hAnsi="Times New Roman" w:eastAsia="黑体" w:cs="Times New Roman"/>
          <w:sz w:val="32"/>
          <w:szCs w:val="32"/>
        </w:rPr>
        <w:t>新乡市卫滨区</w:t>
      </w:r>
      <w:r>
        <w:rPr>
          <w:rFonts w:hint="default" w:ascii="Times New Roman" w:hAnsi="Times New Roman" w:eastAsia="黑体" w:cs="Times New Roman"/>
          <w:sz w:val="32"/>
          <w:szCs w:val="32"/>
          <w:lang w:eastAsia="zh-CN"/>
        </w:rPr>
        <w:t>委办公室</w:t>
      </w:r>
      <w:r>
        <w:rPr>
          <w:rFonts w:hint="default" w:ascii="Times New Roman" w:hAnsi="Times New Roman" w:eastAsia="黑体" w:cs="Times New Roman"/>
          <w:sz w:val="32"/>
          <w:szCs w:val="32"/>
        </w:rPr>
        <w:t>主要职责</w:t>
      </w:r>
    </w:p>
    <w:p>
      <w:pPr>
        <w:pStyle w:val="7"/>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楷体_GB2312" w:cs="Times New Roman"/>
          <w:sz w:val="32"/>
          <w:szCs w:val="32"/>
        </w:rPr>
        <w:t>负责推动党的理论和路线方针政策贯彻执行，</w:t>
      </w:r>
      <w:r>
        <w:rPr>
          <w:rFonts w:hint="default" w:ascii="Times New Roman" w:hAnsi="Times New Roman" w:eastAsia="仿宋_GB2312" w:cs="Times New Roman"/>
          <w:sz w:val="32"/>
          <w:szCs w:val="32"/>
        </w:rPr>
        <w:t>负责党中央、省委、市委决策部署、指示批示精神贯彻落实。</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楷体_GB2312" w:cs="Times New Roman"/>
          <w:sz w:val="32"/>
          <w:szCs w:val="32"/>
        </w:rPr>
        <w:t>负责中央、省委、市委有关领导同志，</w:t>
      </w:r>
      <w:r>
        <w:rPr>
          <w:rFonts w:hint="default" w:ascii="Times New Roman" w:hAnsi="Times New Roman" w:eastAsia="仿宋_GB2312" w:cs="Times New Roman"/>
          <w:sz w:val="32"/>
          <w:szCs w:val="32"/>
        </w:rPr>
        <w:t>市委有关部门、外地市、外县区党委领导同志和重要外宾来卫滨区公务活动的组织协调。</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（三）负责推动区委决策部署落实，</w:t>
      </w:r>
      <w:r>
        <w:rPr>
          <w:rFonts w:hint="default" w:ascii="Times New Roman" w:hAnsi="Times New Roman" w:eastAsia="仿宋_GB2312" w:cs="Times New Roman"/>
          <w:sz w:val="32"/>
          <w:szCs w:val="32"/>
        </w:rPr>
        <w:t>按照区委要求协调有关方面开展工作，承担区委运行保障具体事务。</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 xml:space="preserve">    （四）负责区委各类会议的会务工作和区委领导同志参加重大活动的组织安排，</w:t>
      </w:r>
      <w:r>
        <w:rPr>
          <w:rFonts w:hint="default" w:ascii="Times New Roman" w:hAnsi="Times New Roman" w:eastAsia="仿宋_GB2312" w:cs="Times New Roman"/>
          <w:sz w:val="32"/>
          <w:szCs w:val="32"/>
        </w:rPr>
        <w:t>负责区委文件、领导讲话等文稿的起草、修改和审核等工作。</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 xml:space="preserve">    （五）负责上级文件办理和区委文件印发管理工作，</w:t>
      </w:r>
      <w:r>
        <w:rPr>
          <w:rFonts w:hint="default" w:ascii="Times New Roman" w:hAnsi="Times New Roman" w:eastAsia="仿宋_GB2312" w:cs="Times New Roman"/>
          <w:sz w:val="32"/>
          <w:szCs w:val="32"/>
        </w:rPr>
        <w:t>负责区委和区委办公室日常文书处理。</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highlight w:val="yellow"/>
        </w:rPr>
      </w:pPr>
      <w:r>
        <w:rPr>
          <w:rFonts w:hint="default" w:ascii="Times New Roman" w:hAnsi="Times New Roman" w:eastAsia="楷体_GB2312" w:cs="Times New Roman"/>
          <w:sz w:val="32"/>
          <w:szCs w:val="32"/>
        </w:rPr>
        <w:t xml:space="preserve">    （六）负责区委党内规范性文件审核、备案等工作，</w:t>
      </w:r>
      <w:r>
        <w:rPr>
          <w:rFonts w:hint="default" w:ascii="Times New Roman" w:hAnsi="Times New Roman" w:eastAsia="仿宋_GB2312" w:cs="Times New Roman"/>
          <w:sz w:val="32"/>
          <w:szCs w:val="32"/>
        </w:rPr>
        <w:t>编制实施区委党内规范性文件制定的规划、计划，承担法律顾问办公室相关职责。</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highlight w:val="yellow"/>
        </w:rPr>
      </w:pPr>
      <w:r>
        <w:rPr>
          <w:rFonts w:hint="default" w:ascii="Times New Roman" w:hAnsi="Times New Roman" w:eastAsia="楷体_GB2312" w:cs="Times New Roman"/>
          <w:sz w:val="32"/>
          <w:szCs w:val="32"/>
        </w:rPr>
        <w:t xml:space="preserve">    （七）负责中央、省委、市委及区委重大工作部署贯彻落实情况的督促检查；</w:t>
      </w:r>
      <w:r>
        <w:rPr>
          <w:rFonts w:hint="default" w:ascii="Times New Roman" w:hAnsi="Times New Roman" w:eastAsia="仿宋_GB2312" w:cs="Times New Roman"/>
          <w:sz w:val="32"/>
          <w:szCs w:val="32"/>
        </w:rPr>
        <w:t>负责中央、省委、市委和区委领导同志有关批示的传达、催办、督查工作，统筹协调全区督查检查考核工作。</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 xml:space="preserve">    （八）围绕中央、省委、市委决策部署和区委中心工作收集信息、</w:t>
      </w:r>
      <w:r>
        <w:rPr>
          <w:rFonts w:hint="default" w:ascii="Times New Roman" w:hAnsi="Times New Roman" w:eastAsia="仿宋_GB2312" w:cs="Times New Roman"/>
          <w:sz w:val="32"/>
          <w:szCs w:val="32"/>
        </w:rPr>
        <w:t>反映动态、综合调研、会商研判，提供信息服务。负责区委、区委办公室机关的值班和领导同志外出报备工作。</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 xml:space="preserve">    （九）负责区委机关的行政管理及安全保卫工作；</w:t>
      </w:r>
      <w:r>
        <w:rPr>
          <w:rFonts w:hint="default" w:ascii="Times New Roman" w:hAnsi="Times New Roman" w:eastAsia="仿宋_GB2312" w:cs="Times New Roman"/>
          <w:sz w:val="32"/>
          <w:szCs w:val="32"/>
        </w:rPr>
        <w:t>负责区委、区委办公室机关的保密工作。</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 xml:space="preserve">    （十）负责处理区委全面深化改革委员会日常事务工作；</w:t>
      </w:r>
      <w:r>
        <w:rPr>
          <w:rFonts w:hint="default" w:ascii="Times New Roman" w:hAnsi="Times New Roman" w:eastAsia="仿宋_GB2312" w:cs="Times New Roman"/>
          <w:sz w:val="32"/>
          <w:szCs w:val="32"/>
        </w:rPr>
        <w:t>组织开展全区全面深化改革重大问题的政策研究；统筹协调有关方面提出改革工作方案和措施；收集汇总改革问题的信息资料、重要改革事项请示报告，提出意见建议；协调督促有关方面落实区委全面深化改革委员会决定事项、工作部署和要求。</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 xml:space="preserve">    （十一）负责推动区委国家安全委员会工作部署贯彻落实，</w:t>
      </w:r>
      <w:r>
        <w:rPr>
          <w:rFonts w:hint="default" w:ascii="Times New Roman" w:hAnsi="Times New Roman" w:eastAsia="仿宋_GB2312" w:cs="Times New Roman"/>
          <w:sz w:val="32"/>
          <w:szCs w:val="32"/>
        </w:rPr>
        <w:t>收集汇总上报国家安全情报信息，组织开展风险监测、预警、防范和危机管控，承担国家安全审查和监管相关工作。</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 xml:space="preserve">    （十二）负责贯彻执行档案行政管理的法律法规、方针政策，</w:t>
      </w:r>
      <w:r>
        <w:rPr>
          <w:rFonts w:hint="default" w:ascii="Times New Roman" w:hAnsi="Times New Roman" w:eastAsia="仿宋_GB2312" w:cs="Times New Roman"/>
          <w:sz w:val="32"/>
          <w:szCs w:val="32"/>
        </w:rPr>
        <w:t>依法履行档案监督指导、行政管理职能，承担区委、区委办公室档案管理工作。负责管理指导区档案馆业务工作。</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highlight w:val="yellow"/>
        </w:rPr>
      </w:pPr>
      <w:r>
        <w:rPr>
          <w:rFonts w:hint="default" w:ascii="Times New Roman" w:hAnsi="Times New Roman" w:eastAsia="楷体_GB2312" w:cs="Times New Roman"/>
          <w:sz w:val="32"/>
          <w:szCs w:val="32"/>
        </w:rPr>
        <w:t xml:space="preserve">    （十三）负责统一管理区委机要保密局</w:t>
      </w:r>
      <w:r>
        <w:rPr>
          <w:rFonts w:hint="default" w:ascii="Times New Roman" w:hAnsi="Times New Roman" w:eastAsia="仿宋_GB2312" w:cs="Times New Roman"/>
          <w:sz w:val="32"/>
          <w:szCs w:val="32"/>
        </w:rPr>
        <w:t>（区国家保密局、区密码管理局）。</w:t>
      </w:r>
    </w:p>
    <w:p>
      <w:pPr>
        <w:keepNext w:val="0"/>
        <w:keepLines w:val="0"/>
        <w:pageBreakBefore w:val="0"/>
        <w:widowControl w:val="0"/>
        <w:kinsoku/>
        <w:wordWrap/>
        <w:overflowPunct/>
        <w:topLinePunct w:val="0"/>
        <w:autoSpaceDE/>
        <w:autoSpaceDN/>
        <w:bidi w:val="0"/>
        <w:adjustRightInd w:val="0"/>
        <w:snapToGrid w:val="0"/>
        <w:spacing w:line="570" w:lineRule="exac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 xml:space="preserve">    （十四）完成区委交办的其他任务。</w:t>
      </w:r>
    </w:p>
    <w:p>
      <w:pPr>
        <w:pStyle w:val="7"/>
        <w:keepNext w:val="0"/>
        <w:keepLines w:val="0"/>
        <w:pageBreakBefore w:val="0"/>
        <w:widowControl w:val="0"/>
        <w:kinsoku/>
        <w:wordWrap/>
        <w:overflowPunct/>
        <w:topLinePunct w:val="0"/>
        <w:autoSpaceDE/>
        <w:autoSpaceDN/>
        <w:bidi w:val="0"/>
        <w:spacing w:line="570" w:lineRule="exact"/>
        <w:ind w:firstLine="640" w:firstLineChars="200"/>
        <w:jc w:val="both"/>
        <w:textAlignment w:val="auto"/>
        <w:rPr>
          <w:rFonts w:hint="default" w:ascii="Times New Roman" w:hAnsi="Times New Roman" w:eastAsia="黑体" w:cs="Times New Roman"/>
          <w:sz w:val="32"/>
          <w:szCs w:val="32"/>
          <w:highlight w:val="red"/>
          <w:lang w:eastAsia="zh-CN"/>
        </w:rPr>
      </w:pP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sz w:val="32"/>
          <w:szCs w:val="32"/>
          <w:highlight w:val="none"/>
          <w:lang w:eastAsia="zh-CN"/>
        </w:rPr>
        <w:t>二、中共</w:t>
      </w:r>
      <w:r>
        <w:rPr>
          <w:rFonts w:hint="default" w:ascii="Times New Roman" w:hAnsi="Times New Roman" w:eastAsia="黑体" w:cs="Times New Roman"/>
          <w:sz w:val="32"/>
          <w:szCs w:val="32"/>
        </w:rPr>
        <w:t>新乡市</w:t>
      </w:r>
      <w:r>
        <w:rPr>
          <w:rFonts w:hint="default" w:ascii="Times New Roman" w:hAnsi="Times New Roman" w:eastAsia="黑体" w:cs="Times New Roman"/>
          <w:sz w:val="32"/>
          <w:szCs w:val="32"/>
          <w:highlight w:val="none"/>
        </w:rPr>
        <w:t>卫滨区</w:t>
      </w:r>
      <w:r>
        <w:rPr>
          <w:rFonts w:hint="default" w:ascii="Times New Roman" w:hAnsi="Times New Roman" w:eastAsia="黑体" w:cs="Times New Roman"/>
          <w:sz w:val="32"/>
          <w:szCs w:val="32"/>
          <w:highlight w:val="none"/>
          <w:lang w:eastAsia="zh-CN"/>
        </w:rPr>
        <w:t>委办公室</w:t>
      </w:r>
      <w:r>
        <w:rPr>
          <w:rFonts w:hint="eastAsia" w:ascii="Times New Roman" w:hAnsi="Times New Roman" w:eastAsia="黑体" w:cs="Times New Roman"/>
          <w:sz w:val="32"/>
          <w:szCs w:val="32"/>
          <w:highlight w:val="none"/>
          <w:lang w:eastAsia="zh-CN"/>
        </w:rPr>
        <w:t>部门</w:t>
      </w:r>
      <w:r>
        <w:rPr>
          <w:rFonts w:hint="default" w:ascii="Times New Roman" w:hAnsi="Times New Roman" w:eastAsia="黑体" w:cs="Times New Roman"/>
          <w:sz w:val="32"/>
          <w:szCs w:val="32"/>
          <w:highlight w:val="none"/>
        </w:rPr>
        <w:t>构成</w:t>
      </w:r>
    </w:p>
    <w:p>
      <w:pPr>
        <w:keepNext w:val="0"/>
        <w:keepLines w:val="0"/>
        <w:pageBreakBefore w:val="0"/>
        <w:widowControl w:val="0"/>
        <w:kinsoku/>
        <w:wordWrap/>
        <w:overflowPunct/>
        <w:topLinePunct w:val="0"/>
        <w:autoSpaceDE/>
        <w:autoSpaceDN/>
        <w:bidi w:val="0"/>
        <w:spacing w:line="57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w:t>
      </w:r>
      <w:r>
        <w:rPr>
          <w:rFonts w:hint="default" w:ascii="Times New Roman" w:hAnsi="Times New Roman" w:eastAsia="仿宋_GB2312" w:cs="Times New Roman"/>
          <w:sz w:val="32"/>
          <w:szCs w:val="32"/>
          <w:lang w:eastAsia="zh-CN"/>
        </w:rPr>
        <w:t>包括本级预算。</w:t>
      </w:r>
    </w:p>
    <w:p>
      <w:pPr>
        <w:keepNext w:val="0"/>
        <w:keepLines w:val="0"/>
        <w:pageBreakBefore w:val="0"/>
        <w:widowControl w:val="0"/>
        <w:numPr>
          <w:ilvl w:val="0"/>
          <w:numId w:val="0"/>
        </w:numPr>
        <w:kinsoku/>
        <w:wordWrap/>
        <w:overflowPunct/>
        <w:topLinePunct w:val="0"/>
        <w:autoSpaceDE/>
        <w:autoSpaceDN/>
        <w:bidi w:val="0"/>
        <w:spacing w:line="570" w:lineRule="exact"/>
        <w:ind w:firstLine="62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5"/>
          <w:sz w:val="32"/>
        </w:rPr>
        <w:t>中共新乡市卫滨区委办公室</w:t>
      </w:r>
      <w:r>
        <w:rPr>
          <w:rFonts w:hint="default" w:ascii="Times New Roman" w:hAnsi="Times New Roman" w:eastAsia="仿宋_GB2312" w:cs="Times New Roman"/>
          <w:sz w:val="32"/>
          <w:szCs w:val="32"/>
          <w:lang w:eastAsia="zh-CN"/>
        </w:rPr>
        <w:t>设下列内设机构：</w:t>
      </w:r>
      <w:r>
        <w:rPr>
          <w:rFonts w:hint="default" w:ascii="Times New Roman" w:hAnsi="Times New Roman" w:eastAsia="仿宋_GB2312" w:cs="Times New Roman"/>
          <w:sz w:val="32"/>
          <w:szCs w:val="32"/>
          <w:lang w:val="en-US" w:eastAsia="zh-CN"/>
        </w:rPr>
        <w:t>常委办公室、督促检查室、信息室、区委法规室、政策研究室、行政室。</w:t>
      </w:r>
    </w:p>
    <w:p>
      <w:pPr>
        <w:keepNext w:val="0"/>
        <w:keepLines w:val="0"/>
        <w:pageBreakBefore w:val="0"/>
        <w:widowControl w:val="0"/>
        <w:kinsoku/>
        <w:wordWrap/>
        <w:overflowPunct/>
        <w:topLinePunct w:val="0"/>
        <w:autoSpaceDE/>
        <w:autoSpaceDN/>
        <w:bidi w:val="0"/>
        <w:spacing w:line="570" w:lineRule="exact"/>
        <w:ind w:firstLine="640" w:firstLineChars="200"/>
        <w:jc w:val="left"/>
        <w:textAlignment w:val="auto"/>
        <w:rPr>
          <w:rFonts w:hint="default" w:ascii="Times New Roman" w:hAnsi="Times New Roman" w:eastAsia="仿宋_GB2312" w:cs="Times New Roman"/>
          <w:sz w:val="32"/>
          <w:szCs w:val="32"/>
          <w:lang w:eastAsia="zh-CN"/>
        </w:rPr>
      </w:pPr>
      <w:bookmarkStart w:id="0" w:name="_GoBack"/>
      <w:bookmarkEnd w:id="0"/>
      <w:r>
        <w:rPr>
          <w:rFonts w:hint="default" w:ascii="Times New Roman" w:hAnsi="Times New Roman" w:eastAsia="仿宋_GB2312" w:cs="Times New Roman"/>
          <w:sz w:val="32"/>
          <w:szCs w:val="32"/>
        </w:rPr>
        <w:t>纳入</w:t>
      </w:r>
      <w:r>
        <w:rPr>
          <w:rFonts w:hint="default" w:ascii="Times New Roman" w:hAnsi="Times New Roman" w:eastAsia="仿宋_GB2312" w:cs="Times New Roman"/>
          <w:sz w:val="32"/>
          <w:szCs w:val="32"/>
          <w:lang w:eastAsia="zh-CN"/>
        </w:rPr>
        <w:t>本部门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年度部门预算编制范围的单位</w:t>
      </w:r>
      <w:r>
        <w:rPr>
          <w:rFonts w:hint="default" w:ascii="Times New Roman" w:hAnsi="Times New Roman" w:eastAsia="仿宋_GB2312" w:cs="Times New Roman"/>
          <w:sz w:val="32"/>
          <w:szCs w:val="32"/>
          <w:lang w:eastAsia="zh-CN"/>
        </w:rPr>
        <w:t>共</w:t>
      </w:r>
      <w:r>
        <w:rPr>
          <w:rFonts w:hint="default" w:ascii="Times New Roman" w:hAnsi="Times New Roman" w:eastAsia="仿宋_GB2312" w:cs="Times New Roman"/>
          <w:sz w:val="32"/>
          <w:szCs w:val="32"/>
          <w:lang w:val="en-US" w:eastAsia="zh-CN"/>
        </w:rPr>
        <w:t>一个</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中共新乡市卫滨区委办公室本级，无二级预算单位。</w:t>
      </w:r>
    </w:p>
    <w:p>
      <w:pPr>
        <w:keepNext w:val="0"/>
        <w:keepLines w:val="0"/>
        <w:pageBreakBefore w:val="0"/>
        <w:widowControl w:val="0"/>
        <w:numPr>
          <w:ilvl w:val="0"/>
          <w:numId w:val="0"/>
        </w:numPr>
        <w:wordWrap/>
        <w:topLinePunct w:val="0"/>
        <w:bidi w:val="0"/>
        <w:spacing w:line="360" w:lineRule="auto"/>
        <w:ind w:leftChars="200"/>
        <w:jc w:val="left"/>
        <w:textAlignment w:val="auto"/>
        <w:rPr>
          <w:rFonts w:hint="default" w:ascii="Times New Roman" w:hAnsi="Times New Roman" w:eastAsia="黑体" w:cs="Times New Roman"/>
          <w:sz w:val="32"/>
          <w:szCs w:val="32"/>
          <w:highlight w:val="red"/>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pacing w:val="-38"/>
          <w:sz w:val="36"/>
          <w:szCs w:val="36"/>
        </w:rPr>
      </w:pPr>
      <w:r>
        <w:rPr>
          <w:rFonts w:hint="default" w:ascii="Times New Roman" w:hAnsi="Times New Roman" w:eastAsia="方正小标宋简体" w:cs="Times New Roman"/>
          <w:sz w:val="36"/>
          <w:szCs w:val="36"/>
        </w:rPr>
        <w:t>第二部分</w:t>
      </w: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lang w:val="en-US" w:eastAsia="zh-CN"/>
        </w:rPr>
        <w:t>中共新乡市</w:t>
      </w:r>
      <w:r>
        <w:rPr>
          <w:rFonts w:hint="default" w:ascii="Times New Roman" w:hAnsi="Times New Roman" w:eastAsia="方正小标宋简体" w:cs="Times New Roman"/>
          <w:sz w:val="36"/>
          <w:szCs w:val="36"/>
        </w:rPr>
        <w:t>卫滨区</w:t>
      </w:r>
      <w:r>
        <w:rPr>
          <w:rFonts w:hint="default" w:ascii="Times New Roman" w:hAnsi="Times New Roman" w:eastAsia="方正小标宋简体" w:cs="Times New Roman"/>
          <w:sz w:val="36"/>
          <w:szCs w:val="36"/>
          <w:lang w:eastAsia="zh-CN"/>
        </w:rPr>
        <w:t>委办公室</w:t>
      </w:r>
      <w:r>
        <w:rPr>
          <w:rFonts w:hint="default" w:ascii="Times New Roman" w:hAnsi="Times New Roman" w:eastAsia="方正小标宋简体" w:cs="Times New Roman"/>
          <w:spacing w:val="-119"/>
          <w:sz w:val="36"/>
          <w:szCs w:val="36"/>
        </w:rPr>
        <w:t xml:space="preserve"> </w:t>
      </w:r>
      <w:r>
        <w:rPr>
          <w:rFonts w:hint="default" w:ascii="Times New Roman" w:hAnsi="Times New Roman" w:eastAsia="方正小标宋简体" w:cs="Times New Roman"/>
          <w:sz w:val="36"/>
          <w:szCs w:val="36"/>
        </w:rPr>
        <w:t>202</w:t>
      </w:r>
      <w:r>
        <w:rPr>
          <w:rFonts w:hint="default" w:ascii="Times New Roman" w:hAnsi="Times New Roman" w:eastAsia="方正小标宋简体" w:cs="Times New Roman"/>
          <w:sz w:val="36"/>
          <w:szCs w:val="36"/>
          <w:lang w:val="en-US" w:eastAsia="zh-CN"/>
        </w:rPr>
        <w:t>4</w:t>
      </w:r>
      <w:r>
        <w:rPr>
          <w:rFonts w:hint="default" w:ascii="Times New Roman" w:hAnsi="Times New Roman" w:eastAsia="方正小标宋简体" w:cs="Times New Roman"/>
          <w:sz w:val="36"/>
          <w:szCs w:val="36"/>
        </w:rPr>
        <w:t>年度部门预算</w:t>
      </w: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情况说明</w:t>
      </w:r>
    </w:p>
    <w:p>
      <w:pPr>
        <w:keepNext w:val="0"/>
        <w:keepLines w:val="0"/>
        <w:pageBreakBefore w:val="0"/>
        <w:widowControl w:val="0"/>
        <w:wordWrap/>
        <w:topLinePunct w:val="0"/>
        <w:bidi w:val="0"/>
        <w:adjustRightInd w:val="0"/>
        <w:snapToGrid w:val="0"/>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一、收入支出预算总体情况说明</w:t>
      </w:r>
    </w:p>
    <w:p>
      <w:pPr>
        <w:keepNext w:val="0"/>
        <w:keepLines w:val="0"/>
        <w:pageBreakBefore w:val="0"/>
        <w:widowControl w:val="0"/>
        <w:wordWrap/>
        <w:topLinePunct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年收入总计</w:t>
      </w:r>
      <w:r>
        <w:rPr>
          <w:rFonts w:hint="default" w:ascii="Times New Roman" w:hAnsi="Times New Roman" w:eastAsia="仿宋_GB2312" w:cs="Times New Roman"/>
          <w:sz w:val="32"/>
          <w:szCs w:val="32"/>
          <w:lang w:val="en-US" w:eastAsia="zh-CN"/>
        </w:rPr>
        <w:t>476.75</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476.75</w:t>
      </w:r>
      <w:r>
        <w:rPr>
          <w:rFonts w:hint="default" w:ascii="Times New Roman" w:hAnsi="Times New Roman" w:eastAsia="仿宋_GB2312" w:cs="Times New Roman"/>
          <w:sz w:val="32"/>
          <w:szCs w:val="32"/>
        </w:rPr>
        <w:t>万元，与20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预算</w:t>
      </w:r>
      <w:r>
        <w:rPr>
          <w:rFonts w:hint="default" w:ascii="Times New Roman" w:hAnsi="Times New Roman" w:eastAsia="仿宋_GB2312" w:cs="Times New Roman"/>
          <w:sz w:val="32"/>
          <w:szCs w:val="32"/>
        </w:rPr>
        <w:t>相比，收</w:t>
      </w:r>
      <w:r>
        <w:rPr>
          <w:rFonts w:hint="default" w:ascii="Times New Roman" w:hAnsi="Times New Roman" w:eastAsia="仿宋_GB2312" w:cs="Times New Roman"/>
          <w:sz w:val="32"/>
          <w:szCs w:val="32"/>
          <w:lang w:eastAsia="zh-CN"/>
        </w:rPr>
        <w:t>入</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48.98</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11.45</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人员变动</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48.98</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11.45</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人员变动</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二、收入预算总体情况说明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年收入预算合计</w:t>
      </w:r>
      <w:r>
        <w:rPr>
          <w:rFonts w:hint="default" w:ascii="Times New Roman" w:hAnsi="Times New Roman" w:eastAsia="仿宋_GB2312" w:cs="Times New Roman"/>
          <w:sz w:val="32"/>
          <w:szCs w:val="32"/>
          <w:lang w:val="en-US" w:eastAsia="zh-CN"/>
        </w:rPr>
        <w:t>476.75</w:t>
      </w:r>
      <w:r>
        <w:rPr>
          <w:rFonts w:hint="default" w:ascii="Times New Roman" w:hAnsi="Times New Roman" w:eastAsia="仿宋_GB2312" w:cs="Times New Roman"/>
          <w:sz w:val="32"/>
          <w:szCs w:val="32"/>
        </w:rPr>
        <w:t>万元，收入预算总计增加</w:t>
      </w:r>
      <w:r>
        <w:rPr>
          <w:rFonts w:hint="default" w:ascii="Times New Roman" w:hAnsi="Times New Roman" w:eastAsia="仿宋_GB2312" w:cs="Times New Roman"/>
          <w:sz w:val="32"/>
          <w:szCs w:val="32"/>
          <w:lang w:val="en-US" w:eastAsia="zh-CN"/>
        </w:rPr>
        <w:t>48.98</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color w:val="000000"/>
          <w:sz w:val="32"/>
          <w:szCs w:val="32"/>
          <w:lang w:val="en-US" w:eastAsia="zh-CN"/>
        </w:rPr>
        <w:t>11.45</w:t>
      </w:r>
      <w:r>
        <w:rPr>
          <w:rFonts w:hint="default" w:ascii="Times New Roman" w:hAnsi="Times New Roman" w:eastAsia="仿宋_GB2312" w:cs="Times New Roman"/>
          <w:sz w:val="32"/>
          <w:szCs w:val="32"/>
        </w:rPr>
        <w:t>%，原因为</w:t>
      </w:r>
      <w:r>
        <w:rPr>
          <w:rFonts w:hint="default" w:ascii="Times New Roman" w:hAnsi="Times New Roman" w:eastAsia="仿宋_GB2312" w:cs="Times New Roman"/>
          <w:sz w:val="32"/>
          <w:szCs w:val="32"/>
          <w:lang w:eastAsia="zh-CN"/>
        </w:rPr>
        <w:t>一般公共预算财政拨款增加</w:t>
      </w:r>
      <w:r>
        <w:rPr>
          <w:rFonts w:hint="default" w:ascii="Times New Roman" w:hAnsi="Times New Roman" w:eastAsia="仿宋_GB2312" w:cs="Times New Roman"/>
          <w:sz w:val="32"/>
          <w:szCs w:val="32"/>
        </w:rPr>
        <w:t>。其中：一般公共预算</w:t>
      </w:r>
      <w:r>
        <w:rPr>
          <w:rFonts w:hint="default" w:ascii="Times New Roman" w:hAnsi="Times New Roman" w:eastAsia="仿宋_GB2312" w:cs="Times New Roman"/>
          <w:sz w:val="32"/>
          <w:szCs w:val="32"/>
          <w:lang w:val="en-US" w:eastAsia="zh-CN"/>
        </w:rPr>
        <w:t>476.75</w:t>
      </w:r>
      <w:r>
        <w:rPr>
          <w:rFonts w:hint="default" w:ascii="Times New Roman" w:hAnsi="Times New Roman" w:eastAsia="仿宋_GB2312" w:cs="Times New Roman"/>
          <w:sz w:val="32"/>
          <w:szCs w:val="32"/>
        </w:rPr>
        <w:t>万元; 政府性基金收入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highlight w:val="none"/>
          <w:lang w:eastAsia="zh-CN"/>
        </w:rPr>
        <w:t>（其中专户管理的教育收费</w:t>
      </w:r>
      <w:r>
        <w:rPr>
          <w:rFonts w:hint="default" w:ascii="Times New Roman" w:hAnsi="Times New Roman" w:eastAsia="仿宋_GB2312" w:cs="Times New Roman"/>
          <w:sz w:val="32"/>
          <w:szCs w:val="32"/>
          <w:highlight w:val="none"/>
          <w:lang w:val="en-US" w:eastAsia="zh-CN"/>
        </w:rPr>
        <w:t>0万元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事业</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；事业单位经营</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；上级补助</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；附属单位上缴</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；上年结转结余中一般公共预算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政府性基金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；上年结转结余中单位资金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三、支出预算总体情况说明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年支出预算合计</w:t>
      </w:r>
      <w:r>
        <w:rPr>
          <w:rFonts w:hint="default" w:ascii="Times New Roman" w:hAnsi="Times New Roman" w:eastAsia="仿宋_GB2312" w:cs="Times New Roman"/>
          <w:sz w:val="32"/>
          <w:szCs w:val="32"/>
          <w:lang w:val="en-US" w:eastAsia="zh-CN"/>
        </w:rPr>
        <w:t>476.75</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446.75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93.71</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6.29</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四、财政拨款收入支出预算总体情况说明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中共新乡市卫滨区委办公室202</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年一般公共财政预算拨款收支预算</w:t>
      </w:r>
      <w:r>
        <w:rPr>
          <w:rFonts w:hint="default" w:ascii="Times New Roman" w:hAnsi="Times New Roman" w:eastAsia="仿宋_GB2312" w:cs="Times New Roman"/>
          <w:b w:val="0"/>
          <w:bCs w:val="0"/>
          <w:sz w:val="32"/>
          <w:szCs w:val="32"/>
          <w:lang w:val="en-US" w:eastAsia="zh-CN"/>
        </w:rPr>
        <w:t>476.75</w:t>
      </w:r>
      <w:r>
        <w:rPr>
          <w:rFonts w:hint="default" w:ascii="Times New Roman" w:hAnsi="Times New Roman" w:eastAsia="仿宋_GB2312" w:cs="Times New Roman"/>
          <w:b w:val="0"/>
          <w:bCs w:val="0"/>
          <w:sz w:val="32"/>
          <w:szCs w:val="32"/>
        </w:rPr>
        <w:t>万元，政府性基金收支预算</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万元。与20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年相比，一般公共预算收支预算增加</w:t>
      </w:r>
      <w:r>
        <w:rPr>
          <w:rFonts w:hint="default" w:ascii="Times New Roman" w:hAnsi="Times New Roman" w:eastAsia="仿宋_GB2312" w:cs="Times New Roman"/>
          <w:b w:val="0"/>
          <w:bCs w:val="0"/>
          <w:sz w:val="32"/>
          <w:szCs w:val="32"/>
          <w:lang w:val="en-US" w:eastAsia="zh-CN"/>
        </w:rPr>
        <w:t>48.98</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en-US" w:eastAsia="zh-CN"/>
        </w:rPr>
        <w:t>11.45</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eastAsia="zh-CN"/>
        </w:rPr>
        <w:t>人员变动</w:t>
      </w:r>
      <w:r>
        <w:rPr>
          <w:rFonts w:hint="default" w:ascii="Times New Roman" w:hAnsi="Times New Roman" w:eastAsia="仿宋_GB2312" w:cs="Times New Roman"/>
          <w:b w:val="0"/>
          <w:bCs w:val="0"/>
          <w:sz w:val="32"/>
          <w:szCs w:val="32"/>
        </w:rPr>
        <w:t>；政府性基金收支预算增加</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w:t>
      </w:r>
      <w:r>
        <w:rPr>
          <w:rFonts w:hint="default" w:ascii="Times New Roman" w:hAnsi="Times New Roman" w:eastAsia="仿宋_GB2312" w:cs="Times New Roman"/>
          <w:b w:val="0"/>
          <w:bCs w:val="0"/>
          <w:sz w:val="32"/>
          <w:szCs w:val="32"/>
          <w:lang w:eastAsia="zh-CN"/>
        </w:rPr>
        <w:t>与上年保持一致</w:t>
      </w:r>
      <w:r>
        <w:rPr>
          <w:rFonts w:hint="default" w:ascii="Times New Roman" w:hAnsi="Times New Roman" w:eastAsia="仿宋_GB2312" w:cs="Times New Roman"/>
          <w:b w:val="0"/>
          <w:bCs w:val="0"/>
          <w:sz w:val="32"/>
          <w:szCs w:val="32"/>
        </w:rPr>
        <w:t>。</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rPr>
        <w:t>五、一般公共预算支出预算情况说明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年一般公共预算支出年初预算</w:t>
      </w:r>
      <w:r>
        <w:rPr>
          <w:rFonts w:hint="default" w:ascii="Times New Roman" w:hAnsi="Times New Roman" w:eastAsia="仿宋_GB2312" w:cs="Times New Roman"/>
          <w:sz w:val="32"/>
          <w:szCs w:val="32"/>
          <w:lang w:val="en-US" w:eastAsia="zh-CN"/>
        </w:rPr>
        <w:t>476.75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其中：基本</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446.75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93.71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6.29</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主要用于以下方面：</w:t>
      </w:r>
      <w:r>
        <w:rPr>
          <w:rFonts w:hint="default" w:ascii="Times New Roman" w:hAnsi="Times New Roman" w:eastAsia="仿宋_GB2312" w:cs="Times New Roman"/>
          <w:sz w:val="32"/>
          <w:szCs w:val="32"/>
          <w:highlight w:val="none"/>
        </w:rPr>
        <w:t>一般公共服务（类）支出</w:t>
      </w:r>
      <w:r>
        <w:rPr>
          <w:rFonts w:hint="eastAsia" w:ascii="Times New Roman" w:hAnsi="Times New Roman" w:eastAsia="仿宋_GB2312" w:cs="Times New Roman"/>
          <w:sz w:val="32"/>
          <w:szCs w:val="32"/>
          <w:highlight w:val="none"/>
          <w:lang w:val="en-US" w:eastAsia="zh-CN"/>
        </w:rPr>
        <w:t>376.17</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，占</w:t>
      </w:r>
      <w:r>
        <w:rPr>
          <w:rFonts w:hint="default" w:ascii="Times New Roman" w:hAnsi="Times New Roman" w:eastAsia="仿宋_GB2312" w:cs="Times New Roman"/>
          <w:sz w:val="32"/>
          <w:szCs w:val="32"/>
          <w:highlight w:val="none"/>
          <w:lang w:val="en-US" w:eastAsia="zh-CN"/>
        </w:rPr>
        <w:t>7</w:t>
      </w:r>
      <w:r>
        <w:rPr>
          <w:rFonts w:hint="eastAsia" w:ascii="Times New Roman" w:hAnsi="Times New Roman" w:eastAsia="仿宋_GB2312" w:cs="Times New Roman"/>
          <w:sz w:val="32"/>
          <w:szCs w:val="32"/>
          <w:highlight w:val="none"/>
          <w:lang w:val="en-US" w:eastAsia="zh-CN"/>
        </w:rPr>
        <w:t>8.90</w:t>
      </w:r>
      <w:r>
        <w:rPr>
          <w:rFonts w:hint="default" w:ascii="Times New Roman" w:hAnsi="Times New Roman" w:eastAsia="仿宋_GB2312" w:cs="Times New Roman"/>
          <w:sz w:val="32"/>
          <w:szCs w:val="32"/>
          <w:highlight w:val="none"/>
          <w:lang w:val="en-US" w:eastAsia="zh-CN"/>
        </w:rPr>
        <w:t>%；社会保障和就业（类）支出45.2</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万元，占9.48%；卫生健康（类）支出21.01万元，占4.41%；住房保障（类）支出34.37万元，占7.21%。</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六、一般公共预算基本和项目支出预算情况说明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年一般公共预算基本支出</w:t>
      </w:r>
      <w:r>
        <w:rPr>
          <w:rFonts w:hint="default" w:ascii="Times New Roman" w:hAnsi="Times New Roman" w:eastAsia="仿宋_GB2312" w:cs="Times New Roman"/>
          <w:sz w:val="32"/>
          <w:szCs w:val="32"/>
          <w:lang w:val="en-US" w:eastAsia="zh-CN"/>
        </w:rPr>
        <w:t>446.75</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spacing w:val="-1"/>
          <w:kern w:val="0"/>
          <w:sz w:val="32"/>
          <w:szCs w:val="32"/>
        </w:rPr>
        <w:t>人员经费</w:t>
      </w:r>
      <w:r>
        <w:rPr>
          <w:rFonts w:hint="default" w:ascii="Times New Roman" w:hAnsi="Times New Roman" w:eastAsia="仿宋_GB2312" w:cs="Times New Roman"/>
          <w:b/>
          <w:spacing w:val="-1"/>
          <w:kern w:val="0"/>
          <w:sz w:val="32"/>
          <w:szCs w:val="32"/>
          <w:highlight w:val="none"/>
          <w:lang w:eastAsia="zh-CN"/>
        </w:rPr>
        <w:t>支出</w:t>
      </w:r>
      <w:r>
        <w:rPr>
          <w:rFonts w:hint="default" w:ascii="Times New Roman" w:hAnsi="Times New Roman" w:eastAsia="仿宋_GB2312" w:cs="Times New Roman"/>
          <w:sz w:val="32"/>
          <w:szCs w:val="32"/>
          <w:lang w:val="en-US" w:eastAsia="zh-CN"/>
        </w:rPr>
        <w:t>399.03</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89.32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主要包括：基本工资、津贴补贴、奖金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绩效工资、机关事业单位基本养老保险缴费、职工基本医疗保险缴费、住房公积金、退休费；</w:t>
      </w:r>
      <w:r>
        <w:rPr>
          <w:rFonts w:hint="default" w:ascii="Times New Roman" w:hAnsi="Times New Roman" w:eastAsia="仿宋_GB2312" w:cs="Times New Roman"/>
          <w:b/>
          <w:spacing w:val="-1"/>
          <w:kern w:val="0"/>
          <w:sz w:val="32"/>
          <w:szCs w:val="32"/>
        </w:rPr>
        <w:t>公用经费</w:t>
      </w:r>
      <w:r>
        <w:rPr>
          <w:rFonts w:hint="default" w:ascii="Times New Roman" w:hAnsi="Times New Roman" w:eastAsia="仿宋_GB2312" w:cs="Times New Roman"/>
          <w:b/>
          <w:spacing w:val="-1"/>
          <w:kern w:val="0"/>
          <w:sz w:val="32"/>
          <w:szCs w:val="32"/>
          <w:highlight w:val="none"/>
          <w:lang w:eastAsia="zh-CN"/>
        </w:rPr>
        <w:t>支出</w:t>
      </w:r>
      <w:r>
        <w:rPr>
          <w:rFonts w:hint="default" w:ascii="Times New Roman" w:hAnsi="Times New Roman" w:eastAsia="仿宋_GB2312" w:cs="Times New Roman"/>
          <w:sz w:val="32"/>
          <w:szCs w:val="32"/>
          <w:lang w:val="en-US" w:eastAsia="zh-CN"/>
        </w:rPr>
        <w:t>47.72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10.68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主要包括：办公费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邮电费、维修（护）费、劳务费、工会经费、其他交通费用、其他商品和服务支出。</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年一般公共预算安排项目支出预算</w:t>
      </w:r>
      <w:r>
        <w:rPr>
          <w:rFonts w:hint="default" w:ascii="Times New Roman" w:hAnsi="Times New Roman"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万元，全部纳入项目绩效目标管理。其中：运转类项目</w:t>
      </w:r>
      <w:r>
        <w:rPr>
          <w:rFonts w:hint="default" w:ascii="Times New Roman" w:hAnsi="Times New Roman"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特定目标</w:t>
      </w:r>
      <w:r>
        <w:rPr>
          <w:rFonts w:hint="default" w:ascii="Times New Roman" w:hAnsi="Times New Roman" w:eastAsia="仿宋_GB2312" w:cs="Times New Roman"/>
          <w:sz w:val="32"/>
          <w:szCs w:val="32"/>
          <w:highlight w:val="none"/>
        </w:rPr>
        <w:t>类项目</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七、政府性基金预算支出预算情况说明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中共新乡市卫滨区委办公室</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kern w:val="0"/>
          <w:sz w:val="32"/>
          <w:szCs w:val="32"/>
        </w:rPr>
        <w:t>无使用政府性基金预算拨款安排的支出，年初预算为0万元。</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kern w:val="0"/>
          <w:sz w:val="32"/>
          <w:szCs w:val="32"/>
        </w:rPr>
        <w:t>八、 “三公”经费支出预算情况说明</w:t>
      </w:r>
    </w:p>
    <w:p>
      <w:pPr>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年“三公”经费预算为</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保持一致</w:t>
      </w:r>
      <w:r>
        <w:rPr>
          <w:rFonts w:hint="default" w:ascii="Times New Roman" w:hAnsi="Times New Roman" w:eastAsia="仿宋_GB2312"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（一）因公出国（境）费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spacing w:val="-1"/>
          <w:kern w:val="0"/>
          <w:sz w:val="32"/>
          <w:szCs w:val="32"/>
        </w:rPr>
        <w:t>万元</w:t>
      </w:r>
      <w:r>
        <w:rPr>
          <w:rFonts w:hint="default" w:ascii="Times New Roman" w:hAnsi="Times New Roman" w:eastAsia="楷体" w:cs="Times New Roman"/>
          <w:spacing w:val="-1"/>
          <w:kern w:val="0"/>
          <w:sz w:val="32"/>
          <w:szCs w:val="32"/>
        </w:rPr>
        <w:t>，</w:t>
      </w:r>
      <w:r>
        <w:rPr>
          <w:rFonts w:hint="default" w:ascii="Times New Roman" w:hAnsi="Times New Roman" w:eastAsia="仿宋_GB2312" w:cs="Times New Roman"/>
          <w:sz w:val="32"/>
          <w:szCs w:val="32"/>
        </w:rPr>
        <w:t>主要用于单位工作人员公务出国（境）的住宿费、旅费、伙食补助费、杂费、培训费等支出。预算数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lang w:val="en-US" w:eastAsia="zh-CN"/>
        </w:rPr>
        <w:t>2023年保持一致，</w:t>
      </w:r>
      <w:r>
        <w:rPr>
          <w:rFonts w:hint="default" w:ascii="Times New Roman" w:hAnsi="Times New Roman" w:eastAsia="仿宋_GB2312" w:cs="Times New Roman"/>
          <w:sz w:val="32"/>
          <w:szCs w:val="32"/>
        </w:rPr>
        <w:t>主要原因是无因公出国（境）费支出。</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（二）公务用车购置及运行费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kern w:val="0"/>
          <w:sz w:val="32"/>
          <w:szCs w:val="32"/>
        </w:rPr>
        <w:t>万</w:t>
      </w:r>
      <w:r>
        <w:rPr>
          <w:rFonts w:hint="default" w:ascii="Times New Roman" w:hAnsi="Times New Roman" w:eastAsia="华文楷体" w:cs="Times New Roman"/>
          <w:sz w:val="32"/>
          <w:szCs w:val="32"/>
        </w:rPr>
        <w:t>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其中，公务用车购置费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万元；公务用车运行维护费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万元，主要用于开展工作所需公务用车的燃料费、维修费、过路过桥费、保险费、安全奖励费用等支出。公务用车购置费预算数与</w:t>
      </w:r>
      <w:r>
        <w:rPr>
          <w:rFonts w:hint="default"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rPr>
        <w:t>年保持一致，主要原因是无公务用车购置费支出。公务用车运行维护费预算数与</w:t>
      </w:r>
      <w:r>
        <w:rPr>
          <w:rFonts w:hint="default"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（三）公务接待费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sz w:val="32"/>
          <w:szCs w:val="32"/>
        </w:rPr>
        <w:t>万元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主要用于按规定开支的各类公务接待（含外宾接待）支出。预算数与</w:t>
      </w:r>
      <w:r>
        <w:rPr>
          <w:rFonts w:hint="default"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 w:cs="Times New Roman"/>
          <w:sz w:val="32"/>
          <w:szCs w:val="32"/>
          <w:highlight w:val="none"/>
        </w:rPr>
      </w:pPr>
      <w:r>
        <w:rPr>
          <w:rFonts w:hint="default" w:ascii="Times New Roman" w:hAnsi="Times New Roman" w:eastAsia="楷体" w:cs="Times New Roman"/>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800" w:firstLineChars="250"/>
        <w:textAlignment w:val="auto"/>
        <w:rPr>
          <w:rFonts w:hint="default" w:ascii="Times New Roman" w:hAnsi="Times New Roman" w:eastAsia="楷体" w:cs="Times New Roman"/>
          <w:sz w:val="32"/>
          <w:szCs w:val="32"/>
          <w:highlight w:val="yellow"/>
        </w:rPr>
      </w:pPr>
      <w:r>
        <w:rPr>
          <w:rFonts w:hint="default" w:ascii="Times New Roman" w:hAnsi="Times New Roman" w:eastAsia="仿宋_GB2312" w:cs="Times New Roman"/>
          <w:sz w:val="32"/>
          <w:szCs w:val="32"/>
        </w:rPr>
        <w:t>中共新乡市卫滨区委办公室202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年机关运行经费支出预算</w:t>
      </w:r>
      <w:r>
        <w:rPr>
          <w:rFonts w:hint="default" w:ascii="Times New Roman" w:hAnsi="Times New Roman" w:eastAsia="黑体" w:cs="Times New Roman"/>
          <w:sz w:val="32"/>
          <w:szCs w:val="32"/>
          <w:lang w:val="en-US" w:eastAsia="zh-CN"/>
        </w:rPr>
        <w:t>47.72</w:t>
      </w:r>
      <w:r>
        <w:rPr>
          <w:rFonts w:hint="default" w:ascii="Times New Roman" w:hAnsi="Times New Roman" w:eastAsia="仿宋_GB2312" w:cs="Times New Roman"/>
          <w:sz w:val="32"/>
          <w:szCs w:val="32"/>
        </w:rPr>
        <w:t>万元，主要保障机关机构正常运转及正常履职需要，主要包括办公费、印刷费、水费、电费、邮电费、取暖费、物业管理费、差旅费、维修（护）费、会议费、专用材料费、被装购置费、办公设备购置、福利费、公务用车运行维护费等</w:t>
      </w:r>
      <w:r>
        <w:rPr>
          <w:rFonts w:hint="default" w:ascii="Times New Roman" w:hAnsi="Times New Roman" w:eastAsia="仿宋_GB2312" w:cs="Times New Roman"/>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_GB2312" w:cs="Times New Roman"/>
          <w:b/>
          <w:kern w:val="0"/>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年政府采购预算安排</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万元，其中：政府采购货物预算</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万元、政府采购工程预算</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万元、政府采购服务预算</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lang w:eastAsia="zh-CN"/>
        </w:rPr>
        <w:t>绩效目标设置及</w:t>
      </w:r>
      <w:r>
        <w:rPr>
          <w:rFonts w:hint="default" w:ascii="Times New Roman" w:hAnsi="Times New Roman" w:eastAsia="楷体" w:cs="Times New Roman"/>
          <w:kern w:val="0"/>
          <w:sz w:val="32"/>
          <w:szCs w:val="32"/>
        </w:rPr>
        <w:t>预算绩效管理工作开展情况</w:t>
      </w:r>
    </w:p>
    <w:p>
      <w:pPr>
        <w:pStyle w:val="2"/>
        <w:keepNext w:val="0"/>
        <w:keepLines w:val="0"/>
        <w:pageBreakBefore w:val="0"/>
        <w:widowControl w:val="0"/>
        <w:wordWrap/>
        <w:topLinePunct w:val="0"/>
        <w:bidi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年，共组织对</w:t>
      </w:r>
      <w:r>
        <w:rPr>
          <w:rFonts w:hint="default" w:ascii="Times New Roman" w:hAnsi="Times New Roman" w:eastAsia="黑体" w:cs="Times New Roman"/>
          <w:sz w:val="32"/>
          <w:szCs w:val="32"/>
          <w:lang w:val="en-US" w:eastAsia="zh-CN"/>
        </w:rPr>
        <w:t>5</w:t>
      </w:r>
      <w:r>
        <w:rPr>
          <w:rFonts w:hint="default" w:ascii="Times New Roman" w:hAnsi="Times New Roman" w:eastAsia="仿宋_GB2312" w:cs="Times New Roman"/>
          <w:sz w:val="32"/>
          <w:szCs w:val="32"/>
        </w:rPr>
        <w:t>个项目进行了预算绩效评价，涉及资金</w:t>
      </w:r>
      <w:r>
        <w:rPr>
          <w:rFonts w:hint="default" w:ascii="Times New Roman" w:hAnsi="Times New Roman" w:eastAsia="黑体" w:cs="Times New Roman"/>
          <w:sz w:val="32"/>
          <w:szCs w:val="32"/>
          <w:lang w:val="en-US" w:eastAsia="zh-CN"/>
        </w:rPr>
        <w:t>75.21</w:t>
      </w:r>
      <w:r>
        <w:rPr>
          <w:rFonts w:hint="default" w:ascii="Times New Roman" w:hAnsi="Times New Roman" w:eastAsia="仿宋_GB2312" w:cs="Times New Roman"/>
          <w:sz w:val="32"/>
          <w:szCs w:val="32"/>
        </w:rPr>
        <w:t>万元，绩效评价结果显示，项目支出绩效情况较为理想，达到了项目申请时设定的各项绩效目标。</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sz w:val="32"/>
          <w:szCs w:val="32"/>
        </w:rPr>
        <w:t>，拟组织对</w:t>
      </w:r>
      <w:r>
        <w:rPr>
          <w:rFonts w:hint="eastAsia" w:ascii="Times New Roman" w:hAnsi="Times New Roman" w:eastAsia="黑体" w:cs="Times New Roman"/>
          <w:sz w:val="32"/>
          <w:szCs w:val="32"/>
          <w:lang w:val="en-US" w:eastAsia="zh-CN"/>
        </w:rPr>
        <w:t>1</w:t>
      </w:r>
      <w:r>
        <w:rPr>
          <w:rFonts w:hint="default" w:ascii="Times New Roman" w:hAnsi="Times New Roman" w:eastAsia="仿宋_GB2312" w:cs="Times New Roman"/>
          <w:sz w:val="32"/>
          <w:szCs w:val="32"/>
        </w:rPr>
        <w:t>个项目进行预算绩效评价，涉及资金</w:t>
      </w:r>
      <w:r>
        <w:rPr>
          <w:rFonts w:hint="eastAsia"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年资产总额</w:t>
      </w:r>
      <w:r>
        <w:rPr>
          <w:rFonts w:hint="default" w:ascii="Times New Roman" w:hAnsi="Times New Roman" w:eastAsia="仿宋_GB2312" w:cs="Times New Roman"/>
          <w:sz w:val="32"/>
          <w:szCs w:val="32"/>
          <w:lang w:val="en-US" w:eastAsia="zh-CN"/>
        </w:rPr>
        <w:t>80.22</w:t>
      </w:r>
      <w:r>
        <w:rPr>
          <w:rFonts w:hint="default" w:ascii="Times New Roman" w:hAnsi="Times New Roman" w:eastAsia="仿宋_GB2312" w:cs="Times New Roman"/>
          <w:sz w:val="32"/>
          <w:szCs w:val="32"/>
        </w:rPr>
        <w:t>万元，较上年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rPr>
        <w:t>下降</w:t>
      </w:r>
      <w:r>
        <w:rPr>
          <w:rFonts w:hint="default" w:ascii="Times New Roman" w:hAnsi="Times New Roman" w:eastAsia="仿宋_GB2312" w:cs="Times New Roman"/>
          <w:color w:val="000000"/>
          <w:sz w:val="32"/>
          <w:szCs w:val="32"/>
          <w:lang w:val="en-US" w:eastAsia="zh-CN"/>
        </w:rPr>
        <w:t>15.06</w:t>
      </w:r>
      <w:r>
        <w:rPr>
          <w:rFonts w:hint="default" w:ascii="Times New Roman" w:hAnsi="Times New Roman" w:eastAsia="仿宋_GB2312" w:cs="Times New Roman"/>
          <w:sz w:val="32"/>
          <w:szCs w:val="32"/>
        </w:rPr>
        <w:t>%。其中：固定资产</w:t>
      </w:r>
      <w:r>
        <w:rPr>
          <w:rFonts w:hint="default" w:ascii="Times New Roman" w:hAnsi="Times New Roman" w:eastAsia="仿宋_GB2312" w:cs="Times New Roman"/>
          <w:sz w:val="32"/>
          <w:szCs w:val="32"/>
          <w:lang w:val="en-US" w:eastAsia="zh-CN"/>
        </w:rPr>
        <w:t>30.63</w:t>
      </w:r>
      <w:r>
        <w:rPr>
          <w:rFonts w:hint="default" w:ascii="Times New Roman" w:hAnsi="Times New Roman" w:eastAsia="仿宋_GB2312" w:cs="Times New Roman"/>
          <w:sz w:val="32"/>
          <w:szCs w:val="32"/>
        </w:rPr>
        <w:t>万元，无形资产</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下降</w:t>
      </w:r>
      <w:r>
        <w:rPr>
          <w:rFonts w:hint="default" w:ascii="Times New Roman" w:hAnsi="Times New Roman" w:eastAsia="仿宋_GB2312" w:cs="Times New Roman"/>
          <w:sz w:val="32"/>
          <w:szCs w:val="32"/>
        </w:rPr>
        <w:t>主要原因</w:t>
      </w:r>
      <w:r>
        <w:rPr>
          <w:rFonts w:hint="default" w:ascii="Times New Roman" w:hAnsi="Times New Roman" w:eastAsia="仿宋_GB2312" w:cs="Times New Roman"/>
          <w:sz w:val="32"/>
          <w:szCs w:val="32"/>
          <w:lang w:eastAsia="zh-CN"/>
        </w:rPr>
        <w:t>：计提固定资产折旧</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年期末，中共新乡市卫滨区委办公室共有车辆</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辆，其中：一般公务用车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辆，其他用车主要是</w:t>
      </w:r>
      <w:r>
        <w:rPr>
          <w:rFonts w:hint="default"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rPr>
        <w:t>；单价50万元以上通用设备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台（套），单位价值100万元以上专用设备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办公室按照《财政部关于印发&lt;支出经济分类科目改革方案&gt;的通知》(财预〔2018〕98号)要求，从2018年起全面实施支出经济分类科目改革，根据政府预算管理和部门预算管理的不同特点，分设部门预算支出经济分类科目和政府预算支出经济分类科目，两套科目之间保持对应关系。为适应改革要求，中共新乡市卫滨区委办公室</w:t>
      </w:r>
      <w:r>
        <w:rPr>
          <w:rFonts w:hint="default" w:ascii="Times New Roman" w:hAnsi="Times New Roman" w:eastAsia="仿宋_GB2312" w:cs="Times New Roman"/>
          <w:sz w:val="32"/>
          <w:szCs w:val="32"/>
          <w:highlight w:val="none"/>
          <w:lang w:eastAsia="zh-CN"/>
        </w:rPr>
        <w:t>《支出经济分类汇总表》从 2018年起从仅反映一般公共预算基本支出经济分类科目预算调整为按</w:t>
      </w:r>
      <w:r>
        <w:rPr>
          <w:rFonts w:hint="default" w:ascii="Times New Roman" w:hAnsi="Times New Roman" w:eastAsia="仿宋_GB2312" w:cs="Times New Roman"/>
          <w:sz w:val="32"/>
          <w:szCs w:val="32"/>
        </w:rPr>
        <w:t>两套经济分类科目分别反映不同资金来源的全部预算支出。</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中共新乡市卫滨区委办公室</w:t>
      </w:r>
      <w:r>
        <w:rPr>
          <w:rFonts w:hint="default" w:ascii="Times New Roman" w:hAnsi="Times New Roman" w:eastAsia="仿宋_GB2312" w:cs="Times New Roman"/>
          <w:sz w:val="32"/>
          <w:szCs w:val="32"/>
          <w:highlight w:val="none"/>
        </w:rPr>
        <w:t>负责管理的专项转移支付项目共有</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项，主要是：</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万元等；我</w:t>
      </w:r>
      <w:r>
        <w:rPr>
          <w:rFonts w:hint="default" w:ascii="Times New Roman" w:hAnsi="Times New Roman" w:eastAsia="仿宋_GB2312" w:cs="Times New Roman"/>
          <w:sz w:val="32"/>
          <w:szCs w:val="32"/>
          <w:highlight w:val="none"/>
          <w:lang w:val="en-US" w:eastAsia="zh-CN"/>
        </w:rPr>
        <w:t>部门</w:t>
      </w:r>
      <w:r>
        <w:rPr>
          <w:rFonts w:hint="default" w:ascii="Times New Roman" w:hAnsi="Times New Roman" w:eastAsia="仿宋_GB2312" w:cs="Times New Roman"/>
          <w:sz w:val="32"/>
          <w:szCs w:val="32"/>
          <w:highlight w:val="none"/>
        </w:rPr>
        <w:t>将按照《预算法》等有关规定，积极做好项目分配前期准备工作，在规定的时间内向财政部门提出资金分配意见，根据有关要求做好项目申报公开等相关工作</w:t>
      </w:r>
      <w:r>
        <w:rPr>
          <w:rFonts w:hint="default" w:ascii="Times New Roman" w:hAnsi="Times New Roman" w:eastAsia="黑体"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default" w:ascii="Times New Roman" w:hAnsi="Times New Roman" w:eastAsia="黑体" w:cs="Times New Roman"/>
          <w:sz w:val="32"/>
          <w:szCs w:val="32"/>
        </w:rPr>
      </w:pPr>
      <w:r>
        <w:rPr>
          <w:rFonts w:hint="default" w:ascii="Times New Roman" w:hAnsi="Times New Roman" w:eastAsia="方正小标宋简体" w:cs="Times New Roman"/>
          <w:sz w:val="36"/>
          <w:szCs w:val="36"/>
        </w:rPr>
        <w:t>第三部分  名词解释</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570" w:lineRule="exact"/>
        <w:ind w:firstLine="640" w:firstLineChars="200"/>
        <w:textAlignment w:val="auto"/>
        <w:rPr>
          <w:rFonts w:hint="default" w:ascii="Times New Roman" w:hAnsi="Times New Roman" w:eastAsia="黑体" w:cs="Times New Roman"/>
          <w:sz w:val="32"/>
          <w:szCs w:val="32"/>
        </w:rPr>
      </w:pPr>
    </w:p>
    <w:p>
      <w:pPr>
        <w:keepNext w:val="0"/>
        <w:keepLines w:val="0"/>
        <w:pageBreakBefore w:val="0"/>
        <w:widowControl w:val="0"/>
        <w:kinsoku w:val="0"/>
        <w:wordWrap/>
        <w:overflowPunct w:val="0"/>
        <w:topLinePunct w:val="0"/>
        <w:bidi w:val="0"/>
        <w:adjustRightInd w:val="0"/>
        <w:snapToGrid w:val="0"/>
        <w:spacing w:line="570" w:lineRule="exact"/>
        <w:ind w:firstLine="640" w:firstLineChars="200"/>
        <w:textAlignment w:val="auto"/>
        <w:rPr>
          <w:rFonts w:hint="default" w:ascii="Times New Roman" w:hAnsi="Times New Roman" w:eastAsia="黑体" w:cs="Times New Roman"/>
          <w:sz w:val="32"/>
          <w:szCs w:val="32"/>
        </w:rPr>
      </w:pPr>
    </w:p>
    <w:p>
      <w:pPr>
        <w:keepNext w:val="0"/>
        <w:keepLines w:val="0"/>
        <w:pageBreakBefore w:val="0"/>
        <w:widowControl w:val="0"/>
        <w:kinsoku w:val="0"/>
        <w:wordWrap/>
        <w:overflowPunct w:val="0"/>
        <w:topLinePunct w:val="0"/>
        <w:bidi w:val="0"/>
        <w:adjustRightInd w:val="0"/>
        <w:snapToGrid w:val="0"/>
        <w:spacing w:line="570" w:lineRule="exact"/>
        <w:ind w:firstLine="640" w:firstLineChars="200"/>
        <w:textAlignment w:val="auto"/>
        <w:rPr>
          <w:rFonts w:hint="default" w:ascii="Times New Roman" w:hAnsi="Times New Roman" w:eastAsia="黑体" w:cs="Times New Roman"/>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320" w:firstLineChars="1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中共新乡市卫滨区委办公室</w:t>
      </w: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2098" w:right="1474" w:bottom="1984" w:left="1587" w:header="851" w:footer="992" w:gutter="0"/>
          <w:cols w:space="720" w:num="1"/>
          <w:docGrid w:type="lines" w:linePitch="312" w:charSpace="0"/>
        </w:sectPr>
      </w:pPr>
    </w:p>
    <w:tbl>
      <w:tblPr>
        <w:tblStyle w:val="6"/>
        <w:tblW w:w="92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75"/>
        <w:gridCol w:w="1537"/>
        <w:gridCol w:w="3075"/>
        <w:gridCol w:w="15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5" w:hRule="atLeast"/>
        </w:trPr>
        <w:tc>
          <w:tcPr>
            <w:tcW w:w="9225"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69" w:hRule="atLeast"/>
        </w:trPr>
        <w:tc>
          <w:tcPr>
            <w:tcW w:w="9225"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7687"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153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3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4"/>
        <w:gridCol w:w="2461"/>
        <w:gridCol w:w="1080"/>
        <w:gridCol w:w="1080"/>
        <w:gridCol w:w="1005"/>
        <w:gridCol w:w="1125"/>
        <w:gridCol w:w="480"/>
        <w:gridCol w:w="555"/>
        <w:gridCol w:w="555"/>
        <w:gridCol w:w="540"/>
        <w:gridCol w:w="555"/>
        <w:gridCol w:w="630"/>
        <w:gridCol w:w="525"/>
        <w:gridCol w:w="465"/>
        <w:gridCol w:w="405"/>
        <w:gridCol w:w="660"/>
        <w:gridCol w:w="765"/>
        <w:gridCol w:w="555"/>
        <w:gridCol w:w="525"/>
        <w:gridCol w:w="4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6" w:hRule="atLeast"/>
        </w:trPr>
        <w:tc>
          <w:tcPr>
            <w:tcW w:w="15345"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69" w:hRule="atLeast"/>
        </w:trPr>
        <w:tc>
          <w:tcPr>
            <w:tcW w:w="15345"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18"/>
                <w:szCs w:val="18"/>
                <w:u w:val="none"/>
              </w:rPr>
            </w:pPr>
            <w:r>
              <w:rPr>
                <w:rFonts w:ascii="宋体" w:hAnsi="宋体" w:eastAsia="宋体" w:cs="宋体"/>
                <w:b/>
                <w:bCs/>
                <w:i w:val="0"/>
                <w:iCs w:val="0"/>
                <w:color w:val="000000"/>
                <w:kern w:val="0"/>
                <w:sz w:val="28"/>
                <w:szCs w:val="28"/>
                <w:u w:val="none"/>
                <w:lang w:val="en-US" w:eastAsia="zh-CN" w:bidi="ar"/>
              </w:rPr>
              <w:t>2024年部门收入总体情况表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5345" w:type="dxa"/>
            <w:gridSpan w:val="20"/>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2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751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3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060" w:hRule="atLeast"/>
        </w:trPr>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001001</w:t>
            </w: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中共新乡市卫滨区委办公室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2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2"/>
        <w:gridCol w:w="492"/>
        <w:gridCol w:w="492"/>
        <w:gridCol w:w="737"/>
        <w:gridCol w:w="2459"/>
        <w:gridCol w:w="1171"/>
        <w:gridCol w:w="1171"/>
        <w:gridCol w:w="1171"/>
        <w:gridCol w:w="1171"/>
        <w:gridCol w:w="1171"/>
        <w:gridCol w:w="1170"/>
        <w:gridCol w:w="1171"/>
        <w:gridCol w:w="1171"/>
        <w:gridCol w:w="1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6" w:hRule="atLeast"/>
        </w:trPr>
        <w:tc>
          <w:tcPr>
            <w:tcW w:w="1521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69" w:hRule="atLeast"/>
        </w:trPr>
        <w:tc>
          <w:tcPr>
            <w:tcW w:w="152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4039"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1171"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8"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446.75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390.52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446.75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390.52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346.17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346.17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289.94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其他党委办公厅（室）及相关机构事务支出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2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40"/>
        <w:gridCol w:w="825"/>
        <w:gridCol w:w="2760"/>
        <w:gridCol w:w="915"/>
        <w:gridCol w:w="870"/>
        <w:gridCol w:w="945"/>
        <w:gridCol w:w="697"/>
        <w:gridCol w:w="11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6" w:hRule="atLeast"/>
        </w:trPr>
        <w:tc>
          <w:tcPr>
            <w:tcW w:w="10215"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0215"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2"/>
                <w:szCs w:val="32"/>
                <w:u w:val="none"/>
              </w:rPr>
            </w:pPr>
            <w:r>
              <w:rPr>
                <w:rFonts w:ascii="宋体" w:hAnsi="宋体" w:eastAsia="宋体" w:cs="宋体"/>
                <w:b/>
                <w:bCs/>
                <w:i w:val="0"/>
                <w:iCs w:val="0"/>
                <w:color w:val="000000"/>
                <w:kern w:val="0"/>
                <w:sz w:val="32"/>
                <w:szCs w:val="32"/>
                <w:u w:val="none"/>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9052"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1163" w:type="dxa"/>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73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2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2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1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40" w:hRule="atLeast"/>
        </w:trPr>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376.17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376.17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376.17</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4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33"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4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4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8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60"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25" w:hRule="atLeast"/>
        </w:trPr>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0" w:right="1134" w:bottom="0" w:left="850"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8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2"/>
        <w:gridCol w:w="492"/>
        <w:gridCol w:w="738"/>
        <w:gridCol w:w="2461"/>
        <w:gridCol w:w="1537"/>
        <w:gridCol w:w="1537"/>
        <w:gridCol w:w="1172"/>
        <w:gridCol w:w="1172"/>
        <w:gridCol w:w="1172"/>
        <w:gridCol w:w="1171"/>
        <w:gridCol w:w="825"/>
        <w:gridCol w:w="765"/>
        <w:gridCol w:w="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6" w:hRule="atLeast"/>
        </w:trPr>
        <w:tc>
          <w:tcPr>
            <w:tcW w:w="1485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69" w:hRule="atLeast"/>
        </w:trPr>
        <w:tc>
          <w:tcPr>
            <w:tcW w:w="1485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485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4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24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4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8"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446.75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390.52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446.75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390.52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346.17</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346.17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289.94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其他党委办公厅（室）及相关机构事务支出</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2435"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8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76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2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5"/>
        <w:gridCol w:w="2460"/>
        <w:gridCol w:w="1845"/>
        <w:gridCol w:w="2460"/>
        <w:gridCol w:w="1845"/>
        <w:gridCol w:w="184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30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184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446.75</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399.03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59.38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59.38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23.19</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23.19</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151.77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151.77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30226</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维修(护)费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维修（护）费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1"/>
        <w:gridCol w:w="1477"/>
        <w:gridCol w:w="492"/>
        <w:gridCol w:w="492"/>
        <w:gridCol w:w="1477"/>
        <w:gridCol w:w="1050"/>
        <w:gridCol w:w="930"/>
        <w:gridCol w:w="1080"/>
        <w:gridCol w:w="690"/>
        <w:gridCol w:w="795"/>
        <w:gridCol w:w="690"/>
        <w:gridCol w:w="780"/>
        <w:gridCol w:w="480"/>
        <w:gridCol w:w="630"/>
        <w:gridCol w:w="1005"/>
        <w:gridCol w:w="960"/>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640"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14640"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2"/>
                <w:szCs w:val="32"/>
                <w:u w:val="none"/>
              </w:rPr>
            </w:pPr>
            <w:r>
              <w:rPr>
                <w:rFonts w:ascii="宋体" w:hAnsi="宋体" w:eastAsia="宋体" w:cs="宋体"/>
                <w:b/>
                <w:bCs/>
                <w:i w:val="0"/>
                <w:iCs w:val="0"/>
                <w:color w:val="000000"/>
                <w:kern w:val="0"/>
                <w:sz w:val="32"/>
                <w:szCs w:val="32"/>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640" w:type="dxa"/>
            <w:gridSpan w:val="18"/>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4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2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政府预算经济分类</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476.75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59.38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59.38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23.19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151.77</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151.77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151.77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50.32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50.32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维修(护)费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维修（护）费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13.83</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印刷费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38"/>
        <w:gridCol w:w="2338"/>
        <w:gridCol w:w="2337"/>
        <w:gridCol w:w="2337"/>
        <w:gridCol w:w="2337"/>
        <w:gridCol w:w="23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025"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9" w:hRule="atLeast"/>
        </w:trPr>
        <w:tc>
          <w:tcPr>
            <w:tcW w:w="14025"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1687"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233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2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2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70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2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2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2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23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3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23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47" w:hRule="atLeast"/>
        </w:trPr>
        <w:tc>
          <w:tcPr>
            <w:tcW w:w="14025"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我部门没有“三公”经费收入，也没有使用“三公”经费安排支出，故此表无数据。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2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2"/>
        <w:gridCol w:w="492"/>
        <w:gridCol w:w="738"/>
        <w:gridCol w:w="2459"/>
        <w:gridCol w:w="1171"/>
        <w:gridCol w:w="1171"/>
        <w:gridCol w:w="1171"/>
        <w:gridCol w:w="1171"/>
        <w:gridCol w:w="1171"/>
        <w:gridCol w:w="1171"/>
        <w:gridCol w:w="1171"/>
        <w:gridCol w:w="1171"/>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123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ind w:left="0" w:leftChars="0"/>
        <w:jc w:val="both"/>
        <w:rPr>
          <w:rFonts w:ascii="黑体" w:hAnsi="Times New Roman" w:eastAsia="黑体" w:cs="黑体"/>
          <w:sz w:val="22"/>
          <w:szCs w:val="22"/>
          <w:highlight w:val="none"/>
        </w:rPr>
      </w:pPr>
      <w:r>
        <w:rPr>
          <w:rFonts w:hint="eastAsia" w:ascii="宋体" w:hAnsi="宋体" w:eastAsia="宋体" w:cs="宋体"/>
          <w:i w:val="0"/>
          <w:iCs w:val="0"/>
          <w:color w:val="000000"/>
          <w:kern w:val="0"/>
          <w:sz w:val="18"/>
          <w:szCs w:val="18"/>
          <w:u w:val="none"/>
          <w:lang w:val="en-US" w:eastAsia="zh-CN" w:bidi="ar"/>
        </w:rPr>
        <w:t>我部门没有政府性基金收入，也没有使用政府性基金安排支出，故此表无数据。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p>
    <w:tbl>
      <w:tblPr>
        <w:tblStyle w:val="6"/>
        <w:tblW w:w="141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1"/>
        <w:gridCol w:w="1171"/>
        <w:gridCol w:w="1171"/>
        <w:gridCol w:w="1172"/>
        <w:gridCol w:w="1172"/>
        <w:gridCol w:w="1171"/>
        <w:gridCol w:w="1171"/>
        <w:gridCol w:w="1171"/>
        <w:gridCol w:w="1171"/>
        <w:gridCol w:w="1171"/>
        <w:gridCol w:w="1172"/>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884"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w:t>
            </w:r>
          </w:p>
        </w:tc>
        <w:tc>
          <w:tcPr>
            <w:tcW w:w="1231"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35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工作经费</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567" w:right="1134" w:bottom="567" w:left="1134" w:header="851" w:footer="992" w:gutter="0"/>
          <w:cols w:space="720" w:num="1"/>
          <w:docGrid w:type="lines" w:linePitch="312" w:charSpace="0"/>
        </w:sectPr>
      </w:pPr>
    </w:p>
    <w:tbl>
      <w:tblPr>
        <w:tblStyle w:val="6"/>
        <w:tblW w:w="10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5"/>
        <w:gridCol w:w="1305"/>
        <w:gridCol w:w="1575"/>
        <w:gridCol w:w="810"/>
        <w:gridCol w:w="52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6" w:hRule="atLeast"/>
        </w:trPr>
        <w:tc>
          <w:tcPr>
            <w:tcW w:w="12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1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20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014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2"/>
                <w:szCs w:val="32"/>
                <w:u w:val="none"/>
              </w:rPr>
            </w:pPr>
            <w:r>
              <w:rPr>
                <w:rFonts w:ascii="宋体" w:hAnsi="宋体" w:eastAsia="宋体" w:cs="宋体"/>
                <w:b/>
                <w:bCs/>
                <w:i w:val="0"/>
                <w:iCs w:val="0"/>
                <w:color w:val="000000"/>
                <w:kern w:val="0"/>
                <w:sz w:val="32"/>
                <w:szCs w:val="32"/>
                <w:u w:val="none"/>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014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 xml:space="preserve">                         </w:t>
            </w:r>
            <w:r>
              <w:rPr>
                <w:rFonts w:hint="eastAsia" w:ascii="宋体" w:hAnsi="宋体" w:cs="宋体"/>
                <w:b/>
                <w:bCs/>
                <w:i w:val="0"/>
                <w:iCs w:val="0"/>
                <w:color w:val="000000"/>
                <w:kern w:val="0"/>
                <w:sz w:val="24"/>
                <w:szCs w:val="24"/>
                <w:u w:val="none"/>
                <w:lang w:val="en-US" w:eastAsia="zh-CN" w:bidi="ar"/>
              </w:rPr>
              <w:t xml:space="preserve">      </w:t>
            </w:r>
            <w:r>
              <w:rPr>
                <w:rFonts w:ascii="宋体" w:hAnsi="宋体" w:eastAsia="宋体" w:cs="宋体"/>
                <w:b/>
                <w:bCs/>
                <w:i w:val="0"/>
                <w:iCs w:val="0"/>
                <w:color w:val="000000"/>
                <w:kern w:val="0"/>
                <w:sz w:val="24"/>
                <w:szCs w:val="24"/>
                <w:u w:val="none"/>
                <w:lang w:val="en-US" w:eastAsia="zh-CN" w:bidi="ar"/>
              </w:rPr>
              <w:t xml:space="preserve">（2024年度）                       </w:t>
            </w:r>
            <w:r>
              <w:rPr>
                <w:rFonts w:hint="eastAsia" w:ascii="宋体" w:hAnsi="宋体" w:cs="宋体"/>
                <w:b/>
                <w:bCs/>
                <w:i w:val="0"/>
                <w:iCs w:val="0"/>
                <w:color w:val="000000"/>
                <w:kern w:val="0"/>
                <w:sz w:val="24"/>
                <w:szCs w:val="24"/>
                <w:u w:val="none"/>
                <w:lang w:val="en-US" w:eastAsia="zh-CN" w:bidi="ar"/>
              </w:rPr>
              <w:t xml:space="preserve">    </w:t>
            </w:r>
            <w:r>
              <w:rPr>
                <w:rFonts w:ascii="宋体" w:hAnsi="宋体" w:eastAsia="宋体" w:cs="宋体"/>
                <w:b/>
                <w:bCs/>
                <w:i w:val="0"/>
                <w:iCs w:val="0"/>
                <w:color w:val="000000"/>
                <w:kern w:val="0"/>
                <w:sz w:val="24"/>
                <w:szCs w:val="24"/>
                <w:u w:val="none"/>
                <w:lang w:val="en-US" w:eastAsia="zh-CN" w:bidi="ar"/>
              </w:rPr>
              <w:t xml:space="preserve"> </w:t>
            </w:r>
            <w:r>
              <w:rPr>
                <w:rFonts w:ascii="宋体" w:hAnsi="宋体" w:eastAsia="宋体" w:cs="宋体"/>
                <w:b w:val="0"/>
                <w:bCs w:val="0"/>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01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部门名称：中共新乡市卫滨区委办公室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40" w:hRule="atLeast"/>
        </w:trPr>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年度履职目标</w:t>
            </w:r>
          </w:p>
        </w:tc>
        <w:tc>
          <w:tcPr>
            <w:tcW w:w="88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推动党的理论和路线方针政策的贯彻执行，贯彻落实党中央、省委、市委决策部署、指示批示精神，组织协调区公务活动，承担区委运行保障具体事务，完成区委交办的任务。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年度主要任务</w:t>
            </w: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任务名称</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0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机关业务工作经费</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维持办公室正常运转，切实保障党委各项工作正常有序进行。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预算情况  </w:t>
            </w:r>
          </w:p>
        </w:tc>
        <w:tc>
          <w:tcPr>
            <w:tcW w:w="2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部门预算总额（万元）</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476.75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1、资金来源：</w:t>
            </w:r>
          </w:p>
        </w:tc>
        <w:tc>
          <w:tcPr>
            <w:tcW w:w="15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（1）政府预算资金</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476.75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6"/>
                <w:szCs w:val="16"/>
                <w:u w:val="none"/>
              </w:rPr>
            </w:pPr>
          </w:p>
        </w:tc>
        <w:tc>
          <w:tcPr>
            <w:tcW w:w="15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（2）财政专户管理资金</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6"/>
                <w:szCs w:val="16"/>
                <w:u w:val="none"/>
              </w:rPr>
            </w:pPr>
          </w:p>
        </w:tc>
        <w:tc>
          <w:tcPr>
            <w:tcW w:w="15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（3）单位资金</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2、资金结构：</w:t>
            </w:r>
          </w:p>
        </w:tc>
        <w:tc>
          <w:tcPr>
            <w:tcW w:w="15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（1）基本支出</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446.75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5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（2）项目支出</w:t>
            </w:r>
          </w:p>
        </w:tc>
        <w:tc>
          <w:tcPr>
            <w:tcW w:w="6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60" w:hRule="atLeast"/>
        </w:trPr>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一级指标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二级指标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三级指标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指标值</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900"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 投入管理指标  </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工作目标管理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年度履职目标相关性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相关</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90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工作任务科学性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科学</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8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绩效指标合理性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合理</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预算和财务管理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预算编制完整性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完整</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专项资金细化率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预算执行率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86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预算调整率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Arial" w:hAnsi="Arial" w:eastAsia="宋体" w:cs="Arial"/>
                <w:i w:val="0"/>
                <w:iCs w:val="0"/>
                <w:color w:val="000000"/>
                <w:sz w:val="16"/>
                <w:szCs w:val="16"/>
                <w:u w:val="none"/>
              </w:rPr>
            </w:pPr>
            <w:r>
              <w:rPr>
                <w:rFonts w:hint="default" w:ascii="Arial" w:hAnsi="Arial" w:eastAsia="宋体" w:cs="Arial"/>
                <w:i w:val="0"/>
                <w:iCs w:val="0"/>
                <w:color w:val="000000"/>
                <w:kern w:val="0"/>
                <w:sz w:val="16"/>
                <w:szCs w:val="16"/>
                <w:u w:val="none"/>
                <w:lang w:val="en-US" w:eastAsia="zh-CN" w:bidi="ar"/>
              </w:rPr>
              <w:t xml:space="preserve"> </w:t>
            </w:r>
            <w:r>
              <w:rPr>
                <w:rStyle w:val="11"/>
                <w:lang w:val="en-US" w:eastAsia="zh-CN" w:bidi="ar"/>
              </w:rPr>
              <w:t xml:space="preserve"> 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结转结余率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0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“三公经费”控制率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6"/>
                <w:szCs w:val="16"/>
                <w:u w:val="none"/>
              </w:rPr>
            </w:pPr>
            <w:r>
              <w:rPr>
                <w:rFonts w:hint="default" w:ascii="Arial" w:hAnsi="Arial" w:eastAsia="宋体" w:cs="Arial"/>
                <w:i w:val="0"/>
                <w:iCs w:val="0"/>
                <w:color w:val="000000"/>
                <w:kern w:val="0"/>
                <w:sz w:val="16"/>
                <w:szCs w:val="16"/>
                <w:u w:val="none"/>
                <w:lang w:val="en-US" w:eastAsia="zh-CN" w:bidi="ar"/>
              </w:rPr>
              <w:t xml:space="preserve"> </w:t>
            </w:r>
            <w:r>
              <w:rPr>
                <w:rStyle w:val="11"/>
                <w:lang w:val="en-US" w:eastAsia="zh-CN" w:bidi="ar"/>
              </w:rPr>
              <w:t xml:space="preserve"> “三公经费”控制率=本年度“三公经费”实际支出数/“三公经费”预算数*100%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政府采购执行率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决算真实性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真实</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5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资金使用合规性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合规</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1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管理制度健全性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健全</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90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预决算信息公开性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公开</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5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资产管理规范性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规范</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6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绩效管理  </w:t>
            </w:r>
          </w:p>
        </w:tc>
        <w:tc>
          <w:tcPr>
            <w:tcW w:w="157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绩效目标编制完成率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6"/>
                <w:szCs w:val="16"/>
                <w:u w:val="none"/>
              </w:rPr>
            </w:pPr>
            <w:r>
              <w:rPr>
                <w:rFonts w:hint="default" w:ascii="Arial" w:hAnsi="Arial" w:eastAsia="宋体" w:cs="Arial"/>
                <w:i w:val="0"/>
                <w:iCs w:val="0"/>
                <w:color w:val="000000"/>
                <w:kern w:val="0"/>
                <w:sz w:val="16"/>
                <w:szCs w:val="16"/>
                <w:u w:val="none"/>
                <w:lang w:val="en-US" w:eastAsia="zh-CN" w:bidi="ar"/>
              </w:rPr>
              <w:t xml:space="preserve"> </w:t>
            </w:r>
            <w:r>
              <w:rPr>
                <w:rStyle w:val="11"/>
                <w:lang w:val="en-US" w:eastAsia="zh-CN" w:bidi="ar"/>
              </w:rPr>
              <w:t xml:space="preserve"> 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绩效监控完成率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绩效自评完成率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2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部门绩效评价完成率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4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评价结果应用率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100%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00"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产出指标  </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重点工作任务完成</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 重点工作计划完成率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6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履职目标实现</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 年度工作目标实现率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≥90%</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00"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效益指标  </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履职效益</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 xml:space="preserve"> 保障各项工作完成</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保障</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反映部门履职对经济社会发展等所带来的直接或间接影响。可根据部门实际情况有选择的进行设置，并将三级指标细化为相应的个性化指标。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80"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满意度</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工作人员的满意度</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≥85%</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134" w:bottom="567" w:left="1134" w:header="851" w:footer="992" w:gutter="0"/>
          <w:cols w:space="720" w:num="1"/>
          <w:docGrid w:type="lines" w:linePitch="312" w:charSpace="0"/>
        </w:sectPr>
      </w:pPr>
    </w:p>
    <w:tbl>
      <w:tblPr>
        <w:tblStyle w:val="6"/>
        <w:tblW w:w="147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06"/>
        <w:gridCol w:w="1821"/>
        <w:gridCol w:w="919"/>
        <w:gridCol w:w="876"/>
        <w:gridCol w:w="591"/>
        <w:gridCol w:w="534"/>
        <w:gridCol w:w="1238"/>
        <w:gridCol w:w="821"/>
        <w:gridCol w:w="1497"/>
        <w:gridCol w:w="1030"/>
        <w:gridCol w:w="750"/>
        <w:gridCol w:w="692"/>
        <w:gridCol w:w="1095"/>
        <w:gridCol w:w="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86" w:hRule="atLeast"/>
        </w:trPr>
        <w:tc>
          <w:tcPr>
            <w:tcW w:w="14745"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69" w:hRule="atLeast"/>
        </w:trPr>
        <w:tc>
          <w:tcPr>
            <w:tcW w:w="1474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14745"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部门名称：中共新乡市卫滨区委办公室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单位编码（项目编码）</w:t>
            </w:r>
          </w:p>
        </w:tc>
        <w:tc>
          <w:tcPr>
            <w:tcW w:w="1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 （项目名称）</w:t>
            </w:r>
          </w:p>
        </w:tc>
        <w:tc>
          <w:tcPr>
            <w:tcW w:w="292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项目金额（万元）</w:t>
            </w:r>
          </w:p>
        </w:tc>
        <w:tc>
          <w:tcPr>
            <w:tcW w:w="789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39"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2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成本指标  </w:t>
            </w:r>
          </w:p>
        </w:tc>
        <w:tc>
          <w:tcPr>
            <w:tcW w:w="2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1020"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资金总额</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政府预算资金</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w:t>
            </w:r>
          </w:p>
        </w:tc>
        <w:tc>
          <w:tcPr>
            <w:tcW w:w="18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80"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001001</w:t>
            </w:r>
          </w:p>
        </w:tc>
        <w:tc>
          <w:tcPr>
            <w:tcW w:w="1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中共新乡市卫滨区委办公室</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00"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410703240000000003601</w:t>
            </w:r>
          </w:p>
        </w:tc>
        <w:tc>
          <w:tcPr>
            <w:tcW w:w="1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工作经费</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w:t>
            </w:r>
          </w:p>
        </w:tc>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工作经费总成本</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30万元</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党政机关服务完成数量</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单位工作人员满意度</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40"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工作正常运转率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80"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经费支出完成时间</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Arial">
    <w:panose1 w:val="020B0604020202020204"/>
    <w:charset w:val="00"/>
    <w:family w:val="auto"/>
    <w:pitch w:val="default"/>
    <w:sig w:usb0="00007A87" w:usb1="80000000" w:usb2="00000008"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zNWI2ZTRjNDcyNGE2YmI1NjNiZWMwMWFlZjRmOGY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97733"/>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5A2517"/>
    <w:rsid w:val="046A4C87"/>
    <w:rsid w:val="04C353E7"/>
    <w:rsid w:val="04E82E5D"/>
    <w:rsid w:val="04EB0D09"/>
    <w:rsid w:val="04FE48A0"/>
    <w:rsid w:val="06C47767"/>
    <w:rsid w:val="06D27D2E"/>
    <w:rsid w:val="08EE5446"/>
    <w:rsid w:val="09E907EB"/>
    <w:rsid w:val="0A710360"/>
    <w:rsid w:val="0CEF2B00"/>
    <w:rsid w:val="0D023F92"/>
    <w:rsid w:val="0FA90872"/>
    <w:rsid w:val="10D55943"/>
    <w:rsid w:val="1105588A"/>
    <w:rsid w:val="116A0C53"/>
    <w:rsid w:val="1185724E"/>
    <w:rsid w:val="11A825AE"/>
    <w:rsid w:val="123705B9"/>
    <w:rsid w:val="13910C45"/>
    <w:rsid w:val="15B925CF"/>
    <w:rsid w:val="163A1270"/>
    <w:rsid w:val="169267C0"/>
    <w:rsid w:val="16D14EBA"/>
    <w:rsid w:val="175F3CA6"/>
    <w:rsid w:val="17767D2A"/>
    <w:rsid w:val="19FB7D8E"/>
    <w:rsid w:val="1A5B6391"/>
    <w:rsid w:val="1B9430C3"/>
    <w:rsid w:val="1C7012F4"/>
    <w:rsid w:val="1CDD0DBE"/>
    <w:rsid w:val="209B625B"/>
    <w:rsid w:val="219D5072"/>
    <w:rsid w:val="221D378B"/>
    <w:rsid w:val="25E2722C"/>
    <w:rsid w:val="2A37305D"/>
    <w:rsid w:val="2A7650F3"/>
    <w:rsid w:val="2AD76DF3"/>
    <w:rsid w:val="2C1A4849"/>
    <w:rsid w:val="31CE10C4"/>
    <w:rsid w:val="31EE77C5"/>
    <w:rsid w:val="31F50A29"/>
    <w:rsid w:val="335D3E18"/>
    <w:rsid w:val="33ED7470"/>
    <w:rsid w:val="343D3BEB"/>
    <w:rsid w:val="34D04D80"/>
    <w:rsid w:val="35421935"/>
    <w:rsid w:val="35D03DB1"/>
    <w:rsid w:val="365B3B1A"/>
    <w:rsid w:val="368469FD"/>
    <w:rsid w:val="37D2556F"/>
    <w:rsid w:val="38F2525B"/>
    <w:rsid w:val="39063762"/>
    <w:rsid w:val="399C7E17"/>
    <w:rsid w:val="39D92970"/>
    <w:rsid w:val="39FB1897"/>
    <w:rsid w:val="39FE093D"/>
    <w:rsid w:val="3A523362"/>
    <w:rsid w:val="3BBE24E2"/>
    <w:rsid w:val="3BD07B55"/>
    <w:rsid w:val="3C574EB8"/>
    <w:rsid w:val="3D440195"/>
    <w:rsid w:val="3D8711AA"/>
    <w:rsid w:val="3E413ED1"/>
    <w:rsid w:val="3FAE2155"/>
    <w:rsid w:val="41DE0DC1"/>
    <w:rsid w:val="4496246A"/>
    <w:rsid w:val="45FB1E0A"/>
    <w:rsid w:val="46365B58"/>
    <w:rsid w:val="47D755C8"/>
    <w:rsid w:val="480E1D32"/>
    <w:rsid w:val="4BAC1AC0"/>
    <w:rsid w:val="4C7813AD"/>
    <w:rsid w:val="4CDA2801"/>
    <w:rsid w:val="4E275F1E"/>
    <w:rsid w:val="4F0B15DD"/>
    <w:rsid w:val="4F917FC6"/>
    <w:rsid w:val="501B68C6"/>
    <w:rsid w:val="508D27A6"/>
    <w:rsid w:val="510D0E91"/>
    <w:rsid w:val="5115798C"/>
    <w:rsid w:val="51C51D65"/>
    <w:rsid w:val="51C65ED7"/>
    <w:rsid w:val="5236524B"/>
    <w:rsid w:val="52816F96"/>
    <w:rsid w:val="533956EC"/>
    <w:rsid w:val="55381AB4"/>
    <w:rsid w:val="56225567"/>
    <w:rsid w:val="565079D0"/>
    <w:rsid w:val="57334510"/>
    <w:rsid w:val="579D29FC"/>
    <w:rsid w:val="57C60097"/>
    <w:rsid w:val="59156B87"/>
    <w:rsid w:val="59182AD7"/>
    <w:rsid w:val="59642F2F"/>
    <w:rsid w:val="59AA14E0"/>
    <w:rsid w:val="59E12472"/>
    <w:rsid w:val="59E52906"/>
    <w:rsid w:val="5A155A44"/>
    <w:rsid w:val="5AF554D4"/>
    <w:rsid w:val="5C2F77C1"/>
    <w:rsid w:val="5C3B15B1"/>
    <w:rsid w:val="5C461FB7"/>
    <w:rsid w:val="5CB70498"/>
    <w:rsid w:val="5D1412C6"/>
    <w:rsid w:val="5E211941"/>
    <w:rsid w:val="5ED512CA"/>
    <w:rsid w:val="600E40C9"/>
    <w:rsid w:val="604E3D2F"/>
    <w:rsid w:val="62200402"/>
    <w:rsid w:val="62A55CA5"/>
    <w:rsid w:val="63277E71"/>
    <w:rsid w:val="6468013A"/>
    <w:rsid w:val="649C46F2"/>
    <w:rsid w:val="64B32C06"/>
    <w:rsid w:val="6643017F"/>
    <w:rsid w:val="68B32ADB"/>
    <w:rsid w:val="69CD2AD0"/>
    <w:rsid w:val="6B14138E"/>
    <w:rsid w:val="6B1C6BC9"/>
    <w:rsid w:val="6B2564B4"/>
    <w:rsid w:val="6B3D3082"/>
    <w:rsid w:val="6C765986"/>
    <w:rsid w:val="70981F36"/>
    <w:rsid w:val="70B24544"/>
    <w:rsid w:val="711C5429"/>
    <w:rsid w:val="7166357E"/>
    <w:rsid w:val="71A9298B"/>
    <w:rsid w:val="71D57C23"/>
    <w:rsid w:val="71EE5B0E"/>
    <w:rsid w:val="72BD29C0"/>
    <w:rsid w:val="736563C5"/>
    <w:rsid w:val="73CB561A"/>
    <w:rsid w:val="748B06D6"/>
    <w:rsid w:val="75AD3069"/>
    <w:rsid w:val="762A388D"/>
    <w:rsid w:val="767307C7"/>
    <w:rsid w:val="771E7C0A"/>
    <w:rsid w:val="7789230E"/>
    <w:rsid w:val="779C1699"/>
    <w:rsid w:val="796919ED"/>
    <w:rsid w:val="797F6F0E"/>
    <w:rsid w:val="79863882"/>
    <w:rsid w:val="798B6E40"/>
    <w:rsid w:val="79DC6ADA"/>
    <w:rsid w:val="7B0E49A9"/>
    <w:rsid w:val="7BED06EF"/>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 w:type="character" w:customStyle="1" w:styleId="11">
    <w:name w:val="font41"/>
    <w:basedOn w:val="5"/>
    <w:qFormat/>
    <w:uiPriority w:val="0"/>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2024-03-21T01:42:23Z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EF2E3A5C0B544BF4AEFCFFC99DD204BE_13</vt:lpwstr>
  </property>
</Properties>
</file>