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hint="eastAsia" w:ascii="黑体" w:hAnsi="黑体" w:eastAsia="黑体"/>
          <w:sz w:val="52"/>
          <w:szCs w:val="52"/>
          <w:highlight w:val="none"/>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highlight w:val="none"/>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highlight w:val="none"/>
        </w:rPr>
      </w:pPr>
    </w:p>
    <w:p>
      <w:pPr>
        <w:jc w:val="center"/>
        <w:rPr>
          <w:rFonts w:ascii="宋体" w:hAnsi="宋体"/>
          <w:sz w:val="84"/>
          <w:szCs w:val="84"/>
          <w:highlight w:val="red"/>
        </w:rPr>
      </w:pPr>
      <w:r>
        <w:rPr>
          <w:rFonts w:hint="eastAsia" w:ascii="方正小标宋简体" w:hAnsi="方正小标宋简体" w:eastAsia="方正小标宋简体" w:cs="方正小标宋简体"/>
          <w:sz w:val="44"/>
          <w:szCs w:val="44"/>
          <w:highlight w:val="none"/>
          <w:lang w:val="en-US" w:eastAsia="zh-CN"/>
        </w:rPr>
        <w:t>中共新乡市卫滨区委区直机关工作委员会  2024年度部门预算</w:t>
      </w:r>
    </w:p>
    <w:p>
      <w:pPr>
        <w:kinsoku w:val="0"/>
        <w:overflowPunct w:val="0"/>
        <w:adjustRightInd w:val="0"/>
        <w:snapToGrid w:val="0"/>
        <w:spacing w:line="560" w:lineRule="exact"/>
        <w:ind w:left="-142" w:right="51" w:firstLine="58" w:firstLineChars="7"/>
        <w:jc w:val="center"/>
        <w:rPr>
          <w:rFonts w:hint="eastAsia"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jc w:val="center"/>
        <w:rPr>
          <w:rFonts w:hint="eastAsia" w:ascii="方正小标宋简体" w:hAnsi="方正小标宋简体" w:eastAsia="方正小标宋简体" w:cs="方正小标宋简体"/>
          <w:sz w:val="44"/>
          <w:szCs w:val="44"/>
          <w:highlight w:val="red"/>
          <w:lang w:val="en" w:eastAsia="zh-CN"/>
        </w:rPr>
      </w:pPr>
      <w:r>
        <w:rPr>
          <w:rFonts w:hint="eastAsia" w:ascii="方正小标宋简体" w:hAnsi="方正小标宋简体" w:eastAsia="方正小标宋简体" w:cs="方正小标宋简体"/>
          <w:sz w:val="44"/>
          <w:szCs w:val="44"/>
          <w:highlight w:val="none"/>
          <w:lang w:val="en" w:eastAsia="zh-CN"/>
        </w:rPr>
        <w:t>二〇二四年三月</w:t>
      </w: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highlight w:val="red"/>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r>
        <w:rPr>
          <w:rFonts w:hint="eastAsia" w:ascii="黑体" w:hAnsi="Times New Roman" w:eastAsia="黑体" w:cs="黑体"/>
          <w:sz w:val="56"/>
          <w:szCs w:val="56"/>
        </w:rPr>
        <w:t>目 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keepNext w:val="0"/>
        <w:keepLines w:val="0"/>
        <w:pageBreakBefore w:val="0"/>
        <w:widowControl w:val="0"/>
        <w:kinsoku w:val="0"/>
        <w:wordWrap/>
        <w:overflowPunct w:val="0"/>
        <w:topLinePunct w:val="0"/>
        <w:bidi w:val="0"/>
        <w:adjustRightInd w:val="0"/>
        <w:snapToGrid w:val="0"/>
        <w:spacing w:line="560" w:lineRule="exact"/>
        <w:ind w:firstLine="640" w:firstLineChars="200"/>
        <w:jc w:val="left"/>
        <w:textAlignment w:val="auto"/>
        <w:rPr>
          <w:rFonts w:hint="eastAsia" w:ascii="黑体" w:hAnsi="Times New Roman" w:eastAsia="黑体" w:cs="黑体"/>
          <w:sz w:val="32"/>
          <w:szCs w:val="32"/>
        </w:rPr>
      </w:pPr>
      <w:r>
        <w:rPr>
          <w:rFonts w:hint="eastAsia" w:ascii="黑体" w:hAnsi="黑体" w:eastAsia="黑体" w:cs="黑体"/>
          <w:sz w:val="32"/>
          <w:szCs w:val="32"/>
        </w:rPr>
        <w:t xml:space="preserve">第一部分 </w:t>
      </w:r>
      <w:r>
        <w:rPr>
          <w:rFonts w:hint="eastAsia" w:ascii="黑体" w:hAnsi="Times New Roman" w:eastAsia="黑体" w:cs="黑体"/>
          <w:sz w:val="32"/>
          <w:szCs w:val="32"/>
        </w:rPr>
        <w:t>中共新乡市卫滨区委区直机关工作委员会</w:t>
      </w:r>
    </w:p>
    <w:p>
      <w:pPr>
        <w:keepNext w:val="0"/>
        <w:keepLines w:val="0"/>
        <w:pageBreakBefore w:val="0"/>
        <w:widowControl w:val="0"/>
        <w:kinsoku w:val="0"/>
        <w:wordWrap/>
        <w:overflowPunct w:val="0"/>
        <w:topLinePunct w:val="0"/>
        <w:bidi w:val="0"/>
        <w:adjustRightInd w:val="0"/>
        <w:snapToGrid w:val="0"/>
        <w:spacing w:line="560" w:lineRule="exact"/>
        <w:jc w:val="left"/>
        <w:textAlignment w:val="auto"/>
        <w:rPr>
          <w:rFonts w:hint="eastAsia"/>
        </w:rPr>
      </w:pPr>
      <w:r>
        <w:rPr>
          <w:rFonts w:hint="eastAsia" w:ascii="黑体" w:hAnsi="黑体" w:eastAsia="黑体" w:cs="黑体"/>
          <w:sz w:val="32"/>
          <w:szCs w:val="32"/>
        </w:rPr>
        <w:t>单位概况</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一、主要职能</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ascii="仿宋_GB2312" w:hAnsi="Times New Roman" w:eastAsia="仿宋_GB2312" w:cs="仿宋_GB2312"/>
          <w:sz w:val="32"/>
          <w:szCs w:val="32"/>
        </w:rPr>
        <w:t>部门</w:t>
      </w:r>
      <w:r>
        <w:rPr>
          <w:rFonts w:hint="eastAsia" w:ascii="仿宋_GB2312" w:hAnsi="Times New Roman" w:eastAsia="仿宋_GB2312" w:cs="仿宋_GB2312"/>
          <w:sz w:val="32"/>
          <w:szCs w:val="32"/>
        </w:rPr>
        <w:t>所属</w:t>
      </w:r>
      <w:r>
        <w:rPr>
          <w:rFonts w:ascii="仿宋_GB2312" w:hAnsi="Times New Roman" w:eastAsia="仿宋_GB2312" w:cs="仿宋_GB2312"/>
          <w:sz w:val="32"/>
          <w:szCs w:val="32"/>
        </w:rPr>
        <w:t>预算单位</w:t>
      </w:r>
      <w:r>
        <w:rPr>
          <w:rFonts w:hint="eastAsia" w:ascii="仿宋_GB2312" w:hAnsi="Times New Roman" w:eastAsia="仿宋_GB2312" w:cs="仿宋_GB2312"/>
          <w:sz w:val="32"/>
          <w:szCs w:val="32"/>
        </w:rPr>
        <w:t>构成情况</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ascii="黑体" w:hAnsi="Times New Roman" w:eastAsia="黑体" w:cs="黑体"/>
          <w:w w:val="99"/>
          <w:sz w:val="32"/>
          <w:szCs w:val="32"/>
        </w:rPr>
      </w:pPr>
      <w:r>
        <w:rPr>
          <w:rFonts w:hint="eastAsia" w:ascii="黑体" w:hAnsi="Times New Roman" w:eastAsia="黑体" w:cs="黑体"/>
          <w:sz w:val="32"/>
          <w:szCs w:val="32"/>
        </w:rPr>
        <w:t xml:space="preserve">第二部分 </w:t>
      </w:r>
      <w:r>
        <w:rPr>
          <w:rFonts w:hint="eastAsia" w:ascii="黑体" w:hAnsi="黑体" w:eastAsia="黑体" w:cs="黑体"/>
          <w:sz w:val="32"/>
          <w:szCs w:val="32"/>
        </w:rPr>
        <w:t>中共新乡市卫滨区委区直机关工作委员会</w:t>
      </w:r>
      <w:r>
        <w:rPr>
          <w:rFonts w:ascii="黑体" w:hAnsi="Times New Roman" w:eastAsia="黑体" w:cs="黑体"/>
          <w:sz w:val="32"/>
          <w:szCs w:val="32"/>
        </w:rPr>
        <w:t>202</w:t>
      </w:r>
      <w:r>
        <w:rPr>
          <w:rFonts w:hint="eastAsia" w:ascii="黑体" w:hAnsi="Times New Roman" w:eastAsia="黑体" w:cs="黑体"/>
          <w:sz w:val="32"/>
          <w:szCs w:val="32"/>
          <w:lang w:val="en-US" w:eastAsia="zh-CN"/>
        </w:rPr>
        <w:t>4</w:t>
      </w:r>
      <w:r>
        <w:rPr>
          <w:rFonts w:hint="eastAsia" w:ascii="黑体" w:hAnsi="Times New Roman" w:eastAsia="黑体" w:cs="黑体"/>
          <w:sz w:val="32"/>
          <w:szCs w:val="32"/>
        </w:rPr>
        <w:t>年度部门预算情况说明</w:t>
      </w:r>
      <w:r>
        <w:rPr>
          <w:rFonts w:ascii="黑体" w:hAnsi="Times New Roman" w:eastAsia="黑体" w:cs="黑体"/>
          <w:w w:val="99"/>
          <w:sz w:val="32"/>
          <w:szCs w:val="32"/>
        </w:rPr>
        <w:t xml:space="preserve"> </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仿宋_GB2312" w:hAnsi="黑体" w:eastAsia="仿宋_GB2312"/>
          <w:sz w:val="32"/>
          <w:szCs w:val="32"/>
        </w:rPr>
        <w:t>一、收入支出预算总体情况说明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四、财政拨款收入支出预算总体情况说明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五、一般公共预算支出预算情况说明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仿宋_GB2312" w:hAnsi="Times New Roman" w:eastAsia="仿宋_GB2312" w:cs="黑体"/>
          <w:spacing w:val="-1"/>
          <w:kern w:val="0"/>
          <w:sz w:val="32"/>
          <w:szCs w:val="32"/>
        </w:rPr>
        <w:t>九、其他重要事项的情况说明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ascii="黑体" w:hAnsi="Times New Roman" w:eastAsia="黑体" w:cs="黑体"/>
          <w:sz w:val="32"/>
          <w:szCs w:val="32"/>
        </w:rPr>
      </w:pPr>
      <w:r>
        <w:rPr>
          <w:rFonts w:hint="eastAsia" w:ascii="黑体" w:hAnsi="Times New Roman" w:eastAsia="黑体" w:cs="黑体"/>
          <w:sz w:val="32"/>
          <w:szCs w:val="32"/>
        </w:rPr>
        <w:t xml:space="preserve">第三部分 </w:t>
      </w:r>
      <w:r>
        <w:rPr>
          <w:rFonts w:ascii="黑体" w:hAnsi="Times New Roman" w:eastAsia="黑体" w:cs="黑体"/>
          <w:spacing w:val="-32"/>
          <w:sz w:val="32"/>
          <w:szCs w:val="32"/>
        </w:rPr>
        <w:t xml:space="preserve"> </w:t>
      </w:r>
      <w:r>
        <w:rPr>
          <w:rFonts w:hint="eastAsia" w:ascii="黑体" w:hAnsi="Times New Roman" w:eastAsia="黑体" w:cs="黑体"/>
          <w:sz w:val="32"/>
          <w:szCs w:val="32"/>
        </w:rPr>
        <w:t>名词解释</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r>
        <w:rPr>
          <w:rFonts w:hint="eastAsia" w:ascii="黑体" w:hAnsi="Times New Roman" w:eastAsia="黑体" w:cs="黑体"/>
          <w:sz w:val="32"/>
          <w:szCs w:val="32"/>
        </w:rPr>
        <w:t>附件：中共新乡市卫滨区委区直机关工作委员会</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w:t>
      </w:r>
      <w:r>
        <w:rPr>
          <w:rFonts w:hint="default" w:ascii="Times New Roman" w:hAnsi="Times New Roman" w:eastAsia="仿宋_GB2312" w:cs="Times New Roman"/>
          <w:sz w:val="32"/>
          <w:szCs w:val="32"/>
          <w:lang w:val="en-US" w:eastAsia="zh-CN"/>
        </w:rPr>
        <w:t>2024年部门收支总体情况表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年部门收入</w:t>
      </w:r>
      <w:r>
        <w:rPr>
          <w:rFonts w:hint="default" w:ascii="Times New Roman" w:hAnsi="Times New Roman" w:eastAsia="仿宋_GB2312" w:cs="Times New Roman"/>
          <w:sz w:val="32"/>
          <w:szCs w:val="32"/>
          <w:lang w:val="en-US" w:eastAsia="zh-CN"/>
        </w:rPr>
        <w:t>总体情况</w:t>
      </w:r>
      <w:r>
        <w:rPr>
          <w:rFonts w:hint="default" w:ascii="Times New Roman" w:hAnsi="Times New Roman" w:eastAsia="仿宋_GB2312" w:cs="Times New Roman"/>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年部门支出</w:t>
      </w:r>
      <w:r>
        <w:rPr>
          <w:rFonts w:hint="default" w:ascii="Times New Roman" w:hAnsi="Times New Roman" w:eastAsia="仿宋_GB2312" w:cs="Times New Roman"/>
          <w:sz w:val="32"/>
          <w:szCs w:val="32"/>
          <w:lang w:val="en-US" w:eastAsia="zh-CN"/>
        </w:rPr>
        <w:t>总体情况</w:t>
      </w:r>
      <w:r>
        <w:rPr>
          <w:rFonts w:hint="default" w:ascii="Times New Roman" w:hAnsi="Times New Roman" w:eastAsia="仿宋_GB2312" w:cs="Times New Roman"/>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年财政拨款收支总体情况表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年一般公共预算支出</w:t>
      </w:r>
      <w:r>
        <w:rPr>
          <w:rFonts w:hint="default" w:ascii="Times New Roman" w:hAnsi="Times New Roman" w:eastAsia="仿宋_GB2312" w:cs="Times New Roman"/>
          <w:sz w:val="32"/>
          <w:szCs w:val="32"/>
          <w:lang w:val="en-US" w:eastAsia="zh-CN"/>
        </w:rPr>
        <w:t>情况</w:t>
      </w:r>
      <w:r>
        <w:rPr>
          <w:rFonts w:hint="default" w:ascii="Times New Roman" w:hAnsi="Times New Roman" w:eastAsia="仿宋_GB2312" w:cs="Times New Roman"/>
          <w:sz w:val="32"/>
          <w:szCs w:val="32"/>
        </w:rPr>
        <w:t>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2024年</w:t>
      </w:r>
      <w:r>
        <w:rPr>
          <w:rFonts w:hint="default" w:ascii="Times New Roman" w:hAnsi="Times New Roman" w:eastAsia="仿宋_GB2312" w:cs="Times New Roman"/>
          <w:sz w:val="32"/>
          <w:szCs w:val="32"/>
        </w:rPr>
        <w:t>一般公共预算基本支出表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年支出经济分类汇总表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八、202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年一般公共预算“三公”经费</w:t>
      </w:r>
      <w:r>
        <w:rPr>
          <w:rFonts w:hint="default" w:ascii="Times New Roman" w:hAnsi="Times New Roman" w:eastAsia="仿宋_GB2312" w:cs="Times New Roman"/>
          <w:sz w:val="32"/>
          <w:szCs w:val="32"/>
          <w:lang w:eastAsia="zh-CN"/>
        </w:rPr>
        <w:t>支出情况</w:t>
      </w:r>
      <w:r>
        <w:rPr>
          <w:rFonts w:hint="default" w:ascii="Times New Roman" w:hAnsi="Times New Roman" w:eastAsia="仿宋_GB2312" w:cs="Times New Roman"/>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九、202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年政府性基金预算支出情况表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十、</w:t>
      </w:r>
      <w:r>
        <w:rPr>
          <w:rFonts w:hint="default" w:ascii="Times New Roman" w:hAnsi="Times New Roman" w:eastAsia="仿宋_GB2312" w:cs="Times New Roman"/>
          <w:sz w:val="32"/>
          <w:szCs w:val="32"/>
          <w:highlight w:val="none"/>
          <w:lang w:val="en-US" w:eastAsia="zh-CN"/>
        </w:rPr>
        <w:t>2024年</w:t>
      </w:r>
      <w:r>
        <w:rPr>
          <w:rFonts w:hint="default" w:ascii="Times New Roman" w:hAnsi="Times New Roman" w:eastAsia="仿宋_GB2312" w:cs="Times New Roman"/>
          <w:sz w:val="32"/>
          <w:szCs w:val="32"/>
          <w:highlight w:val="none"/>
          <w:lang w:eastAsia="zh-CN"/>
        </w:rPr>
        <w:t>项目支出表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十一、部门整体绩效目标表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red"/>
        </w:rPr>
      </w:pPr>
      <w:r>
        <w:rPr>
          <w:rFonts w:hint="default" w:ascii="Times New Roman" w:hAnsi="Times New Roman" w:eastAsia="仿宋_GB2312" w:cs="Times New Roman"/>
          <w:sz w:val="32"/>
          <w:szCs w:val="32"/>
          <w:highlight w:val="none"/>
        </w:rPr>
        <w:t>十二、202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年部门预算项目绩效目标汇总表</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中共新乡市卫滨区委区直机关工作委员会单位概况</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numPr>
          <w:ilvl w:val="0"/>
          <w:numId w:val="2"/>
        </w:numPr>
        <w:wordWrap/>
        <w:topLinePunct w:val="0"/>
        <w:bidi w:val="0"/>
        <w:adjustRightInd w:val="0"/>
        <w:snapToGrid w:val="0"/>
        <w:spacing w:line="360" w:lineRule="auto"/>
        <w:textAlignment w:val="auto"/>
        <w:rPr>
          <w:rFonts w:hint="eastAsia" w:ascii="黑体" w:hAnsi="黑体" w:eastAsia="黑体"/>
          <w:sz w:val="32"/>
          <w:szCs w:val="32"/>
        </w:rPr>
      </w:pPr>
      <w:r>
        <w:rPr>
          <w:rFonts w:hint="eastAsia" w:ascii="黑体" w:hAnsi="黑体" w:eastAsia="黑体" w:cs="黑体"/>
          <w:sz w:val="32"/>
          <w:szCs w:val="32"/>
        </w:rPr>
        <w:t>中共新乡市卫滨区委区直机关工作委员会单位</w:t>
      </w:r>
      <w:r>
        <w:rPr>
          <w:rFonts w:hint="eastAsia" w:ascii="黑体" w:hAnsi="黑体" w:eastAsia="黑体"/>
          <w:sz w:val="32"/>
          <w:szCs w:val="32"/>
        </w:rPr>
        <w:t>主要职责</w:t>
      </w:r>
    </w:p>
    <w:p>
      <w:pPr>
        <w:keepNext w:val="0"/>
        <w:keepLines w:val="0"/>
        <w:pageBreakBefore w:val="0"/>
        <w:widowControl w:val="0"/>
        <w:wordWrap/>
        <w:topLinePunct w:val="0"/>
        <w:bidi w:val="0"/>
        <w:spacing w:line="560" w:lineRule="exact"/>
        <w:ind w:firstLine="640" w:firstLineChars="200"/>
        <w:textAlignment w:val="auto"/>
        <w:rPr>
          <w:rFonts w:hint="eastAsia" w:ascii="仿宋_GB2312" w:eastAsia="仿宋_GB2312"/>
          <w:sz w:val="32"/>
          <w:szCs w:val="32"/>
        </w:rPr>
      </w:pPr>
      <w:r>
        <w:rPr>
          <w:rFonts w:hint="eastAsia" w:ascii="楷体_GB2312" w:hAnsi="楷体_GB2312" w:eastAsia="楷体_GB2312" w:cs="楷体_GB2312"/>
          <w:sz w:val="32"/>
          <w:szCs w:val="32"/>
        </w:rPr>
        <w:t>（一）统一组织、规划、部署区直机关党的工作。</w:t>
      </w:r>
      <w:r>
        <w:rPr>
          <w:rFonts w:hint="eastAsia" w:ascii="仿宋_GB2312" w:eastAsia="仿宋_GB2312"/>
          <w:sz w:val="32"/>
          <w:szCs w:val="32"/>
        </w:rPr>
        <w:t>提出加强和改进机关党的建设的意见和建议，研究制定工作规划，并抓好组织实施。</w:t>
      </w:r>
    </w:p>
    <w:p>
      <w:pPr>
        <w:keepNext w:val="0"/>
        <w:keepLines w:val="0"/>
        <w:pageBreakBefore w:val="0"/>
        <w:widowControl w:val="0"/>
        <w:wordWrap/>
        <w:topLinePunct w:val="0"/>
        <w:bidi w:val="0"/>
        <w:spacing w:line="560" w:lineRule="exact"/>
        <w:ind w:firstLine="640" w:firstLineChars="200"/>
        <w:textAlignment w:val="auto"/>
        <w:rPr>
          <w:rFonts w:hint="eastAsia" w:ascii="仿宋_GB2312" w:eastAsia="仿宋_GB2312"/>
          <w:sz w:val="32"/>
          <w:szCs w:val="32"/>
        </w:rPr>
      </w:pPr>
      <w:r>
        <w:rPr>
          <w:rFonts w:hint="eastAsia" w:ascii="楷体_GB2312" w:hAnsi="楷体_GB2312" w:eastAsia="楷体_GB2312" w:cs="楷体_GB2312"/>
          <w:sz w:val="32"/>
          <w:szCs w:val="32"/>
        </w:rPr>
        <w:t>（二）指导区直机关党的政治建设、思想建设、组织建设、作风建设、纪律建设。</w:t>
      </w:r>
      <w:r>
        <w:rPr>
          <w:rFonts w:hint="eastAsia" w:ascii="仿宋_GB2312" w:eastAsia="仿宋_GB2312"/>
          <w:sz w:val="32"/>
          <w:szCs w:val="32"/>
        </w:rPr>
        <w:t>把制度建设贯穿其中，深入推进反腐败斗争。</w:t>
      </w:r>
    </w:p>
    <w:p>
      <w:pPr>
        <w:keepNext w:val="0"/>
        <w:keepLines w:val="0"/>
        <w:pageBreakBefore w:val="0"/>
        <w:widowControl w:val="0"/>
        <w:wordWrap/>
        <w:topLinePunct w:val="0"/>
        <w:bidi w:val="0"/>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（三）指导区直机关各级党组织和广大党员学习马克思列宁主义、毛泽东思想、邓小平理论、“三个代表”重要思想、科学发展观、习近平新时代中国特色社会主义思想。</w:t>
      </w:r>
    </w:p>
    <w:p>
      <w:pPr>
        <w:keepNext w:val="0"/>
        <w:keepLines w:val="0"/>
        <w:pageBreakBefore w:val="0"/>
        <w:widowControl w:val="0"/>
        <w:wordWrap/>
        <w:topLinePunct w:val="0"/>
        <w:bidi w:val="0"/>
        <w:spacing w:line="560" w:lineRule="exact"/>
        <w:ind w:firstLine="640" w:firstLineChars="200"/>
        <w:textAlignment w:val="auto"/>
        <w:rPr>
          <w:rFonts w:hint="eastAsia" w:ascii="仿宋_GB2312" w:eastAsia="仿宋_GB2312"/>
          <w:sz w:val="32"/>
          <w:szCs w:val="32"/>
        </w:rPr>
      </w:pPr>
      <w:r>
        <w:rPr>
          <w:rFonts w:hint="eastAsia" w:ascii="楷体_GB2312" w:hAnsi="楷体_GB2312" w:eastAsia="楷体_GB2312" w:cs="楷体_GB2312"/>
          <w:sz w:val="32"/>
          <w:szCs w:val="32"/>
        </w:rPr>
        <w:t>（四）对区直机关各级党组织、党员领导干部落实党建责任制、遵守政治纪律和政治规矩情况进行监督检查。</w:t>
      </w:r>
      <w:r>
        <w:rPr>
          <w:rFonts w:hint="eastAsia" w:ascii="仿宋_GB2312" w:eastAsia="仿宋_GB2312"/>
          <w:sz w:val="32"/>
          <w:szCs w:val="32"/>
        </w:rPr>
        <w:t>并向区委报告。</w:t>
      </w:r>
    </w:p>
    <w:p>
      <w:pPr>
        <w:keepNext w:val="0"/>
        <w:keepLines w:val="0"/>
        <w:pageBreakBefore w:val="0"/>
        <w:widowControl w:val="0"/>
        <w:wordWrap/>
        <w:topLinePunct w:val="0"/>
        <w:bidi w:val="0"/>
        <w:spacing w:line="560" w:lineRule="exact"/>
        <w:ind w:firstLine="640" w:firstLineChars="200"/>
        <w:textAlignment w:val="auto"/>
        <w:rPr>
          <w:rFonts w:hint="eastAsia" w:ascii="仿宋_GB2312" w:eastAsia="仿宋_GB2312"/>
          <w:sz w:val="32"/>
          <w:szCs w:val="32"/>
        </w:rPr>
      </w:pPr>
      <w:r>
        <w:rPr>
          <w:rFonts w:hint="eastAsia" w:ascii="楷体_GB2312" w:hAnsi="楷体_GB2312" w:eastAsia="楷体_GB2312" w:cs="楷体_GB2312"/>
          <w:sz w:val="32"/>
          <w:szCs w:val="32"/>
        </w:rPr>
        <w:t>（五）指导区直机关各级党组织实施对党员特别是党员领导干部的监督和管理。</w:t>
      </w:r>
      <w:r>
        <w:rPr>
          <w:rFonts w:hint="eastAsia" w:ascii="仿宋_GB2312" w:eastAsia="仿宋_GB2312"/>
          <w:sz w:val="32"/>
          <w:szCs w:val="32"/>
        </w:rPr>
        <w:t>及时向区委反映各部门领导班子、领导干部的情况。</w:t>
      </w:r>
    </w:p>
    <w:p>
      <w:pPr>
        <w:keepNext w:val="0"/>
        <w:keepLines w:val="0"/>
        <w:pageBreakBefore w:val="0"/>
        <w:widowControl w:val="0"/>
        <w:wordWrap/>
        <w:topLinePunct w:val="0"/>
        <w:bidi w:val="0"/>
        <w:spacing w:line="560" w:lineRule="exact"/>
        <w:ind w:firstLine="640" w:firstLineChars="200"/>
        <w:textAlignment w:val="auto"/>
        <w:rPr>
          <w:rFonts w:hint="eastAsia" w:ascii="仿宋_GB2312" w:eastAsia="仿宋_GB2312"/>
          <w:sz w:val="32"/>
          <w:szCs w:val="32"/>
        </w:rPr>
      </w:pPr>
      <w:r>
        <w:rPr>
          <w:rFonts w:hint="eastAsia" w:ascii="楷体_GB2312" w:hAnsi="楷体_GB2312" w:eastAsia="楷体_GB2312" w:cs="楷体_GB2312"/>
          <w:sz w:val="32"/>
          <w:szCs w:val="32"/>
        </w:rPr>
        <w:t>（六）配合区委有关部门抓好区直机关各部门领导班子思想政治建设。</w:t>
      </w:r>
      <w:r>
        <w:rPr>
          <w:rFonts w:hint="eastAsia" w:ascii="仿宋_GB2312" w:eastAsia="仿宋_GB2312"/>
          <w:sz w:val="32"/>
          <w:szCs w:val="32"/>
        </w:rPr>
        <w:t>参与对党员领导干部民主生活会和区直机关各部门党组（党委）理论学习中心组学习的督促检查和指导，了解掌握情况，按规定报送情况报告。</w:t>
      </w:r>
    </w:p>
    <w:p>
      <w:pPr>
        <w:keepNext w:val="0"/>
        <w:keepLines w:val="0"/>
        <w:pageBreakBefore w:val="0"/>
        <w:widowControl w:val="0"/>
        <w:wordWrap/>
        <w:topLinePunct w:val="0"/>
        <w:bidi w:val="0"/>
        <w:spacing w:line="560" w:lineRule="exact"/>
        <w:ind w:firstLine="640" w:firstLineChars="200"/>
        <w:textAlignment w:val="auto"/>
        <w:rPr>
          <w:rFonts w:hint="eastAsia" w:ascii="仿宋_GB2312" w:eastAsia="仿宋_GB2312"/>
          <w:sz w:val="32"/>
          <w:szCs w:val="32"/>
        </w:rPr>
      </w:pPr>
      <w:r>
        <w:rPr>
          <w:rFonts w:hint="eastAsia" w:ascii="楷体_GB2312" w:hAnsi="楷体_GB2312" w:eastAsia="楷体_GB2312" w:cs="楷体_GB2312"/>
          <w:sz w:val="32"/>
          <w:szCs w:val="32"/>
        </w:rPr>
        <w:t>（七）督促指导区直机关各部门机关党委（总支、支部）按期换届，审批关于召开党员大会和党员代表大会的请示。</w:t>
      </w:r>
      <w:r>
        <w:rPr>
          <w:rFonts w:hint="eastAsia" w:ascii="仿宋_GB2312" w:eastAsia="仿宋_GB2312"/>
          <w:sz w:val="32"/>
          <w:szCs w:val="32"/>
        </w:rPr>
        <w:t>审批区直机关各部门机关党委（总支、支部）和机关纪委领导班子的组成及书记、副书记的任免。</w:t>
      </w:r>
    </w:p>
    <w:p>
      <w:pPr>
        <w:keepNext w:val="0"/>
        <w:keepLines w:val="0"/>
        <w:pageBreakBefore w:val="0"/>
        <w:widowControl w:val="0"/>
        <w:wordWrap/>
        <w:topLinePunct w:val="0"/>
        <w:bidi w:val="0"/>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（八）指导区直机关各级党组织加强机关党的基层组织建设。</w:t>
      </w:r>
      <w:r>
        <w:rPr>
          <w:rFonts w:hint="eastAsia" w:ascii="仿宋_GB2312" w:eastAsia="仿宋_GB2312"/>
          <w:sz w:val="32"/>
          <w:szCs w:val="32"/>
        </w:rPr>
        <w:t>做好党员发展、教育和管理等工作。</w:t>
      </w:r>
    </w:p>
    <w:p>
      <w:pPr>
        <w:keepNext w:val="0"/>
        <w:keepLines w:val="0"/>
        <w:pageBreakBefore w:val="0"/>
        <w:widowControl w:val="0"/>
        <w:wordWrap/>
        <w:topLinePunct w:val="0"/>
        <w:bidi w:val="0"/>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（九）领导区直机关各部门机关党的纪律检查工作。</w:t>
      </w:r>
    </w:p>
    <w:p>
      <w:pPr>
        <w:keepNext w:val="0"/>
        <w:keepLines w:val="0"/>
        <w:pageBreakBefore w:val="0"/>
        <w:widowControl w:val="0"/>
        <w:wordWrap/>
        <w:topLinePunct w:val="0"/>
        <w:bidi w:val="0"/>
        <w:spacing w:line="560" w:lineRule="exact"/>
        <w:ind w:firstLine="640" w:firstLineChars="200"/>
        <w:textAlignment w:val="auto"/>
        <w:rPr>
          <w:rFonts w:hint="eastAsia" w:ascii="仿宋_GB2312" w:eastAsia="仿宋_GB2312"/>
          <w:sz w:val="32"/>
          <w:szCs w:val="32"/>
        </w:rPr>
      </w:pPr>
      <w:r>
        <w:rPr>
          <w:rFonts w:hint="eastAsia" w:ascii="楷体_GB2312" w:hAnsi="楷体_GB2312" w:eastAsia="楷体_GB2312" w:cs="楷体_GB2312"/>
          <w:sz w:val="32"/>
          <w:szCs w:val="32"/>
        </w:rPr>
        <w:t>（十）了解掌握区直机关工作人员的思想状况。</w:t>
      </w:r>
      <w:r>
        <w:rPr>
          <w:rFonts w:hint="eastAsia" w:ascii="仿宋_GB2312" w:eastAsia="仿宋_GB2312"/>
          <w:sz w:val="32"/>
          <w:szCs w:val="32"/>
        </w:rPr>
        <w:t>指导区直机关各级党组织加强思想政治工作和精神文明建设。</w:t>
      </w:r>
    </w:p>
    <w:p>
      <w:pPr>
        <w:keepNext w:val="0"/>
        <w:keepLines w:val="0"/>
        <w:pageBreakBefore w:val="0"/>
        <w:widowControl w:val="0"/>
        <w:wordWrap/>
        <w:topLinePunct w:val="0"/>
        <w:bidi w:val="0"/>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（十一）指导区直机关加强党建信息化建设。</w:t>
      </w:r>
    </w:p>
    <w:p>
      <w:pPr>
        <w:keepNext w:val="0"/>
        <w:keepLines w:val="0"/>
        <w:pageBreakBefore w:val="0"/>
        <w:widowControl w:val="0"/>
        <w:wordWrap/>
        <w:topLinePunct w:val="0"/>
        <w:bidi w:val="0"/>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（十二）完成区委交办的其他任务。</w:t>
      </w:r>
    </w:p>
    <w:p>
      <w:pPr>
        <w:pStyle w:val="7"/>
        <w:keepNext w:val="0"/>
        <w:keepLines w:val="0"/>
        <w:pageBreakBefore w:val="0"/>
        <w:widowControl w:val="0"/>
        <w:wordWrap/>
        <w:topLinePunct w:val="0"/>
        <w:bidi w:val="0"/>
        <w:spacing w:line="360" w:lineRule="auto"/>
        <w:ind w:firstLine="640" w:firstLineChars="200"/>
        <w:jc w:val="both"/>
        <w:textAlignment w:val="auto"/>
        <w:rPr>
          <w:rFonts w:hint="eastAsia" w:ascii="黑体" w:hAnsi="黑体" w:eastAsia="黑体" w:cs="黑体"/>
          <w:sz w:val="32"/>
          <w:szCs w:val="32"/>
          <w:highlight w:val="red"/>
          <w:lang w:eastAsia="zh-CN"/>
        </w:rPr>
      </w:pPr>
      <w:r>
        <w:rPr>
          <w:rFonts w:hint="eastAsia" w:ascii="仿宋_GB2312" w:hAnsi="宋体" w:eastAsia="仿宋_GB2312" w:cs="Courier New"/>
          <w:sz w:val="32"/>
          <w:szCs w:val="32"/>
        </w:rPr>
        <w:t xml:space="preserve"> </w:t>
      </w:r>
      <w:r>
        <w:rPr>
          <w:rFonts w:hint="eastAsia" w:ascii="黑体" w:hAnsi="黑体" w:eastAsia="黑体" w:cs="黑体"/>
          <w:sz w:val="32"/>
          <w:szCs w:val="32"/>
          <w:highlight w:val="none"/>
          <w:lang w:eastAsia="zh-CN"/>
        </w:rPr>
        <w:t>二、</w:t>
      </w:r>
      <w:r>
        <w:rPr>
          <w:rFonts w:hint="eastAsia" w:ascii="黑体" w:hAnsi="黑体" w:eastAsia="黑体" w:cs="黑体"/>
          <w:sz w:val="32"/>
          <w:szCs w:val="32"/>
        </w:rPr>
        <w:t>中共新乡市卫滨区委区直机关工作委员会</w:t>
      </w:r>
      <w:r>
        <w:rPr>
          <w:rFonts w:hint="eastAsia" w:ascii="黑体" w:hAnsi="黑体" w:eastAsia="黑体"/>
          <w:sz w:val="32"/>
          <w:szCs w:val="32"/>
          <w:highlight w:val="none"/>
        </w:rPr>
        <w:t>单位构成</w:t>
      </w:r>
    </w:p>
    <w:p>
      <w:pPr>
        <w:keepNext w:val="0"/>
        <w:keepLines w:val="0"/>
        <w:pageBreakBefore w:val="0"/>
        <w:widowControl w:val="0"/>
        <w:wordWrap/>
        <w:topLinePunct w:val="0"/>
        <w:bidi w:val="0"/>
        <w:spacing w:line="56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中共新乡市卫滨区委区直机关工作委员会202</w:t>
      </w: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rPr>
        <w:t>年度部门预算包括局本级预算。</w:t>
      </w:r>
    </w:p>
    <w:p>
      <w:pPr>
        <w:keepNext w:val="0"/>
        <w:keepLines w:val="0"/>
        <w:pageBreakBefore w:val="0"/>
        <w:widowControl w:val="0"/>
        <w:wordWrap/>
        <w:topLinePunct w:val="0"/>
        <w:bidi w:val="0"/>
        <w:spacing w:line="56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中共新乡市卫滨区委区直机关工作委员会设下列内设机构：综合办公室（组织宣传室、党建督查室）</w:t>
      </w:r>
    </w:p>
    <w:p>
      <w:pPr>
        <w:keepNext w:val="0"/>
        <w:keepLines w:val="0"/>
        <w:pageBreakBefore w:val="0"/>
        <w:widowControl w:val="0"/>
        <w:wordWrap/>
        <w:topLinePunct w:val="0"/>
        <w:bidi w:val="0"/>
        <w:spacing w:line="56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纳入本部门202</w:t>
      </w: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rPr>
        <w:t>年度部门预算编制范围的单位共一个：中共新乡市卫滨区委区直机关工作委员会本级，无二级预算单位。</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keepNext w:val="0"/>
        <w:keepLines w:val="0"/>
        <w:pageBreakBefore w:val="0"/>
        <w:widowControl w:val="0"/>
        <w:wordWrap/>
        <w:topLinePunct w:val="0"/>
        <w:bidi w:val="0"/>
        <w:adjustRightInd w:val="0"/>
        <w:snapToGrid w:val="0"/>
        <w:spacing w:line="360" w:lineRule="auto"/>
        <w:ind w:firstLine="720" w:firstLineChars="20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中共新乡市卫滨区委区直机关工作委员会</w:t>
      </w:r>
      <w:r>
        <w:rPr>
          <w:rFonts w:hint="eastAsia" w:ascii="方正小标宋简体" w:hAnsi="方正小标宋简体" w:eastAsia="方正小标宋简体" w:cs="方正小标宋简体"/>
          <w:sz w:val="36"/>
          <w:szCs w:val="36"/>
          <w:lang w:val="en-US" w:eastAsia="zh-CN"/>
        </w:rPr>
        <w:t>单位</w:t>
      </w:r>
      <w:r>
        <w:rPr>
          <w:rFonts w:hint="eastAsia" w:ascii="方正小标宋简体" w:hAnsi="方正小标宋简体" w:eastAsia="方正小标宋简体" w:cs="方正小标宋简体"/>
          <w:sz w:val="36"/>
          <w:szCs w:val="36"/>
        </w:rPr>
        <w:t>预算情况说明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黑体" w:hAnsi="黑体" w:eastAsia="黑体"/>
          <w:sz w:val="32"/>
          <w:szCs w:val="32"/>
        </w:rPr>
      </w:pPr>
      <w:r>
        <w:rPr>
          <w:rFonts w:hint="eastAsia" w:ascii="黑体" w:hAnsi="黑体" w:eastAsia="黑体"/>
          <w:sz w:val="32"/>
          <w:szCs w:val="32"/>
        </w:rPr>
        <w:t>一、收入支出预算总体情况说明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仿宋_GB2312" w:eastAsia="仿宋_GB2312" w:cs="仿宋_GB2312"/>
          <w:sz w:val="32"/>
          <w:szCs w:val="32"/>
        </w:rPr>
        <w:t>中共新乡市卫滨区委区直机关工作委员会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年收入总计</w:t>
      </w:r>
      <w:r>
        <w:rPr>
          <w:rFonts w:hint="eastAsia" w:ascii="Times New Roman" w:hAnsi="Times New Roman" w:eastAsia="仿宋_GB2312" w:cs="Times New Roman"/>
          <w:sz w:val="32"/>
          <w:szCs w:val="32"/>
          <w:lang w:val="en-US" w:eastAsia="zh-CN"/>
        </w:rPr>
        <w:t>55.50</w:t>
      </w:r>
      <w:r>
        <w:rPr>
          <w:rFonts w:hint="eastAsia" w:ascii="仿宋_GB2312" w:hAnsi="仿宋_GB2312" w:eastAsia="仿宋_GB2312" w:cs="仿宋_GB2312"/>
          <w:sz w:val="32"/>
          <w:szCs w:val="32"/>
        </w:rPr>
        <w:t>万元，支出总计</w:t>
      </w:r>
      <w:r>
        <w:rPr>
          <w:rFonts w:hint="eastAsia" w:ascii="Times New Roman" w:hAnsi="Times New Roman" w:eastAsia="仿宋_GB2312" w:cs="Times New Roman"/>
          <w:sz w:val="32"/>
          <w:szCs w:val="32"/>
          <w:lang w:val="en-US" w:eastAsia="zh-CN"/>
        </w:rPr>
        <w:t>55.50</w:t>
      </w:r>
      <w:r>
        <w:rPr>
          <w:rFonts w:hint="eastAsia" w:ascii="仿宋_GB2312" w:hAnsi="仿宋_GB2312" w:eastAsia="仿宋_GB2312" w:cs="仿宋_GB2312"/>
          <w:sz w:val="32"/>
          <w:szCs w:val="32"/>
        </w:rPr>
        <w:t>万，与</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预算</w:t>
      </w:r>
      <w:r>
        <w:rPr>
          <w:rFonts w:hint="eastAsia" w:ascii="仿宋_GB2312" w:hAnsi="仿宋_GB2312" w:eastAsia="仿宋_GB2312" w:cs="仿宋_GB2312"/>
          <w:sz w:val="32"/>
          <w:szCs w:val="32"/>
        </w:rPr>
        <w:t>相比，收</w:t>
      </w:r>
      <w:r>
        <w:rPr>
          <w:rFonts w:hint="eastAsia" w:ascii="仿宋_GB2312" w:hAnsi="仿宋_GB2312" w:eastAsia="仿宋_GB2312" w:cs="仿宋_GB2312"/>
          <w:sz w:val="32"/>
          <w:szCs w:val="32"/>
          <w:lang w:eastAsia="zh-CN"/>
        </w:rPr>
        <w:t>入</w:t>
      </w:r>
      <w:r>
        <w:rPr>
          <w:rFonts w:hint="eastAsia" w:ascii="仿宋_GB2312" w:hAnsi="仿宋_GB2312" w:eastAsia="仿宋_GB2312" w:cs="仿宋_GB2312"/>
          <w:sz w:val="32"/>
          <w:szCs w:val="32"/>
        </w:rPr>
        <w:t>减少</w:t>
      </w:r>
      <w:r>
        <w:rPr>
          <w:rFonts w:hint="eastAsia" w:ascii="Times New Roman" w:hAnsi="Times New Roman" w:eastAsia="仿宋_GB2312" w:cs="Times New Roman"/>
          <w:sz w:val="32"/>
          <w:szCs w:val="32"/>
          <w:lang w:val="en-US" w:eastAsia="zh-CN"/>
        </w:rPr>
        <w:t>17.30</w:t>
      </w:r>
      <w:r>
        <w:rPr>
          <w:rFonts w:hint="eastAsia" w:ascii="仿宋_GB2312" w:hAnsi="仿宋_GB2312" w:eastAsia="仿宋_GB2312" w:cs="仿宋_GB2312"/>
          <w:sz w:val="32"/>
          <w:szCs w:val="32"/>
        </w:rPr>
        <w:t>万元，下降</w:t>
      </w:r>
      <w:r>
        <w:rPr>
          <w:rFonts w:hint="eastAsia" w:ascii="Times New Roman" w:hAnsi="Times New Roman" w:eastAsia="仿宋_GB2312" w:cs="Times New Roman"/>
          <w:sz w:val="32"/>
          <w:szCs w:val="32"/>
          <w:lang w:val="en-US" w:eastAsia="zh-CN"/>
        </w:rPr>
        <w:t>23.76</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eastAsia="zh-CN"/>
        </w:rPr>
        <w:t>人员变动和经费压缩</w:t>
      </w:r>
      <w:r>
        <w:rPr>
          <w:rFonts w:hint="eastAsia" w:ascii="仿宋_GB2312" w:hAnsi="仿宋_GB2312" w:eastAsia="仿宋_GB2312" w:cs="仿宋_GB2312"/>
          <w:sz w:val="32"/>
          <w:szCs w:val="32"/>
          <w:lang w:val="en-US" w:eastAsia="zh-CN"/>
        </w:rPr>
        <w:t>;支出</w:t>
      </w:r>
      <w:r>
        <w:rPr>
          <w:rFonts w:hint="eastAsia" w:ascii="仿宋_GB2312" w:hAnsi="仿宋_GB2312" w:eastAsia="仿宋_GB2312" w:cs="仿宋_GB2312"/>
          <w:sz w:val="32"/>
          <w:szCs w:val="32"/>
        </w:rPr>
        <w:t>减少</w:t>
      </w:r>
      <w:r>
        <w:rPr>
          <w:rFonts w:hint="eastAsia" w:ascii="Times New Roman" w:hAnsi="Times New Roman" w:eastAsia="仿宋_GB2312" w:cs="Times New Roman"/>
          <w:sz w:val="32"/>
          <w:szCs w:val="32"/>
          <w:lang w:val="en-US" w:eastAsia="zh-CN"/>
        </w:rPr>
        <w:t>17.30</w:t>
      </w:r>
      <w:r>
        <w:rPr>
          <w:rFonts w:hint="eastAsia" w:ascii="仿宋_GB2312" w:hAnsi="仿宋_GB2312" w:eastAsia="仿宋_GB2312" w:cs="仿宋_GB2312"/>
          <w:sz w:val="32"/>
          <w:szCs w:val="32"/>
        </w:rPr>
        <w:t>万元，下降</w:t>
      </w:r>
      <w:r>
        <w:rPr>
          <w:rFonts w:hint="eastAsia" w:ascii="Times New Roman" w:hAnsi="Times New Roman" w:eastAsia="仿宋_GB2312" w:cs="Times New Roman"/>
          <w:sz w:val="32"/>
          <w:szCs w:val="32"/>
          <w:lang w:val="en-US" w:eastAsia="zh-CN"/>
        </w:rPr>
        <w:t>23.76</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eastAsia="zh-CN"/>
        </w:rPr>
        <w:t>人员变动和经费压缩</w:t>
      </w:r>
      <w:r>
        <w:rPr>
          <w:rFonts w:hint="eastAsia" w:ascii="仿宋_GB2312" w:hAnsi="宋体" w:eastAsia="仿宋_GB2312" w:cs="Courier New"/>
          <w:sz w:val="32"/>
          <w:szCs w:val="32"/>
        </w:rPr>
        <w:t>。</w:t>
      </w:r>
    </w:p>
    <w:p>
      <w:pPr>
        <w:keepNext w:val="0"/>
        <w:keepLines w:val="0"/>
        <w:pageBreakBefore w:val="0"/>
        <w:widowControl w:val="0"/>
        <w:wordWrap/>
        <w:topLinePunct w:val="0"/>
        <w:bidi w:val="0"/>
        <w:spacing w:line="360" w:lineRule="auto"/>
        <w:ind w:firstLine="640" w:firstLineChars="200"/>
        <w:textAlignment w:val="auto"/>
        <w:rPr>
          <w:rFonts w:ascii="黑体" w:hAnsi="黑体" w:eastAsia="黑体"/>
          <w:sz w:val="32"/>
          <w:szCs w:val="32"/>
          <w:highlight w:val="none"/>
        </w:rPr>
      </w:pPr>
      <w:r>
        <w:rPr>
          <w:rFonts w:hint="eastAsia" w:ascii="黑体" w:hAnsi="黑体" w:eastAsia="黑体"/>
          <w:sz w:val="32"/>
          <w:szCs w:val="32"/>
          <w:highlight w:val="none"/>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中共新乡市卫滨区委区直机关工作委员会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年收入预算合计</w:t>
      </w:r>
      <w:r>
        <w:rPr>
          <w:rFonts w:hint="eastAsia" w:ascii="Times New Roman" w:hAnsi="Times New Roman" w:eastAsia="仿宋_GB2312" w:cs="Times New Roman"/>
          <w:sz w:val="32"/>
          <w:szCs w:val="32"/>
          <w:lang w:val="en-US" w:eastAsia="zh-CN"/>
        </w:rPr>
        <w:t>55.50</w:t>
      </w:r>
      <w:r>
        <w:rPr>
          <w:rFonts w:hint="eastAsia" w:ascii="仿宋_GB2312" w:hAnsi="仿宋_GB2312" w:eastAsia="仿宋_GB2312" w:cs="仿宋_GB2312"/>
          <w:sz w:val="32"/>
          <w:szCs w:val="32"/>
        </w:rPr>
        <w:t>万元，收入预算总计减少</w:t>
      </w:r>
      <w:r>
        <w:rPr>
          <w:rFonts w:hint="eastAsia" w:ascii="Times New Roman" w:hAnsi="Times New Roman" w:eastAsia="仿宋_GB2312" w:cs="Times New Roman"/>
          <w:sz w:val="32"/>
          <w:szCs w:val="32"/>
          <w:lang w:val="en-US" w:eastAsia="zh-CN"/>
        </w:rPr>
        <w:t>17.30</w:t>
      </w:r>
      <w:r>
        <w:rPr>
          <w:rFonts w:hint="eastAsia" w:ascii="仿宋_GB2312" w:hAnsi="仿宋_GB2312" w:eastAsia="仿宋_GB2312" w:cs="仿宋_GB2312"/>
          <w:sz w:val="32"/>
          <w:szCs w:val="32"/>
        </w:rPr>
        <w:t>万元，下降</w:t>
      </w:r>
      <w:r>
        <w:rPr>
          <w:rFonts w:hint="eastAsia" w:ascii="Times New Roman" w:hAnsi="Times New Roman" w:eastAsia="仿宋_GB2312" w:cs="Times New Roman"/>
          <w:sz w:val="32"/>
          <w:szCs w:val="32"/>
          <w:lang w:val="en-US" w:eastAsia="zh-CN"/>
        </w:rPr>
        <w:t>23.76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原因为</w:t>
      </w:r>
      <w:r>
        <w:rPr>
          <w:rFonts w:hint="eastAsia" w:ascii="仿宋_GB2312" w:hAnsi="仿宋_GB2312" w:eastAsia="仿宋_GB2312" w:cs="仿宋_GB2312"/>
          <w:sz w:val="32"/>
          <w:szCs w:val="32"/>
          <w:lang w:eastAsia="zh-CN"/>
        </w:rPr>
        <w:t>人员变动和经费压缩</w:t>
      </w:r>
      <w:r>
        <w:rPr>
          <w:rFonts w:hint="eastAsia" w:ascii="仿宋_GB2312" w:hAnsi="仿宋_GB2312" w:eastAsia="仿宋_GB2312" w:cs="仿宋_GB2312"/>
          <w:sz w:val="32"/>
          <w:szCs w:val="32"/>
        </w:rPr>
        <w:t>。其中：一般公共预算</w:t>
      </w:r>
      <w:r>
        <w:rPr>
          <w:rFonts w:hint="eastAsia" w:ascii="Times New Roman" w:hAnsi="Times New Roman" w:eastAsia="仿宋_GB2312" w:cs="Times New Roman"/>
          <w:sz w:val="32"/>
          <w:szCs w:val="32"/>
          <w:lang w:val="en-US" w:eastAsia="zh-CN"/>
        </w:rPr>
        <w:t>55.50</w:t>
      </w:r>
      <w:r>
        <w:rPr>
          <w:rFonts w:hint="eastAsia" w:ascii="仿宋_GB2312" w:hAnsi="仿宋_GB2312" w:eastAsia="仿宋_GB2312" w:cs="仿宋_GB2312"/>
          <w:sz w:val="32"/>
          <w:szCs w:val="32"/>
        </w:rPr>
        <w:t>万元; 政府性基金收入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万元；财政专户管理</w:t>
      </w:r>
      <w:r>
        <w:rPr>
          <w:rFonts w:hint="eastAsia" w:ascii="仿宋_GB2312" w:hAnsi="仿宋_GB2312" w:eastAsia="仿宋_GB2312" w:cs="仿宋_GB2312"/>
          <w:sz w:val="32"/>
          <w:szCs w:val="32"/>
          <w:lang w:eastAsia="zh-CN"/>
        </w:rPr>
        <w:t>资金</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highlight w:val="none"/>
          <w:lang w:eastAsia="zh-CN"/>
        </w:rPr>
        <w:t>（其中专户管理的教育收费</w:t>
      </w:r>
      <w:r>
        <w:rPr>
          <w:rFonts w:hint="eastAsia"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lang w:val="en-US" w:eastAsia="zh-CN"/>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事业</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；事业单位经营</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；上级补助</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；附属单位上缴</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；上年结转结余中一般公共预算</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政府性基金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财政专户管理</w:t>
      </w:r>
      <w:r>
        <w:rPr>
          <w:rFonts w:hint="eastAsia" w:ascii="仿宋_GB2312" w:hAnsi="仿宋_GB2312" w:eastAsia="仿宋_GB2312" w:cs="仿宋_GB2312"/>
          <w:sz w:val="32"/>
          <w:szCs w:val="32"/>
          <w:lang w:eastAsia="zh-CN"/>
        </w:rPr>
        <w:t>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；上年结转结余中单位资金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中共新乡市卫滨区委区直机关工作委员会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年支出预算合计</w:t>
      </w:r>
      <w:r>
        <w:rPr>
          <w:rFonts w:hint="eastAsia" w:ascii="Times New Roman" w:hAnsi="Times New Roman" w:eastAsia="仿宋_GB2312" w:cs="Times New Roman"/>
          <w:sz w:val="32"/>
          <w:szCs w:val="32"/>
          <w:lang w:val="en-US" w:eastAsia="zh-CN"/>
        </w:rPr>
        <w:t>55.50</w:t>
      </w:r>
      <w:r>
        <w:rPr>
          <w:rFonts w:hint="eastAsia" w:ascii="仿宋_GB2312" w:hAnsi="仿宋_GB2312" w:eastAsia="仿宋_GB2312" w:cs="仿宋_GB2312"/>
          <w:sz w:val="32"/>
          <w:szCs w:val="32"/>
        </w:rPr>
        <w:t>万元，其中：基本支出</w:t>
      </w:r>
      <w:r>
        <w:rPr>
          <w:rFonts w:hint="eastAsia" w:ascii="Times New Roman" w:hAnsi="Times New Roman" w:eastAsia="仿宋_GB2312" w:cs="Times New Roman"/>
          <w:sz w:val="32"/>
          <w:szCs w:val="32"/>
          <w:lang w:val="en-US" w:eastAsia="zh-CN"/>
        </w:rPr>
        <w:t>51.50</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92.79</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7.21</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四、财政拨款收入支出预算总体情况说明</w:t>
      </w:r>
    </w:p>
    <w:p>
      <w:pPr>
        <w:keepNext w:val="0"/>
        <w:keepLines w:val="0"/>
        <w:pageBreakBefore w:val="0"/>
        <w:widowControl w:val="0"/>
        <w:wordWrap/>
        <w:topLinePunct w:val="0"/>
        <w:bidi w:val="0"/>
        <w:spacing w:line="560" w:lineRule="exact"/>
        <w:ind w:firstLine="640" w:firstLineChars="200"/>
        <w:textAlignment w:val="auto"/>
        <w:rPr>
          <w:rFonts w:hint="eastAsia" w:ascii="Times New Roman" w:hAnsi="Times New Roman" w:eastAsia="仿宋_GB2312"/>
          <w:sz w:val="32"/>
          <w:szCs w:val="32"/>
        </w:rPr>
      </w:pPr>
      <w:r>
        <w:rPr>
          <w:rFonts w:hint="eastAsia" w:ascii="仿宋_GB2312" w:hAnsi="仿宋_GB2312" w:eastAsia="仿宋_GB2312" w:cs="仿宋_GB2312"/>
          <w:sz w:val="32"/>
          <w:szCs w:val="32"/>
        </w:rPr>
        <w:t>中共新乡市卫滨区委区直机关工作委员会</w:t>
      </w:r>
      <w:r>
        <w:rPr>
          <w:rFonts w:hint="default" w:ascii="Times New Roman" w:hAnsi="Times New Roman" w:eastAsia="仿宋_GB2312" w:cs="Times New Roman"/>
          <w:b w:val="0"/>
          <w:bCs w:val="0"/>
          <w:sz w:val="32"/>
          <w:szCs w:val="32"/>
        </w:rPr>
        <w:t>202</w:t>
      </w:r>
      <w:r>
        <w:rPr>
          <w:rFonts w:hint="eastAsia" w:ascii="Times New Roman" w:hAnsi="Times New Roman" w:eastAsia="仿宋_GB2312" w:cs="Times New Roman"/>
          <w:b w:val="0"/>
          <w:bCs w:val="0"/>
          <w:sz w:val="32"/>
          <w:szCs w:val="32"/>
          <w:lang w:val="en-US" w:eastAsia="zh-CN"/>
        </w:rPr>
        <w:t>4</w:t>
      </w:r>
      <w:r>
        <w:rPr>
          <w:rFonts w:hint="eastAsia" w:ascii="仿宋_GB2312" w:hAnsi="仿宋_GB2312" w:eastAsia="仿宋_GB2312" w:cs="仿宋_GB2312"/>
          <w:b w:val="0"/>
          <w:bCs w:val="0"/>
          <w:sz w:val="32"/>
          <w:szCs w:val="32"/>
        </w:rPr>
        <w:t>年一般公共财政预算拨款收支预算</w:t>
      </w:r>
      <w:r>
        <w:rPr>
          <w:rFonts w:hint="eastAsia" w:ascii="Times New Roman" w:hAnsi="Times New Roman" w:eastAsia="仿宋_GB2312" w:cs="Times New Roman"/>
          <w:b w:val="0"/>
          <w:bCs w:val="0"/>
          <w:sz w:val="32"/>
          <w:szCs w:val="32"/>
          <w:lang w:val="en-US" w:eastAsia="zh-CN"/>
        </w:rPr>
        <w:t>55.50</w:t>
      </w:r>
      <w:r>
        <w:rPr>
          <w:rFonts w:hint="eastAsia" w:ascii="仿宋_GB2312" w:hAnsi="仿宋_GB2312" w:eastAsia="仿宋_GB2312" w:cs="仿宋_GB2312"/>
          <w:b w:val="0"/>
          <w:bCs w:val="0"/>
          <w:sz w:val="32"/>
          <w:szCs w:val="32"/>
        </w:rPr>
        <w:t>万元，政府性基金收支预算</w:t>
      </w:r>
      <w:r>
        <w:rPr>
          <w:rFonts w:hint="eastAsia" w:ascii="Times New Roman" w:hAnsi="Times New Roman" w:eastAsia="仿宋_GB2312" w:cs="Times New Roman"/>
          <w:b w:val="0"/>
          <w:bCs w:val="0"/>
          <w:sz w:val="32"/>
          <w:szCs w:val="32"/>
          <w:lang w:val="en-US" w:eastAsia="zh-CN"/>
        </w:rPr>
        <w:t>0</w:t>
      </w:r>
      <w:r>
        <w:rPr>
          <w:rFonts w:hint="eastAsia" w:ascii="仿宋_GB2312" w:hAnsi="仿宋_GB2312" w:eastAsia="仿宋_GB2312" w:cs="仿宋_GB2312"/>
          <w:b w:val="0"/>
          <w:bCs w:val="0"/>
          <w:sz w:val="32"/>
          <w:szCs w:val="32"/>
        </w:rPr>
        <w:t>万元。与</w:t>
      </w:r>
      <w:r>
        <w:rPr>
          <w:rFonts w:hint="eastAsia" w:ascii="Times New Roman" w:hAnsi="Times New Roman" w:eastAsia="仿宋_GB2312" w:cs="Times New Roman"/>
          <w:b w:val="0"/>
          <w:bCs w:val="0"/>
          <w:sz w:val="32"/>
          <w:szCs w:val="32"/>
        </w:rPr>
        <w:t xml:space="preserve"> 20</w:t>
      </w:r>
      <w:r>
        <w:rPr>
          <w:rFonts w:hint="eastAsia" w:ascii="Times New Roman" w:hAnsi="Times New Roman" w:eastAsia="仿宋_GB2312" w:cs="Times New Roman"/>
          <w:b w:val="0"/>
          <w:bCs w:val="0"/>
          <w:sz w:val="32"/>
          <w:szCs w:val="32"/>
          <w:lang w:val="en-US" w:eastAsia="zh-CN"/>
        </w:rPr>
        <w:t>23</w:t>
      </w:r>
      <w:r>
        <w:rPr>
          <w:rFonts w:hint="eastAsia" w:ascii="仿宋_GB2312" w:hAnsi="仿宋_GB2312" w:eastAsia="仿宋_GB2312" w:cs="仿宋_GB2312"/>
          <w:b w:val="0"/>
          <w:bCs w:val="0"/>
          <w:sz w:val="32"/>
          <w:szCs w:val="32"/>
        </w:rPr>
        <w:t>年相比，一般公共预算收支预算减少</w:t>
      </w:r>
      <w:r>
        <w:rPr>
          <w:rFonts w:hint="eastAsia" w:ascii="Times New Roman" w:hAnsi="Times New Roman" w:eastAsia="仿宋_GB2312" w:cs="Times New Roman"/>
          <w:b w:val="0"/>
          <w:bCs w:val="0"/>
          <w:sz w:val="32"/>
          <w:szCs w:val="32"/>
          <w:lang w:val="en-US" w:eastAsia="zh-CN"/>
        </w:rPr>
        <w:t>17.30</w:t>
      </w:r>
      <w:r>
        <w:rPr>
          <w:rFonts w:hint="eastAsia" w:ascii="仿宋_GB2312" w:hAnsi="仿宋_GB2312" w:eastAsia="仿宋_GB2312" w:cs="仿宋_GB2312"/>
          <w:b w:val="0"/>
          <w:bCs w:val="0"/>
          <w:sz w:val="32"/>
          <w:szCs w:val="32"/>
        </w:rPr>
        <w:t>万元，</w:t>
      </w:r>
      <w:r>
        <w:rPr>
          <w:rFonts w:hint="eastAsia" w:ascii="仿宋_GB2312" w:hAnsi="仿宋_GB2312" w:eastAsia="仿宋_GB2312" w:cs="仿宋_GB2312"/>
          <w:sz w:val="32"/>
          <w:szCs w:val="32"/>
        </w:rPr>
        <w:t>下降</w:t>
      </w:r>
      <w:r>
        <w:rPr>
          <w:rFonts w:hint="eastAsia" w:ascii="Times New Roman" w:hAnsi="Times New Roman" w:eastAsia="仿宋_GB2312" w:cs="Times New Roman"/>
          <w:sz w:val="32"/>
          <w:szCs w:val="32"/>
          <w:lang w:val="en-US" w:eastAsia="zh-CN"/>
        </w:rPr>
        <w:t>23.76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原因为</w:t>
      </w:r>
      <w:r>
        <w:rPr>
          <w:rFonts w:hint="eastAsia" w:ascii="仿宋_GB2312" w:hAnsi="仿宋_GB2312" w:eastAsia="仿宋_GB2312" w:cs="仿宋_GB2312"/>
          <w:sz w:val="32"/>
          <w:szCs w:val="32"/>
          <w:lang w:eastAsia="zh-CN"/>
        </w:rPr>
        <w:t>人员变动和经费压缩</w:t>
      </w:r>
      <w:r>
        <w:rPr>
          <w:rFonts w:hint="eastAsia" w:ascii="仿宋_GB2312" w:hAnsi="仿宋_GB2312" w:eastAsia="仿宋_GB2312" w:cs="仿宋_GB2312"/>
          <w:b w:val="0"/>
          <w:bCs w:val="0"/>
          <w:sz w:val="32"/>
          <w:szCs w:val="32"/>
        </w:rPr>
        <w:t>；</w:t>
      </w:r>
      <w:r>
        <w:rPr>
          <w:rFonts w:hint="eastAsia" w:ascii="Times New Roman" w:hAnsi="Times New Roman" w:eastAsia="仿宋_GB2312"/>
          <w:sz w:val="32"/>
          <w:szCs w:val="32"/>
        </w:rPr>
        <w:t>政府性基金收支预算</w:t>
      </w:r>
      <w:r>
        <w:rPr>
          <w:rFonts w:hint="eastAsia" w:ascii="Times New Roman" w:hAnsi="Times New Roman" w:eastAsia="仿宋_GB2312"/>
          <w:sz w:val="32"/>
          <w:szCs w:val="32"/>
          <w:lang w:eastAsia="zh-CN"/>
        </w:rPr>
        <w:t>与上年保持一致</w:t>
      </w:r>
      <w:r>
        <w:rPr>
          <w:rFonts w:hint="eastAsia" w:ascii="Times New Roman" w:hAnsi="Times New Roman" w:eastAsia="仿宋_GB2312"/>
          <w:sz w:val="32"/>
          <w:szCs w:val="32"/>
        </w:rPr>
        <w:t>，主要是无政府性基金。</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none"/>
        </w:rPr>
      </w:pPr>
      <w:r>
        <w:rPr>
          <w:rFonts w:hint="eastAsia" w:ascii="黑体" w:hAnsi="黑体" w:eastAsia="黑体"/>
          <w:sz w:val="32"/>
          <w:szCs w:val="32"/>
          <w:highlight w:val="none"/>
        </w:rPr>
        <w:t>五、一般公共预算支出预算情况说明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rPr>
        <w:t>中共新乡市卫滨区委区直机关工作委员会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年一般公共预算支出年初预算</w:t>
      </w:r>
      <w:r>
        <w:rPr>
          <w:rFonts w:hint="eastAsia" w:ascii="Times New Roman" w:hAnsi="Times New Roman" w:eastAsia="仿宋_GB2312" w:cs="Times New Roman"/>
          <w:sz w:val="32"/>
          <w:szCs w:val="32"/>
          <w:lang w:val="en-US" w:eastAsia="zh-CN"/>
        </w:rPr>
        <w:t>55.50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其中：基本</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51.50</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92.79</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7.21</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highlight w:val="none"/>
          <w:lang w:val="en-US" w:eastAsia="zh-CN"/>
        </w:rPr>
        <w:t>主要用于以下方面：</w:t>
      </w:r>
      <w:r>
        <w:rPr>
          <w:rFonts w:hint="eastAsia" w:ascii="仿宋_GB2312" w:hAnsi="仿宋" w:eastAsia="仿宋_GB2312"/>
          <w:sz w:val="32"/>
          <w:szCs w:val="32"/>
          <w:highlight w:val="none"/>
        </w:rPr>
        <w:t>一般公共服务（类）支出</w:t>
      </w:r>
      <w:r>
        <w:rPr>
          <w:rFonts w:hint="eastAsia" w:ascii="Times New Roman" w:hAnsi="Times New Roman" w:eastAsia="仿宋_GB2312" w:cs="Times New Roman"/>
          <w:sz w:val="32"/>
          <w:szCs w:val="32"/>
          <w:highlight w:val="none"/>
          <w:lang w:val="en-US" w:eastAsia="zh-CN"/>
        </w:rPr>
        <w:t>43.90</w:t>
      </w:r>
      <w:r>
        <w:rPr>
          <w:rFonts w:hint="eastAsia" w:ascii="仿宋_GB2312" w:hAnsi="仿宋" w:eastAsia="仿宋_GB2312"/>
          <w:sz w:val="32"/>
          <w:szCs w:val="32"/>
          <w:highlight w:val="none"/>
        </w:rPr>
        <w:t>万元</w:t>
      </w:r>
      <w:r>
        <w:rPr>
          <w:rFonts w:hint="eastAsia" w:ascii="仿宋_GB2312" w:hAnsi="仿宋" w:eastAsia="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占</w:t>
      </w:r>
      <w:r>
        <w:rPr>
          <w:rFonts w:hint="eastAsia" w:ascii="Times New Roman" w:hAnsi="Times New Roman" w:eastAsia="仿宋_GB2312" w:cs="Times New Roman"/>
          <w:sz w:val="32"/>
          <w:szCs w:val="32"/>
          <w:highlight w:val="none"/>
          <w:lang w:val="en-US" w:eastAsia="zh-CN"/>
        </w:rPr>
        <w:t>85.24</w:t>
      </w:r>
      <w:r>
        <w:rPr>
          <w:rFonts w:hint="eastAsia" w:ascii="仿宋_GB2312" w:hAnsi="仿宋_GB2312" w:eastAsia="仿宋_GB2312" w:cs="仿宋_GB2312"/>
          <w:sz w:val="32"/>
          <w:szCs w:val="32"/>
          <w:highlight w:val="none"/>
          <w:lang w:val="en-US" w:eastAsia="zh-CN"/>
        </w:rPr>
        <w:t>%；社会保障和就业（类）支出</w:t>
      </w:r>
      <w:r>
        <w:rPr>
          <w:rFonts w:hint="eastAsia" w:ascii="Times New Roman" w:hAnsi="Times New Roman" w:eastAsia="仿宋_GB2312" w:cs="Times New Roman"/>
          <w:sz w:val="32"/>
          <w:szCs w:val="32"/>
          <w:highlight w:val="none"/>
          <w:lang w:val="en-US" w:eastAsia="zh-CN"/>
        </w:rPr>
        <w:t>5.30</w:t>
      </w:r>
      <w:r>
        <w:rPr>
          <w:rFonts w:hint="eastAsia" w:ascii="仿宋_GB2312" w:hAnsi="仿宋_GB2312" w:eastAsia="仿宋_GB2312" w:cs="仿宋_GB2312"/>
          <w:sz w:val="32"/>
          <w:szCs w:val="32"/>
          <w:highlight w:val="none"/>
          <w:lang w:val="en-US" w:eastAsia="zh-CN"/>
        </w:rPr>
        <w:t>万元，占</w:t>
      </w:r>
      <w:r>
        <w:rPr>
          <w:rFonts w:hint="eastAsia" w:ascii="Times New Roman" w:hAnsi="Times New Roman" w:eastAsia="仿宋_GB2312" w:cs="Times New Roman"/>
          <w:sz w:val="32"/>
          <w:szCs w:val="32"/>
          <w:highlight w:val="none"/>
          <w:lang w:val="en-US" w:eastAsia="zh-CN"/>
        </w:rPr>
        <w:t>10.29</w:t>
      </w:r>
      <w:r>
        <w:rPr>
          <w:rFonts w:hint="eastAsia" w:ascii="仿宋_GB2312" w:hAnsi="仿宋_GB2312" w:eastAsia="仿宋_GB2312" w:cs="仿宋_GB2312"/>
          <w:sz w:val="32"/>
          <w:szCs w:val="32"/>
          <w:highlight w:val="none"/>
          <w:lang w:val="en-US" w:eastAsia="zh-CN"/>
        </w:rPr>
        <w:t>%；卫生健康（类）支出</w:t>
      </w:r>
      <w:r>
        <w:rPr>
          <w:rFonts w:hint="eastAsia" w:ascii="Times New Roman" w:hAnsi="Times New Roman" w:eastAsia="仿宋_GB2312" w:cs="Times New Roman"/>
          <w:sz w:val="32"/>
          <w:szCs w:val="32"/>
          <w:highlight w:val="none"/>
          <w:lang w:val="en-US" w:eastAsia="zh-CN"/>
        </w:rPr>
        <w:t>2.40</w:t>
      </w:r>
      <w:r>
        <w:rPr>
          <w:rFonts w:hint="eastAsia" w:ascii="仿宋_GB2312" w:hAnsi="仿宋_GB2312" w:eastAsia="仿宋_GB2312" w:cs="仿宋_GB2312"/>
          <w:sz w:val="32"/>
          <w:szCs w:val="32"/>
          <w:highlight w:val="none"/>
          <w:lang w:val="en-US" w:eastAsia="zh-CN"/>
        </w:rPr>
        <w:t>万元，占</w:t>
      </w:r>
      <w:r>
        <w:rPr>
          <w:rFonts w:hint="eastAsia" w:ascii="Times New Roman" w:hAnsi="Times New Roman" w:eastAsia="仿宋_GB2312" w:cs="Times New Roman"/>
          <w:sz w:val="32"/>
          <w:szCs w:val="32"/>
          <w:highlight w:val="none"/>
          <w:lang w:val="en-US" w:eastAsia="zh-CN"/>
        </w:rPr>
        <w:t>4.66</w:t>
      </w:r>
      <w:r>
        <w:rPr>
          <w:rFonts w:hint="eastAsia" w:ascii="仿宋_GB2312" w:hAnsi="仿宋_GB2312" w:eastAsia="仿宋_GB2312" w:cs="仿宋_GB2312"/>
          <w:sz w:val="32"/>
          <w:szCs w:val="32"/>
          <w:highlight w:val="none"/>
          <w:lang w:val="en-US" w:eastAsia="zh-CN"/>
        </w:rPr>
        <w:t>%；住房保障（类）支出</w:t>
      </w:r>
      <w:r>
        <w:rPr>
          <w:rFonts w:hint="eastAsia" w:ascii="Times New Roman" w:hAnsi="Times New Roman" w:eastAsia="仿宋_GB2312" w:cs="Times New Roman"/>
          <w:sz w:val="32"/>
          <w:szCs w:val="32"/>
          <w:highlight w:val="none"/>
          <w:lang w:val="en-US" w:eastAsia="zh-CN"/>
        </w:rPr>
        <w:t>3.90</w:t>
      </w:r>
      <w:r>
        <w:rPr>
          <w:rFonts w:hint="eastAsia" w:ascii="仿宋_GB2312" w:hAnsi="仿宋_GB2312" w:eastAsia="仿宋_GB2312" w:cs="仿宋_GB2312"/>
          <w:sz w:val="32"/>
          <w:szCs w:val="32"/>
          <w:highlight w:val="none"/>
          <w:lang w:val="en-US" w:eastAsia="zh-CN"/>
        </w:rPr>
        <w:t>万元，占</w:t>
      </w:r>
      <w:r>
        <w:rPr>
          <w:rFonts w:hint="eastAsia" w:ascii="Times New Roman" w:hAnsi="Times New Roman" w:eastAsia="仿宋_GB2312" w:cs="Times New Roman"/>
          <w:sz w:val="32"/>
          <w:szCs w:val="32"/>
          <w:highlight w:val="none"/>
          <w:lang w:val="en-US" w:eastAsia="zh-CN"/>
        </w:rPr>
        <w:t>6.79</w:t>
      </w:r>
      <w:r>
        <w:rPr>
          <w:rFonts w:hint="eastAsia" w:ascii="仿宋_GB2312" w:hAnsi="仿宋_GB2312" w:eastAsia="仿宋_GB2312" w:cs="仿宋_GB2312"/>
          <w:sz w:val="32"/>
          <w:szCs w:val="32"/>
          <w:highlight w:val="none"/>
          <w:lang w:val="en-US" w:eastAsia="zh-CN"/>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六、一般公共预算基本和项目支出预算情况说明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中共新乡市卫滨区委区直机关工作委员会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年一般公共预算基本支出</w:t>
      </w:r>
      <w:r>
        <w:rPr>
          <w:rFonts w:hint="eastAsia" w:ascii="Times New Roman" w:hAnsi="Times New Roman" w:eastAsia="仿宋_GB2312" w:cs="Times New Roman"/>
          <w:sz w:val="32"/>
          <w:szCs w:val="32"/>
          <w:lang w:val="en-US" w:eastAsia="zh-CN"/>
        </w:rPr>
        <w:t>51.50</w:t>
      </w:r>
      <w:r>
        <w:rPr>
          <w:rFonts w:hint="eastAsia" w:ascii="仿宋_GB2312" w:hAnsi="仿宋_GB2312" w:eastAsia="仿宋_GB2312" w:cs="仿宋_GB2312"/>
          <w:sz w:val="32"/>
          <w:szCs w:val="32"/>
        </w:rPr>
        <w:t>万元，其中：</w:t>
      </w:r>
      <w:r>
        <w:rPr>
          <w:rFonts w:hint="eastAsia" w:ascii="仿宋_GB2312" w:hAnsi="仿宋_GB2312" w:eastAsia="仿宋_GB2312" w:cs="仿宋_GB2312"/>
          <w:b/>
          <w:spacing w:val="-1"/>
          <w:kern w:val="0"/>
          <w:sz w:val="32"/>
          <w:szCs w:val="32"/>
        </w:rPr>
        <w:t>人员经费</w:t>
      </w:r>
      <w:r>
        <w:rPr>
          <w:rFonts w:hint="eastAsia" w:ascii="仿宋_GB2312" w:hAnsi="仿宋_GB2312" w:eastAsia="仿宋_GB2312" w:cs="仿宋_GB2312"/>
          <w:b/>
          <w:spacing w:val="-1"/>
          <w:kern w:val="0"/>
          <w:sz w:val="32"/>
          <w:szCs w:val="32"/>
          <w:highlight w:val="none"/>
          <w:lang w:eastAsia="zh-CN"/>
        </w:rPr>
        <w:t>支出</w:t>
      </w:r>
      <w:r>
        <w:rPr>
          <w:rFonts w:hint="eastAsia" w:ascii="Times New Roman" w:hAnsi="Times New Roman" w:eastAsia="仿宋_GB2312" w:cs="Times New Roman"/>
          <w:sz w:val="32"/>
          <w:szCs w:val="32"/>
          <w:lang w:val="en-US" w:eastAsia="zh-CN"/>
        </w:rPr>
        <w:t>48.48</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94.14</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基本工资、津贴补贴、奖金、社会保障缴费、伙食补助费、绩效工资、机关事业单位基本养老保险缴费、职业年金缴费、职工基本医疗保险缴费、公务员医疗补助缴费、住房公积金、医疗费、其他工资福利支出、离休费、退休费、退职（役）费、抚恤金、生活补助、 救济费、医疗费补助、助学金、奖励金、个人农业生产补贴、其他对个人和家庭的补助支出；</w:t>
      </w:r>
      <w:r>
        <w:rPr>
          <w:rFonts w:hint="eastAsia" w:ascii="仿宋_GB2312" w:hAnsi="仿宋_GB2312" w:eastAsia="仿宋_GB2312" w:cs="仿宋_GB2312"/>
          <w:b/>
          <w:spacing w:val="-1"/>
          <w:kern w:val="0"/>
          <w:sz w:val="32"/>
          <w:szCs w:val="32"/>
        </w:rPr>
        <w:t>公用经费</w:t>
      </w:r>
      <w:r>
        <w:rPr>
          <w:rFonts w:hint="eastAsia" w:ascii="仿宋_GB2312" w:hAnsi="仿宋_GB2312" w:eastAsia="仿宋_GB2312" w:cs="仿宋_GB2312"/>
          <w:b/>
          <w:spacing w:val="-1"/>
          <w:kern w:val="0"/>
          <w:sz w:val="32"/>
          <w:szCs w:val="32"/>
          <w:highlight w:val="none"/>
          <w:lang w:eastAsia="zh-CN"/>
        </w:rPr>
        <w:t>支出</w:t>
      </w:r>
      <w:r>
        <w:rPr>
          <w:rFonts w:hint="eastAsia" w:ascii="Times New Roman" w:hAnsi="Times New Roman" w:eastAsia="仿宋_GB2312" w:cs="Times New Roman"/>
          <w:sz w:val="32"/>
          <w:szCs w:val="32"/>
          <w:lang w:val="en-US" w:eastAsia="zh-CN"/>
        </w:rPr>
        <w:t>3.02</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5.86</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主要包括：办公费、印刷费、咨询费、手续费、水费、电费、邮电费、取暖费、物业管理费、差旅费、因公出国（境）费、维 修（护）费、租赁费、会议费、培训费、公务接待费、专用材料费、被装购置费、专用燃料费、劳务费、委托业务费、工会经费、福利费、公务用车运行维护费、其他交通费用、税金及附加费用、其他商品和服务支出、办公设备购置、专用设备购置、大型修缮、信息网络及软件购置更新、其他资本性支出。</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none"/>
        </w:rPr>
      </w:pPr>
      <w:r>
        <w:rPr>
          <w:rFonts w:hint="default" w:ascii="Times New Roman" w:hAnsi="Times New Roman" w:eastAsia="仿宋_GB2312" w:cs="Times New Roman"/>
          <w:sz w:val="32"/>
          <w:szCs w:val="32"/>
          <w:highlight w:val="none"/>
        </w:rPr>
        <w:t>202</w:t>
      </w:r>
      <w:r>
        <w:rPr>
          <w:rFonts w:hint="eastAsia" w:ascii="Times New Roman" w:hAnsi="Times New Roman" w:eastAsia="仿宋_GB2312" w:cs="Times New Roman"/>
          <w:sz w:val="32"/>
          <w:szCs w:val="32"/>
          <w:highlight w:val="none"/>
          <w:lang w:val="en-US" w:eastAsia="zh-CN"/>
        </w:rPr>
        <w:t>4</w:t>
      </w:r>
      <w:r>
        <w:rPr>
          <w:rFonts w:hint="eastAsia" w:ascii="仿宋_GB2312" w:hAnsi="仿宋_GB2312" w:eastAsia="仿宋_GB2312" w:cs="仿宋_GB2312"/>
          <w:sz w:val="32"/>
          <w:szCs w:val="32"/>
          <w:highlight w:val="none"/>
        </w:rPr>
        <w:t>年一般公共预算安排项目支出预算</w:t>
      </w:r>
      <w:r>
        <w:rPr>
          <w:rFonts w:hint="eastAsia" w:ascii="Times New Roman" w:hAnsi="Times New Roman" w:eastAsia="仿宋_GB2312" w:cs="Times New Roman"/>
          <w:sz w:val="32"/>
          <w:szCs w:val="32"/>
          <w:highlight w:val="none"/>
          <w:lang w:val="en-US" w:eastAsia="zh-CN"/>
        </w:rPr>
        <w:t>4</w:t>
      </w:r>
      <w:r>
        <w:rPr>
          <w:rFonts w:hint="eastAsia" w:ascii="仿宋_GB2312" w:hAnsi="仿宋_GB2312" w:eastAsia="仿宋_GB2312" w:cs="仿宋_GB2312"/>
          <w:sz w:val="32"/>
          <w:szCs w:val="32"/>
          <w:highlight w:val="none"/>
        </w:rPr>
        <w:t>万元，全部纳入项目绩效目标管理。其中：运转类项目</w:t>
      </w:r>
      <w:r>
        <w:rPr>
          <w:rFonts w:hint="eastAsia" w:ascii="Times New Roman" w:hAnsi="Times New Roman" w:eastAsia="仿宋_GB2312" w:cs="Times New Roman"/>
          <w:sz w:val="32"/>
          <w:szCs w:val="32"/>
          <w:highlight w:val="none"/>
          <w:lang w:val="en-US" w:eastAsia="zh-CN"/>
        </w:rPr>
        <w:t>4</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特定目标</w:t>
      </w:r>
      <w:r>
        <w:rPr>
          <w:rFonts w:hint="eastAsia" w:ascii="仿宋_GB2312" w:hAnsi="仿宋_GB2312" w:eastAsia="仿宋_GB2312" w:cs="仿宋_GB2312"/>
          <w:sz w:val="32"/>
          <w:szCs w:val="32"/>
          <w:highlight w:val="none"/>
        </w:rPr>
        <w:t>类项目</w:t>
      </w:r>
      <w:r>
        <w:rPr>
          <w:rFonts w:hint="eastAsia"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七、政府性基金预算支出预算情况说明</w:t>
      </w:r>
    </w:p>
    <w:p>
      <w:pPr>
        <w:keepNext w:val="0"/>
        <w:keepLines w:val="0"/>
        <w:pageBreakBefore w:val="0"/>
        <w:widowControl w:val="0"/>
        <w:wordWrap/>
        <w:topLinePunct w:val="0"/>
        <w:bidi w:val="0"/>
        <w:spacing w:line="56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中共新乡市卫滨区委区直机关工作委员会202</w:t>
      </w: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rPr>
        <w:t>年无使用政府性基金预算拨款安排的支出，年初预算为</w:t>
      </w:r>
      <w:r>
        <w:rPr>
          <w:rFonts w:ascii="Times New Roman" w:hAnsi="Times New Roman" w:eastAsia="仿宋_GB2312"/>
          <w:sz w:val="32"/>
          <w:szCs w:val="32"/>
        </w:rPr>
        <w:t>0</w:t>
      </w:r>
      <w:r>
        <w:rPr>
          <w:rFonts w:hint="eastAsia" w:ascii="Times New Roman" w:hAnsi="Times New Roman" w:eastAsia="仿宋_GB2312"/>
          <w:sz w:val="32"/>
          <w:szCs w:val="32"/>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lang w:eastAsia="zh-CN"/>
        </w:rPr>
      </w:pPr>
      <w:r>
        <w:rPr>
          <w:rFonts w:hint="eastAsia" w:ascii="黑体" w:hAnsi="Times New Roman" w:eastAsia="黑体" w:cs="黑体"/>
          <w:kern w:val="0"/>
          <w:sz w:val="32"/>
          <w:szCs w:val="32"/>
        </w:rPr>
        <w:t>八、 “三公”经费支出预算情况说明</w:t>
      </w:r>
    </w:p>
    <w:p>
      <w:pPr>
        <w:keepNext w:val="0"/>
        <w:keepLines w:val="0"/>
        <w:pageBreakBefore w:val="0"/>
        <w:widowControl w:val="0"/>
        <w:numPr>
          <w:ilvl w:val="0"/>
          <w:numId w:val="0"/>
        </w:numPr>
        <w:wordWrap/>
        <w:topLinePunct w:val="0"/>
        <w:bidi w:val="0"/>
        <w:spacing w:line="560" w:lineRule="exact"/>
        <w:ind w:firstLine="640" w:firstLineChars="200"/>
        <w:textAlignment w:val="auto"/>
        <w:rPr>
          <w:rFonts w:hint="eastAsia" w:ascii="Times New Roman" w:hAnsi="Times New Roman" w:eastAsia="仿宋_GB2312"/>
          <w:sz w:val="32"/>
          <w:szCs w:val="32"/>
        </w:rPr>
      </w:pPr>
      <w:r>
        <w:rPr>
          <w:rFonts w:hint="eastAsia" w:ascii="Times New Roman" w:hAnsi="Times New Roman" w:eastAsia="仿宋_GB2312"/>
          <w:sz w:val="32"/>
          <w:szCs w:val="32"/>
        </w:rPr>
        <w:t>中共新乡市卫滨区委区直机关工作委员会</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rPr>
        <w:t>年“三公”经费预算为0万元。</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4</w:t>
      </w:r>
      <w:r>
        <w:rPr>
          <w:rFonts w:hint="eastAsia" w:ascii="Times New Roman" w:hAnsi="Times New Roman" w:eastAsia="仿宋_GB2312"/>
          <w:sz w:val="32"/>
          <w:szCs w:val="32"/>
        </w:rPr>
        <w:t xml:space="preserve">年“三公”经费支出预算数与 </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Times New Roman" w:hAnsi="Times New Roman" w:eastAsia="仿宋_GB2312"/>
          <w:sz w:val="32"/>
          <w:szCs w:val="32"/>
        </w:rPr>
        <w:t>年保持一致。</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具体支出情况如下：</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lang w:eastAsia="zh-CN"/>
        </w:rPr>
        <w:t>（一）</w:t>
      </w:r>
      <w:r>
        <w:rPr>
          <w:rFonts w:hint="eastAsia" w:ascii="华文楷体" w:hAnsi="华文楷体" w:eastAsia="华文楷体" w:cs="仿宋_GB2312"/>
          <w:spacing w:val="-1"/>
          <w:kern w:val="0"/>
          <w:sz w:val="32"/>
          <w:szCs w:val="32"/>
        </w:rPr>
        <w:t>因公出国（境）费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仿宋_GB2312"/>
          <w:spacing w:val="-1"/>
          <w:kern w:val="0"/>
          <w:sz w:val="32"/>
          <w:szCs w:val="32"/>
        </w:rPr>
        <w:t>万元</w:t>
      </w:r>
      <w:r>
        <w:rPr>
          <w:rFonts w:hint="eastAsia" w:ascii="楷体" w:hAnsi="楷体" w:eastAsia="楷体" w:cs="仿宋_GB2312"/>
          <w:spacing w:val="-1"/>
          <w:kern w:val="0"/>
          <w:sz w:val="32"/>
          <w:szCs w:val="32"/>
        </w:rPr>
        <w:t>，</w:t>
      </w:r>
      <w:r>
        <w:rPr>
          <w:rFonts w:hint="eastAsia" w:ascii="仿宋_GB2312" w:hAnsi="宋体" w:eastAsia="仿宋_GB2312" w:cs="Courier New"/>
          <w:sz w:val="32"/>
          <w:szCs w:val="32"/>
        </w:rPr>
        <w:t>主要用于单位工作人员公务出国（境）的住宿费、旅费、伙食补助费、杂费、培训费等支出。预算数与</w:t>
      </w: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仿宋_GB2312" w:hAnsi="宋体" w:eastAsia="仿宋_GB2312" w:cs="Courier New"/>
          <w:sz w:val="32"/>
          <w:szCs w:val="32"/>
        </w:rPr>
        <w:t>年保持一致,主要原因是无因公出国（境）费支出。</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lang w:eastAsia="zh-CN"/>
        </w:rPr>
        <w:t>（二）</w:t>
      </w:r>
      <w:r>
        <w:rPr>
          <w:rFonts w:hint="eastAsia" w:ascii="华文楷体" w:hAnsi="华文楷体" w:eastAsia="华文楷体" w:cs="仿宋_GB2312"/>
          <w:spacing w:val="-1"/>
          <w:kern w:val="0"/>
          <w:sz w:val="32"/>
          <w:szCs w:val="32"/>
        </w:rPr>
        <w:t>公务用车购置及运行费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仿宋_GB2312"/>
          <w:kern w:val="0"/>
          <w:sz w:val="32"/>
          <w:szCs w:val="32"/>
        </w:rPr>
        <w:t>万</w:t>
      </w:r>
      <w:r>
        <w:rPr>
          <w:rFonts w:hint="eastAsia" w:ascii="华文楷体" w:hAnsi="华文楷体" w:eastAsia="华文楷体" w:cs="Courier New"/>
          <w:sz w:val="32"/>
          <w:szCs w:val="32"/>
        </w:rPr>
        <w:t>元</w:t>
      </w:r>
      <w:r>
        <w:rPr>
          <w:rFonts w:hint="eastAsia" w:ascii="楷体" w:hAnsi="楷体" w:eastAsia="楷体" w:cs="Courier New"/>
          <w:sz w:val="32"/>
          <w:szCs w:val="32"/>
        </w:rPr>
        <w:t>，</w:t>
      </w:r>
      <w:r>
        <w:rPr>
          <w:rFonts w:hint="eastAsia" w:ascii="仿宋_GB2312" w:hAnsi="宋体" w:eastAsia="仿宋_GB2312" w:cs="Courier New"/>
          <w:sz w:val="32"/>
          <w:szCs w:val="32"/>
        </w:rPr>
        <w:t>其中，公务用车购置费</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万元；公务用车运行维护费</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万元，主要用于开展工作所需公务用车的燃料费、维修费、过路过桥费、保险费、安全奖励费用等支出。公务用车购置费预算数与</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仿宋_GB2312" w:hAnsi="宋体" w:eastAsia="仿宋_GB2312" w:cs="Courier New"/>
          <w:sz w:val="32"/>
          <w:szCs w:val="32"/>
        </w:rPr>
        <w:t>年保持一致,主要原因是无公务用车购置费支出。公务用车运行维护费预算数与</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仿宋_GB2312" w:hAnsi="宋体" w:eastAsia="仿宋_GB2312" w:cs="Courier New"/>
          <w:sz w:val="32"/>
          <w:szCs w:val="32"/>
        </w:rPr>
        <w:t>年保持一致，主要原因是无公务用车运行维护费支出。</w:t>
      </w:r>
    </w:p>
    <w:p>
      <w:pPr>
        <w:keepNext w:val="0"/>
        <w:keepLines w:val="0"/>
        <w:pageBreakBefore w:val="0"/>
        <w:widowControl w:val="0"/>
        <w:kinsoku w:val="0"/>
        <w:wordWrap/>
        <w:overflowPunct w:val="0"/>
        <w:topLinePunct w:val="0"/>
        <w:autoSpaceDE w:val="0"/>
        <w:autoSpaceDN w:val="0"/>
        <w:bidi w:val="0"/>
        <w:adjustRightInd w:val="0"/>
        <w:snapToGrid w:val="0"/>
        <w:spacing w:line="560" w:lineRule="exact"/>
        <w:ind w:firstLine="640" w:firstLineChars="200"/>
        <w:textAlignment w:val="auto"/>
        <w:rPr>
          <w:rFonts w:hint="eastAsia" w:ascii="仿宋_GB2312" w:hAnsi="宋体" w:eastAsia="仿宋_GB2312" w:cs="Courier New"/>
          <w:sz w:val="32"/>
          <w:szCs w:val="32"/>
        </w:rPr>
      </w:pPr>
      <w:r>
        <w:rPr>
          <w:rFonts w:hint="eastAsia" w:ascii="楷体_GB2312" w:hAnsi="楷体_GB2312" w:eastAsia="楷体_GB2312" w:cs="楷体_GB2312"/>
          <w:sz w:val="32"/>
          <w:szCs w:val="32"/>
        </w:rPr>
        <w:t>（三）</w:t>
      </w:r>
      <w:r>
        <w:rPr>
          <w:rFonts w:hint="eastAsia" w:ascii="华文楷体" w:hAnsi="华文楷体" w:eastAsia="华文楷体" w:cs="仿宋_GB2312"/>
          <w:spacing w:val="-1"/>
          <w:kern w:val="0"/>
          <w:sz w:val="32"/>
          <w:szCs w:val="32"/>
        </w:rPr>
        <w:t>公务接待费</w:t>
      </w:r>
      <w:r>
        <w:rPr>
          <w:rFonts w:hint="eastAsia" w:ascii="Times New Roman" w:hAnsi="Times New Roman" w:eastAsia="黑体"/>
          <w:sz w:val="32"/>
          <w:szCs w:val="32"/>
        </w:rPr>
        <w:t>0</w:t>
      </w:r>
      <w:r>
        <w:rPr>
          <w:rFonts w:hint="eastAsia" w:ascii="华文楷体" w:hAnsi="华文楷体" w:eastAsia="华文楷体" w:cs="仿宋_GB2312"/>
          <w:spacing w:val="-1"/>
          <w:kern w:val="0"/>
          <w:sz w:val="32"/>
          <w:szCs w:val="32"/>
        </w:rPr>
        <w:t>万元</w:t>
      </w:r>
      <w:r>
        <w:rPr>
          <w:rFonts w:hint="eastAsia" w:ascii="楷体" w:hAnsi="楷体" w:eastAsia="楷体" w:cs="Courier New"/>
          <w:sz w:val="32"/>
          <w:szCs w:val="32"/>
        </w:rPr>
        <w:t>，</w:t>
      </w:r>
      <w:r>
        <w:rPr>
          <w:rFonts w:hint="eastAsia" w:ascii="仿宋_GB2312" w:hAnsi="宋体" w:eastAsia="仿宋_GB2312" w:cs="Courier New"/>
          <w:sz w:val="32"/>
          <w:szCs w:val="32"/>
        </w:rPr>
        <w:t>主要用于按规定开支的各类公务接待（含外宾接待）支出。预算数与</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仿宋_GB2312" w:hAnsi="宋体" w:eastAsia="仿宋_GB2312" w:cs="Courier New"/>
          <w:sz w:val="32"/>
          <w:szCs w:val="32"/>
        </w:rPr>
        <w:t>年保持一致,主要原因是无公务接待费支出。</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60" w:lineRule="auto"/>
        <w:ind w:leftChars="200" w:firstLine="318" w:firstLineChars="100"/>
        <w:textAlignment w:val="auto"/>
        <w:rPr>
          <w:rFonts w:hint="eastAsia" w:ascii="仿宋_GB2312" w:hAnsi="宋体" w:eastAsia="仿宋_GB2312" w:cs="Courier New"/>
          <w:sz w:val="32"/>
          <w:szCs w:val="32"/>
        </w:rPr>
      </w:pPr>
      <w:r>
        <w:rPr>
          <w:rFonts w:hint="eastAsia" w:ascii="黑体" w:hAnsi="Times New Roman" w:eastAsia="黑体" w:cs="黑体"/>
          <w:spacing w:val="-1"/>
          <w:kern w:val="0"/>
          <w:sz w:val="32"/>
          <w:szCs w:val="32"/>
        </w:rPr>
        <w:t>九、其他重要事项的情况说明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Courier New"/>
          <w:sz w:val="32"/>
          <w:szCs w:val="32"/>
          <w:highlight w:val="darkBlue"/>
        </w:rPr>
      </w:pPr>
      <w:r>
        <w:rPr>
          <w:rFonts w:hint="eastAsia" w:ascii="楷体" w:hAnsi="楷体" w:eastAsia="楷体" w:cs="仿宋_GB2312"/>
          <w:kern w:val="0"/>
          <w:sz w:val="32"/>
          <w:szCs w:val="32"/>
          <w:highlight w:val="none"/>
        </w:rPr>
        <w:t>（一）行政（事业）单位机构运转经费</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800" w:firstLineChars="250"/>
        <w:textAlignment w:val="auto"/>
        <w:rPr>
          <w:rFonts w:hint="eastAsia" w:ascii="楷体" w:hAnsi="楷体" w:eastAsia="楷体"/>
          <w:sz w:val="32"/>
          <w:szCs w:val="32"/>
          <w:highlight w:val="yellow"/>
        </w:rPr>
      </w:pPr>
      <w:r>
        <w:rPr>
          <w:rFonts w:hint="eastAsia" w:ascii="Times New Roman" w:hAnsi="Times New Roman" w:eastAsia="仿宋_GB2312"/>
          <w:sz w:val="32"/>
          <w:szCs w:val="32"/>
        </w:rPr>
        <w:t>中共新乡市卫滨区委区直机关工作委员会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年机关运行经费支出预算</w:t>
      </w:r>
      <w:r>
        <w:rPr>
          <w:rFonts w:hint="eastAsia" w:ascii="Times New Roman" w:hAnsi="Times New Roman" w:eastAsia="黑体" w:cs="Times New Roman"/>
          <w:sz w:val="32"/>
          <w:szCs w:val="32"/>
          <w:lang w:val="en-US" w:eastAsia="zh-CN"/>
        </w:rPr>
        <w:t>3.02</w:t>
      </w:r>
      <w:r>
        <w:rPr>
          <w:rFonts w:hint="eastAsia" w:ascii="仿宋_GB2312" w:hAnsi="宋体" w:eastAsia="仿宋_GB2312" w:cs="Courier New"/>
          <w:sz w:val="32"/>
          <w:szCs w:val="32"/>
        </w:rPr>
        <w:t>万元，</w:t>
      </w:r>
      <w:r>
        <w:rPr>
          <w:rFonts w:hint="eastAsia" w:ascii="仿宋_GB2312" w:eastAsia="仿宋_GB2312"/>
          <w:sz w:val="32"/>
          <w:szCs w:val="32"/>
        </w:rPr>
        <w:t>主要保障机关机构正常运转及正常履职需要，</w:t>
      </w:r>
      <w:r>
        <w:rPr>
          <w:rFonts w:hint="eastAsia" w:ascii="仿宋_GB2312" w:hAnsi="宋体" w:eastAsia="仿宋_GB2312" w:cs="Courier New"/>
          <w:sz w:val="32"/>
          <w:szCs w:val="32"/>
        </w:rPr>
        <w:t>主要包括办公费、印刷费、水费、电费、邮电费、取暖费、物业管理费、差旅费、维修（护）费、会议费、专用材料费、被装购置费、办公设备购置、福利费、公务用车运行维护费等</w:t>
      </w:r>
      <w:r>
        <w:rPr>
          <w:rFonts w:hint="eastAsia" w:ascii="仿宋_GB2312" w:eastAsia="仿宋_GB2312"/>
          <w:sz w:val="32"/>
          <w:szCs w:val="32"/>
          <w:highlight w:val="none"/>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（二）政府采购支出情况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eastAsia="仿宋_GB2312"/>
          <w:sz w:val="32"/>
          <w:szCs w:val="32"/>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eastAsia="仿宋_GB2312"/>
          <w:sz w:val="32"/>
          <w:szCs w:val="32"/>
        </w:rPr>
        <w:t>年政府采购预算安排</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万元，其中：政府采购货物预算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万元、政府采购工程预算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万元、政府采购服务预算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eastAsia="仿宋_GB2312"/>
          <w:sz w:val="32"/>
          <w:szCs w:val="32"/>
        </w:rPr>
      </w:pPr>
    </w:p>
    <w:p>
      <w:pPr>
        <w:keepNext w:val="0"/>
        <w:keepLines w:val="0"/>
        <w:pageBreakBefore w:val="0"/>
        <w:widowControl w:val="0"/>
        <w:numPr>
          <w:ilvl w:val="0"/>
          <w:numId w:val="3"/>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lang w:eastAsia="zh-CN"/>
        </w:rPr>
        <w:t>绩效目标设置及</w:t>
      </w:r>
      <w:r>
        <w:rPr>
          <w:rFonts w:hint="eastAsia" w:ascii="楷体" w:hAnsi="楷体" w:eastAsia="楷体" w:cs="仿宋_GB2312"/>
          <w:kern w:val="0"/>
          <w:sz w:val="32"/>
          <w:szCs w:val="32"/>
        </w:rPr>
        <w:t>预算绩效管理工作开展情况</w:t>
      </w:r>
    </w:p>
    <w:p>
      <w:pPr>
        <w:pStyle w:val="2"/>
        <w:ind w:firstLine="640" w:firstLineChars="200"/>
        <w:rPr>
          <w:rFonts w:hint="eastAsia" w:ascii="仿宋_GB2312" w:hAnsi="Times New Roman" w:eastAsia="仿宋_GB2312" w:cs="黑体"/>
          <w:sz w:val="32"/>
          <w:szCs w:val="32"/>
          <w:highlight w:val="none"/>
        </w:rPr>
      </w:pPr>
      <w:r>
        <w:rPr>
          <w:rFonts w:hint="eastAsia" w:ascii="仿宋_GB2312" w:hAnsi="Times New Roman" w:eastAsia="仿宋_GB2312" w:cs="黑体"/>
          <w:sz w:val="32"/>
          <w:szCs w:val="32"/>
        </w:rPr>
        <w:t>我</w:t>
      </w:r>
      <w:r>
        <w:rPr>
          <w:rFonts w:hint="eastAsia" w:ascii="仿宋_GB2312" w:hAnsi="Times New Roman" w:eastAsia="仿宋_GB2312" w:cs="黑体"/>
          <w:sz w:val="32"/>
          <w:szCs w:val="32"/>
          <w:lang w:eastAsia="zh-CN"/>
        </w:rPr>
        <w:t>部门</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eastAsia" w:ascii="仿宋_GB2312" w:hAnsi="Times New Roman" w:eastAsia="仿宋_GB2312" w:cs="黑体"/>
          <w:sz w:val="32"/>
          <w:szCs w:val="32"/>
        </w:rPr>
        <w:t>年预算项目均按要求编制了绩效目标，从项目产出、项目效益、满意度等方面设置了绩效指标，综合反映项目预期完成的数量、实效、质量，预期达到的社会经济效益、可持续影响以及服务对象满意度等情况。</w:t>
      </w:r>
      <w:r>
        <w:rPr>
          <w:rFonts w:hint="eastAsia" w:ascii="仿宋_GB2312" w:hAnsi="仿宋_GB2312" w:eastAsia="仿宋_GB2312" w:cs="仿宋_GB2312"/>
          <w:sz w:val="32"/>
          <w:szCs w:val="32"/>
          <w:highlight w:val="none"/>
          <w:lang w:val="en-US" w:eastAsia="zh-CN"/>
        </w:rPr>
        <w:t>我部门</w:t>
      </w:r>
      <w:r>
        <w:rPr>
          <w:rFonts w:hint="default" w:ascii="Times New Roman" w:hAnsi="Times New Roman" w:eastAsia="仿宋_GB2312" w:cs="Times New Roman"/>
          <w:sz w:val="32"/>
          <w:szCs w:val="32"/>
          <w:highlight w:val="none"/>
          <w:lang w:val="en-US" w:eastAsia="zh-CN"/>
        </w:rPr>
        <w:t>202</w:t>
      </w:r>
      <w:r>
        <w:rPr>
          <w:rFonts w:hint="eastAsia" w:ascii="Times New Roman" w:hAnsi="Times New Roman" w:eastAsia="仿宋_GB2312" w:cs="Times New Roman"/>
          <w:sz w:val="32"/>
          <w:szCs w:val="32"/>
          <w:highlight w:val="none"/>
          <w:lang w:val="en-US" w:eastAsia="zh-CN"/>
        </w:rPr>
        <w:t>4</w:t>
      </w:r>
      <w:r>
        <w:rPr>
          <w:rFonts w:hint="eastAsia" w:ascii="仿宋_GB2312" w:hAnsi="仿宋_GB2312" w:eastAsia="仿宋_GB2312" w:cs="仿宋_GB2312"/>
          <w:sz w:val="32"/>
          <w:szCs w:val="32"/>
          <w:highlight w:val="none"/>
          <w:lang w:val="en-US" w:eastAsia="zh-CN"/>
        </w:rPr>
        <w:t>年未开展重点项目预算的绩效目标。</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lang w:eastAsia="zh-CN"/>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年，共组织对</w:t>
      </w:r>
      <w:r>
        <w:rPr>
          <w:rFonts w:hint="eastAsia" w:ascii="Times New Roman" w:hAnsi="Times New Roman" w:eastAsia="黑体" w:cs="Times New Roman"/>
          <w:sz w:val="32"/>
          <w:szCs w:val="32"/>
          <w:lang w:val="en-US" w:eastAsia="zh-CN"/>
        </w:rPr>
        <w:t>2</w:t>
      </w:r>
      <w:r>
        <w:rPr>
          <w:rFonts w:hint="eastAsia" w:ascii="仿宋_GB2312" w:hAnsi="宋体" w:eastAsia="仿宋_GB2312" w:cs="Courier New"/>
          <w:sz w:val="32"/>
          <w:szCs w:val="32"/>
        </w:rPr>
        <w:t>个项目进行了预算绩效评价，涉及资金</w:t>
      </w:r>
      <w:r>
        <w:rPr>
          <w:rFonts w:hint="eastAsia" w:ascii="Times New Roman" w:hAnsi="Times New Roman" w:eastAsia="黑体" w:cs="Times New Roman"/>
          <w:sz w:val="32"/>
          <w:szCs w:val="32"/>
          <w:lang w:val="en-US" w:eastAsia="zh-CN"/>
        </w:rPr>
        <w:t>4</w:t>
      </w:r>
      <w:r>
        <w:rPr>
          <w:rFonts w:hint="eastAsia" w:ascii="仿宋_GB2312" w:hAnsi="宋体" w:eastAsia="仿宋_GB2312" w:cs="Courier New"/>
          <w:sz w:val="32"/>
          <w:szCs w:val="32"/>
        </w:rPr>
        <w:t>万元，</w:t>
      </w:r>
      <w:r>
        <w:rPr>
          <w:rFonts w:hint="eastAsia" w:ascii="仿宋_GB2312" w:hAnsi="Times New Roman" w:eastAsia="仿宋_GB2312" w:cs="黑体"/>
          <w:sz w:val="32"/>
          <w:szCs w:val="32"/>
        </w:rPr>
        <w:t>绩效评价结果显示，项目支出绩效情况较为理想，达到了项目申请时设定的各项绩效目标</w:t>
      </w:r>
      <w:r>
        <w:rPr>
          <w:rFonts w:hint="eastAsia" w:ascii="仿宋_GB2312" w:hAnsi="宋体" w:eastAsia="仿宋_GB2312" w:cs="Courier New"/>
          <w:sz w:val="32"/>
          <w:szCs w:val="32"/>
        </w:rPr>
        <w:t>。</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w:t>
      </w:r>
      <w:r>
        <w:rPr>
          <w:rFonts w:hint="eastAsia" w:ascii="Times New Roman" w:hAnsi="Times New Roman" w:eastAsia="仿宋_GB2312" w:cs="Times New Roman"/>
          <w:color w:val="auto"/>
          <w:sz w:val="32"/>
          <w:szCs w:val="32"/>
          <w:lang w:val="en-US" w:eastAsia="zh-CN"/>
        </w:rPr>
        <w:t>4</w:t>
      </w:r>
      <w:r>
        <w:rPr>
          <w:rFonts w:hint="eastAsia" w:ascii="仿宋_GB2312" w:hAnsi="宋体" w:eastAsia="仿宋_GB2312" w:cs="Courier New"/>
          <w:color w:val="auto"/>
          <w:sz w:val="32"/>
          <w:szCs w:val="32"/>
        </w:rPr>
        <w:t>年</w:t>
      </w:r>
      <w:r>
        <w:rPr>
          <w:rFonts w:hint="eastAsia" w:ascii="仿宋_GB2312" w:hAnsi="宋体" w:eastAsia="仿宋_GB2312" w:cs="Courier New"/>
          <w:sz w:val="32"/>
          <w:szCs w:val="32"/>
        </w:rPr>
        <w:t>，拟组织对</w:t>
      </w:r>
      <w:r>
        <w:rPr>
          <w:rFonts w:hint="eastAsia" w:ascii="Times New Roman" w:hAnsi="Times New Roman" w:eastAsia="黑体" w:cs="Times New Roman"/>
          <w:sz w:val="32"/>
          <w:szCs w:val="32"/>
          <w:lang w:val="en-US" w:eastAsia="zh-CN"/>
        </w:rPr>
        <w:t>2</w:t>
      </w:r>
      <w:r>
        <w:rPr>
          <w:rFonts w:hint="eastAsia" w:ascii="仿宋_GB2312" w:hAnsi="宋体" w:eastAsia="仿宋_GB2312" w:cs="Courier New"/>
          <w:sz w:val="32"/>
          <w:szCs w:val="32"/>
        </w:rPr>
        <w:t>个项目进行预算绩效评价，涉及资金</w:t>
      </w:r>
      <w:r>
        <w:rPr>
          <w:rFonts w:hint="eastAsia" w:ascii="Times New Roman" w:hAnsi="Times New Roman" w:eastAsia="黑体" w:cs="Times New Roman"/>
          <w:sz w:val="32"/>
          <w:szCs w:val="32"/>
          <w:lang w:val="en-US" w:eastAsia="zh-CN"/>
        </w:rPr>
        <w:t>4</w:t>
      </w:r>
      <w:r>
        <w:rPr>
          <w:rFonts w:hint="eastAsia" w:ascii="仿宋_GB2312" w:hAnsi="宋体" w:eastAsia="仿宋_GB2312" w:cs="Courier New"/>
          <w:sz w:val="32"/>
          <w:szCs w:val="32"/>
        </w:rPr>
        <w:t>万元</w:t>
      </w:r>
      <w:r>
        <w:rPr>
          <w:rFonts w:hint="eastAsia" w:ascii="仿宋_GB2312" w:hAnsi="宋体" w:eastAsia="仿宋_GB2312" w:cs="Courier New"/>
          <w:sz w:val="32"/>
          <w:szCs w:val="32"/>
          <w:lang w:eastAsia="zh-CN"/>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（四）国有资产占用情况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highlight w:val="red"/>
          <w:lang w:eastAsia="zh-CN"/>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年资产总额</w:t>
      </w:r>
      <w:r>
        <w:rPr>
          <w:rFonts w:hint="eastAsia" w:ascii="Times New Roman" w:hAnsi="Times New Roman" w:eastAsia="仿宋_GB2312" w:cs="Times New Roman"/>
          <w:sz w:val="32"/>
          <w:szCs w:val="32"/>
          <w:lang w:val="en-US" w:eastAsia="zh-CN"/>
        </w:rPr>
        <w:t>2.79</w:t>
      </w:r>
      <w:r>
        <w:rPr>
          <w:rFonts w:hint="eastAsia" w:ascii="仿宋_GB2312" w:hAnsi="宋体" w:eastAsia="仿宋_GB2312" w:cs="Courier New"/>
          <w:sz w:val="32"/>
          <w:szCs w:val="32"/>
        </w:rPr>
        <w:t>万元，较上年，</w:t>
      </w:r>
      <w:r>
        <w:rPr>
          <w:rFonts w:hint="eastAsia" w:ascii="仿宋_GB2312" w:hAnsi="宋体" w:eastAsia="仿宋_GB2312" w:cs="Courier New"/>
          <w:color w:val="000000"/>
          <w:sz w:val="32"/>
          <w:szCs w:val="32"/>
        </w:rPr>
        <w:t>增长</w:t>
      </w:r>
      <w:r>
        <w:rPr>
          <w:rFonts w:hint="eastAsia" w:ascii="Times New Roman" w:hAnsi="Times New Roman" w:eastAsia="仿宋_GB2312" w:cs="Times New Roman"/>
          <w:color w:val="000000"/>
          <w:sz w:val="32"/>
          <w:szCs w:val="32"/>
          <w:lang w:val="en-US" w:eastAsia="zh-CN"/>
        </w:rPr>
        <w:t>1.82</w:t>
      </w:r>
      <w:r>
        <w:rPr>
          <w:rFonts w:hint="default" w:ascii="Times New Roman" w:hAnsi="Times New Roman" w:eastAsia="仿宋_GB2312" w:cs="Times New Roman"/>
          <w:sz w:val="32"/>
          <w:szCs w:val="32"/>
        </w:rPr>
        <w:t>%</w:t>
      </w:r>
      <w:r>
        <w:rPr>
          <w:rFonts w:hint="eastAsia" w:ascii="仿宋_GB2312" w:hAnsi="宋体" w:eastAsia="仿宋_GB2312" w:cs="Courier New"/>
          <w:sz w:val="32"/>
          <w:szCs w:val="32"/>
        </w:rPr>
        <w:t>。其中：固定资产</w:t>
      </w:r>
      <w:r>
        <w:rPr>
          <w:rFonts w:hint="eastAsia" w:ascii="Times New Roman" w:hAnsi="Times New Roman" w:eastAsia="仿宋_GB2312" w:cs="Times New Roman"/>
          <w:sz w:val="32"/>
          <w:szCs w:val="32"/>
          <w:lang w:val="en-US" w:eastAsia="zh-CN"/>
        </w:rPr>
        <w:t>2.90</w:t>
      </w:r>
      <w:r>
        <w:rPr>
          <w:rFonts w:hint="eastAsia" w:ascii="仿宋_GB2312" w:hAnsi="宋体" w:eastAsia="仿宋_GB2312" w:cs="Courier New"/>
          <w:sz w:val="32"/>
          <w:szCs w:val="32"/>
        </w:rPr>
        <w:t>万元，无形资产</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万元。</w:t>
      </w:r>
      <w:r>
        <w:rPr>
          <w:rFonts w:hint="eastAsia" w:ascii="仿宋_GB2312" w:hAnsi="宋体" w:eastAsia="仿宋_GB2312" w:cs="Courier New"/>
          <w:color w:val="000000"/>
          <w:sz w:val="32"/>
          <w:szCs w:val="32"/>
        </w:rPr>
        <w:t>增长</w:t>
      </w:r>
      <w:r>
        <w:rPr>
          <w:rFonts w:hint="eastAsia" w:ascii="仿宋_GB2312" w:hAnsi="宋体" w:eastAsia="仿宋_GB2312" w:cs="Courier New"/>
          <w:sz w:val="32"/>
          <w:szCs w:val="32"/>
        </w:rPr>
        <w:t>主要原因：</w:t>
      </w:r>
      <w:r>
        <w:rPr>
          <w:rFonts w:hint="eastAsia" w:ascii="仿宋_GB2312" w:hAnsi="宋体" w:eastAsia="仿宋_GB2312" w:cs="Courier New"/>
          <w:sz w:val="32"/>
          <w:szCs w:val="32"/>
          <w:lang w:eastAsia="zh-CN"/>
        </w:rPr>
        <w:t>新购固定资产</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年期末，</w:t>
      </w:r>
      <w:r>
        <w:rPr>
          <w:rFonts w:hint="eastAsia" w:ascii="Times New Roman" w:hAnsi="Times New Roman" w:eastAsia="仿宋_GB2312"/>
          <w:sz w:val="32"/>
          <w:szCs w:val="32"/>
        </w:rPr>
        <w:t>中共新乡市卫滨区委区直机关工作委员会</w:t>
      </w:r>
      <w:r>
        <w:rPr>
          <w:rFonts w:hint="eastAsia" w:ascii="仿宋_GB2312" w:hAnsi="宋体" w:eastAsia="仿宋_GB2312" w:cs="Courier New"/>
          <w:sz w:val="32"/>
          <w:szCs w:val="32"/>
        </w:rPr>
        <w:t>共有车辆</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辆，其中：一般公务用车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辆、一般执法执勤用车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辆、特种专业技术用车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辆，其他用车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辆，其他用车主要是</w:t>
      </w:r>
      <w:r>
        <w:rPr>
          <w:rFonts w:hint="eastAsia" w:ascii="仿宋_GB2312" w:hAnsi="宋体" w:eastAsia="仿宋_GB2312" w:cs="Courier New"/>
          <w:sz w:val="32"/>
          <w:szCs w:val="32"/>
          <w:lang w:val="en-US" w:eastAsia="zh-CN"/>
        </w:rPr>
        <w:t>无</w:t>
      </w:r>
      <w:r>
        <w:rPr>
          <w:rFonts w:hint="eastAsia" w:ascii="仿宋_GB2312" w:hAnsi="宋体" w:eastAsia="仿宋_GB2312" w:cs="Courier New"/>
          <w:sz w:val="32"/>
          <w:szCs w:val="32"/>
        </w:rPr>
        <w:t>；单价</w:t>
      </w:r>
      <w:r>
        <w:rPr>
          <w:rFonts w:hint="default" w:ascii="Times New Roman" w:hAnsi="Times New Roman" w:eastAsia="仿宋_GB2312" w:cs="Times New Roman"/>
          <w:sz w:val="32"/>
          <w:szCs w:val="32"/>
        </w:rPr>
        <w:t>50</w:t>
      </w:r>
      <w:r>
        <w:rPr>
          <w:rFonts w:hint="eastAsia" w:ascii="仿宋_GB2312" w:hAnsi="宋体" w:eastAsia="仿宋_GB2312" w:cs="Courier New"/>
          <w:sz w:val="32"/>
          <w:szCs w:val="32"/>
        </w:rPr>
        <w:t>万元以上通用设备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台（套），单位价值</w:t>
      </w:r>
      <w:r>
        <w:rPr>
          <w:rFonts w:hint="default" w:ascii="Times New Roman" w:hAnsi="Times New Roman" w:eastAsia="仿宋_GB2312" w:cs="Times New Roman"/>
          <w:sz w:val="32"/>
          <w:szCs w:val="32"/>
        </w:rPr>
        <w:t>100</w:t>
      </w:r>
      <w:r>
        <w:rPr>
          <w:rFonts w:hint="eastAsia" w:ascii="仿宋_GB2312" w:hAnsi="宋体" w:eastAsia="仿宋_GB2312" w:cs="Courier New"/>
          <w:sz w:val="32"/>
          <w:szCs w:val="32"/>
        </w:rPr>
        <w:t>万元以上专用设备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（五）支出预算经济分类情况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Times New Roman" w:hAnsi="Times New Roman" w:eastAsia="仿宋_GB2312"/>
          <w:sz w:val="32"/>
          <w:szCs w:val="32"/>
        </w:rPr>
        <w:t>中共新乡市卫滨区委区直机关工作委员会</w:t>
      </w:r>
      <w:r>
        <w:rPr>
          <w:rFonts w:hint="eastAsia" w:ascii="仿宋_GB2312" w:hAnsi="宋体" w:eastAsia="仿宋_GB2312" w:cs="Courier New"/>
          <w:sz w:val="32"/>
          <w:szCs w:val="32"/>
        </w:rPr>
        <w:t>按照《财政部关于印发&lt;支出经济分类科目改革方案&gt;的通知》(财预〔</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98</w:t>
      </w:r>
      <w:r>
        <w:rPr>
          <w:rFonts w:hint="eastAsia" w:ascii="仿宋_GB2312" w:hAnsi="宋体" w:eastAsia="仿宋_GB2312" w:cs="Courier New"/>
          <w:sz w:val="32"/>
          <w:szCs w:val="32"/>
        </w:rPr>
        <w:t>号)要求，从</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年起全面实施支出经济分类科目改革，根据政府预算管理和部门预算管理的不同特点，分设部门预算支出经济分类科目和政府预算支出经济分类科目，两套科目之间保持对应关系。为适应改革要求，</w:t>
      </w:r>
      <w:r>
        <w:rPr>
          <w:rFonts w:hint="eastAsia" w:ascii="Times New Roman" w:hAnsi="Times New Roman" w:eastAsia="仿宋_GB2312"/>
          <w:sz w:val="32"/>
          <w:szCs w:val="32"/>
        </w:rPr>
        <w:t>中共新乡市卫滨区委区直机关工作委员会</w:t>
      </w:r>
      <w:r>
        <w:rPr>
          <w:rFonts w:hint="eastAsia" w:ascii="仿宋_GB2312" w:hAnsi="宋体" w:eastAsia="仿宋_GB2312" w:cs="Courier New"/>
          <w:sz w:val="32"/>
          <w:szCs w:val="32"/>
          <w:highlight w:val="none"/>
        </w:rPr>
        <w:t>单位</w:t>
      </w:r>
      <w:r>
        <w:rPr>
          <w:rFonts w:hint="eastAsia" w:ascii="仿宋_GB2312" w:hAnsi="宋体" w:eastAsia="仿宋_GB2312" w:cs="Courier New"/>
          <w:sz w:val="32"/>
          <w:szCs w:val="32"/>
          <w:highlight w:val="none"/>
          <w:lang w:eastAsia="zh-CN"/>
        </w:rPr>
        <w:t>《支出经济分类汇总表》从</w:t>
      </w:r>
      <w:r>
        <w:rPr>
          <w:rFonts w:hint="default" w:ascii="Times New Roman" w:hAnsi="Times New Roman" w:eastAsia="仿宋_GB2312" w:cs="Times New Roman"/>
          <w:sz w:val="32"/>
          <w:szCs w:val="32"/>
          <w:highlight w:val="none"/>
          <w:lang w:eastAsia="zh-CN"/>
        </w:rPr>
        <w:t xml:space="preserve"> 2018</w:t>
      </w:r>
      <w:r>
        <w:rPr>
          <w:rFonts w:hint="eastAsia" w:ascii="仿宋_GB2312" w:hAnsi="宋体" w:eastAsia="仿宋_GB2312" w:cs="Courier New"/>
          <w:sz w:val="32"/>
          <w:szCs w:val="32"/>
          <w:highlight w:val="none"/>
          <w:lang w:eastAsia="zh-CN"/>
        </w:rPr>
        <w:t>年起从仅反映一般公共预算基本支出经济分类科目预算调整为按</w:t>
      </w:r>
      <w:r>
        <w:rPr>
          <w:rFonts w:hint="eastAsia" w:ascii="仿宋_GB2312" w:hAnsi="宋体" w:eastAsia="仿宋_GB2312" w:cs="Courier New"/>
          <w:sz w:val="32"/>
          <w:szCs w:val="32"/>
        </w:rPr>
        <w:t>两套经济分类科目分别反映不同资金来源的全部预算支出。</w:t>
      </w:r>
    </w:p>
    <w:p>
      <w:pPr>
        <w:keepNext w:val="0"/>
        <w:keepLines w:val="0"/>
        <w:pageBreakBefore w:val="0"/>
        <w:widowControl w:val="0"/>
        <w:numPr>
          <w:ilvl w:val="0"/>
          <w:numId w:val="4"/>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专项转移支付项目情况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Times New Roman" w:hAnsi="Times New Roman" w:eastAsia="仿宋_GB2312"/>
          <w:sz w:val="32"/>
          <w:szCs w:val="32"/>
        </w:rPr>
        <w:t>中共新乡市卫滨区委区直机关工作委员会</w:t>
      </w:r>
      <w:r>
        <w:rPr>
          <w:rFonts w:hint="eastAsia" w:ascii="仿宋_GB2312" w:hAnsi="宋体" w:eastAsia="仿宋_GB2312" w:cs="Courier New"/>
          <w:sz w:val="32"/>
          <w:szCs w:val="32"/>
        </w:rPr>
        <w:t>单位</w:t>
      </w:r>
      <w:r>
        <w:rPr>
          <w:rFonts w:hint="eastAsia" w:ascii="仿宋_GB2312" w:hAnsi="宋体" w:eastAsia="仿宋_GB2312" w:cs="Courier New"/>
          <w:sz w:val="32"/>
          <w:szCs w:val="32"/>
          <w:highlight w:val="none"/>
        </w:rPr>
        <w:t>负责管理的专项转移支付项目共有</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项，我</w:t>
      </w:r>
      <w:r>
        <w:rPr>
          <w:rFonts w:hint="eastAsia" w:ascii="仿宋_GB2312" w:hAnsi="宋体" w:eastAsia="仿宋_GB2312" w:cs="Courier New"/>
          <w:sz w:val="32"/>
          <w:szCs w:val="32"/>
          <w:highlight w:val="none"/>
          <w:lang w:val="en-US" w:eastAsia="zh-CN"/>
        </w:rPr>
        <w:t>部门</w:t>
      </w:r>
      <w:r>
        <w:rPr>
          <w:rFonts w:hint="eastAsia" w:ascii="仿宋_GB2312" w:hAnsi="宋体" w:eastAsia="仿宋_GB2312" w:cs="Courier New"/>
          <w:sz w:val="32"/>
          <w:szCs w:val="32"/>
          <w:highlight w:val="none"/>
        </w:rPr>
        <w:t>将按照《预算法》等有关规定，积极做好项目分配前期准备工作，在规定的时间内向财政部门提出资金分配意见，根据有关要求做好项目申报公开等相关工作</w:t>
      </w:r>
      <w:r>
        <w:rPr>
          <w:rFonts w:hint="eastAsia" w:ascii="黑体" w:hAnsi="黑体" w:eastAsia="黑体" w:cs="黑体"/>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r>
        <w:rPr>
          <w:rFonts w:hint="eastAsia" w:ascii="黑体" w:hAnsi="黑体" w:eastAsia="黑体"/>
          <w:sz w:val="32"/>
          <w:szCs w:val="32"/>
        </w:rPr>
        <w:t>第三部分  名词解释</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560" w:lineRule="exact"/>
        <w:textAlignment w:val="auto"/>
        <w:rPr>
          <w:rFonts w:hint="eastAsia" w:ascii="黑体" w:hAnsi="Times New Roman" w:eastAsia="黑体" w:cs="黑体"/>
          <w:sz w:val="32"/>
          <w:szCs w:val="32"/>
        </w:rPr>
      </w:pPr>
      <w:r>
        <w:rPr>
          <w:rFonts w:hint="eastAsia" w:ascii="黑体" w:hAnsi="Times New Roman" w:eastAsia="黑体" w:cs="黑体"/>
          <w:sz w:val="32"/>
          <w:szCs w:val="32"/>
        </w:rPr>
        <w:t>附件：</w:t>
      </w:r>
    </w:p>
    <w:p>
      <w:pPr>
        <w:keepNext w:val="0"/>
        <w:keepLines w:val="0"/>
        <w:pageBreakBefore w:val="0"/>
        <w:widowControl w:val="0"/>
        <w:kinsoku w:val="0"/>
        <w:wordWrap/>
        <w:overflowPunct w:val="0"/>
        <w:topLinePunct w:val="0"/>
        <w:bidi w:val="0"/>
        <w:adjustRightInd w:val="0"/>
        <w:snapToGrid w:val="0"/>
        <w:spacing w:line="560" w:lineRule="exact"/>
        <w:ind w:left="640" w:hanging="640" w:hangingChars="200"/>
        <w:jc w:val="left"/>
        <w:textAlignment w:val="auto"/>
        <w:rPr>
          <w:rFonts w:hint="eastAsia" w:ascii="黑体" w:hAnsi="Times New Roman" w:eastAsia="黑体" w:cs="黑体"/>
          <w:sz w:val="32"/>
          <w:szCs w:val="32"/>
        </w:rPr>
      </w:pP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中共新乡市卫滨区委区直机关工作委员会</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insoku w:val="0"/>
        <w:overflowPunct w:val="0"/>
        <w:adjustRightInd w:val="0"/>
        <w:snapToGrid w:val="0"/>
        <w:spacing w:line="560" w:lineRule="exact"/>
        <w:ind w:firstLine="640" w:firstLineChars="200"/>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6"/>
        <w:tblW w:w="9240" w:type="dxa"/>
        <w:tblInd w:w="93" w:type="dxa"/>
        <w:tblLayout w:type="fixed"/>
        <w:tblCellMar>
          <w:top w:w="0" w:type="dxa"/>
          <w:left w:w="108" w:type="dxa"/>
          <w:bottom w:w="0" w:type="dxa"/>
          <w:right w:w="108" w:type="dxa"/>
        </w:tblCellMar>
      </w:tblPr>
      <w:tblGrid>
        <w:gridCol w:w="3080"/>
        <w:gridCol w:w="1540"/>
        <w:gridCol w:w="3080"/>
        <w:gridCol w:w="1540"/>
      </w:tblGrid>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xml:space="preserve">预算01表  </w:t>
            </w:r>
          </w:p>
        </w:tc>
      </w:tr>
      <w:tr>
        <w:tblPrEx>
          <w:tblLayout w:type="fixed"/>
          <w:tblCellMar>
            <w:top w:w="0" w:type="dxa"/>
            <w:left w:w="108" w:type="dxa"/>
            <w:bottom w:w="0" w:type="dxa"/>
            <w:right w:w="108" w:type="dxa"/>
          </w:tblCellMar>
        </w:tblPrEx>
        <w:trPr>
          <w:trHeight w:val="570" w:hRule="atLeast"/>
        </w:trPr>
        <w:tc>
          <w:tcPr>
            <w:tcW w:w="9240" w:type="dxa"/>
            <w:gridSpan w:val="4"/>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年部门收支</w:t>
            </w:r>
            <w:r>
              <w:rPr>
                <w:rFonts w:hint="eastAsia" w:ascii="宋体" w:hAnsi="宋体" w:cs="宋体"/>
                <w:b/>
                <w:bCs/>
                <w:kern w:val="0"/>
                <w:sz w:val="38"/>
                <w:szCs w:val="38"/>
                <w:highlight w:val="none"/>
                <w:lang w:eastAsia="zh-CN"/>
              </w:rPr>
              <w:t>总体情况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single" w:color="000000" w:sz="4" w:space="0"/>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部门名称：中共新乡市卫滨区委区直机关工作委员会</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 xml:space="preserve">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收入</w:t>
            </w:r>
          </w:p>
        </w:tc>
        <w:tc>
          <w:tcPr>
            <w:tcW w:w="46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支出</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金额  </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金额</w:t>
            </w:r>
          </w:p>
        </w:tc>
      </w:tr>
      <w:tr>
        <w:tblPrEx>
          <w:tblLayout w:type="fixed"/>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一、一般公共预算</w:t>
            </w:r>
          </w:p>
        </w:tc>
        <w:tc>
          <w:tcPr>
            <w:tcW w:w="1540" w:type="dxa"/>
            <w:tcBorders>
              <w:top w:val="nil"/>
              <w:left w:val="nil"/>
              <w:bottom w:val="single" w:color="000000" w:sz="4" w:space="0"/>
              <w:right w:val="single" w:color="000000" w:sz="4" w:space="0"/>
            </w:tcBorders>
            <w:shd w:val="clear" w:color="auto" w:fill="auto"/>
            <w:vAlign w:val="center"/>
          </w:tcPr>
          <w:p>
            <w:pPr>
              <w:widowControl/>
              <w:tabs>
                <w:tab w:val="center" w:pos="662"/>
                <w:tab w:val="right" w:pos="1624"/>
              </w:tabs>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55.5</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一、一般公共服务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43.9</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1540" w:type="dxa"/>
            <w:tcBorders>
              <w:top w:val="nil"/>
              <w:left w:val="nil"/>
              <w:bottom w:val="single" w:color="000000" w:sz="4" w:space="0"/>
              <w:right w:val="single" w:color="000000" w:sz="4" w:space="0"/>
            </w:tcBorders>
            <w:shd w:val="clear" w:color="auto" w:fill="auto"/>
            <w:vAlign w:val="center"/>
          </w:tcPr>
          <w:p>
            <w:pPr>
              <w:widowControl/>
              <w:wordWrap/>
              <w:jc w:val="righ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val="en-US" w:eastAsia="zh-CN"/>
              </w:rPr>
              <w:t>55.5</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二、外交</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二、政府性基金预算拨款收入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三、国防</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三、国有资本经营预算拨款收入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四、公共安全</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四、财政专户管理资金收入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五、教育</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五、事业收入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六、科学技术</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六、事业单位经营收入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七、文化旅游体育与传媒</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七、上级补助收入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八、社会保障和就业</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5.3</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八、附属单位上缴收入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九、社会保险基金支出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90"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九、其他收入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十、卫生健康</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2.4</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十一、节能环保</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十二、城乡社区事务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十三、农林水事务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十四、交通运输</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十五、资源勘探信息等</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十六、商业服务业等</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十七、金融支出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十九、援助其他地区支出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二十、自然资源海洋气象等支出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二十一、住房保障支出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3.9</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二十二、粮油物资储备支出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二十三、国有资本经营预算</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二十四、灾害防治及应急管理</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二十七、预备费</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二十九、其他支出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三十、转移性支出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三十一、债务还本支出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三十二、债务付息支出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三十三、债务发行费用支出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三十四、抗疫特别国债安排的支出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 年 收 入 合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55.5</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 年 支 出 合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55.5</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上年结转结余</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年终结转结余</w:t>
            </w:r>
          </w:p>
        </w:tc>
        <w:tc>
          <w:tcPr>
            <w:tcW w:w="15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收 入 总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55.5</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支 出 总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55.5</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6"/>
        <w:tblW w:w="15600" w:type="dxa"/>
        <w:tblInd w:w="93" w:type="dxa"/>
        <w:tblLayout w:type="fixed"/>
        <w:tblCellMar>
          <w:top w:w="0" w:type="dxa"/>
          <w:left w:w="108" w:type="dxa"/>
          <w:bottom w:w="0" w:type="dxa"/>
          <w:right w:w="108" w:type="dxa"/>
        </w:tblCellMar>
      </w:tblPr>
      <w:tblGrid>
        <w:gridCol w:w="960"/>
        <w:gridCol w:w="2460"/>
        <w:gridCol w:w="820"/>
        <w:gridCol w:w="820"/>
        <w:gridCol w:w="880"/>
        <w:gridCol w:w="880"/>
        <w:gridCol w:w="580"/>
        <w:gridCol w:w="580"/>
        <w:gridCol w:w="580"/>
        <w:gridCol w:w="580"/>
        <w:gridCol w:w="580"/>
        <w:gridCol w:w="580"/>
        <w:gridCol w:w="580"/>
        <w:gridCol w:w="580"/>
        <w:gridCol w:w="580"/>
        <w:gridCol w:w="580"/>
        <w:gridCol w:w="580"/>
        <w:gridCol w:w="580"/>
        <w:gridCol w:w="580"/>
        <w:gridCol w:w="1240"/>
      </w:tblGrid>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预算02表</w:t>
            </w:r>
          </w:p>
        </w:tc>
      </w:tr>
      <w:tr>
        <w:tblPrEx>
          <w:tblLayout w:type="fixed"/>
          <w:tblCellMar>
            <w:top w:w="0" w:type="dxa"/>
            <w:left w:w="108" w:type="dxa"/>
            <w:bottom w:w="0" w:type="dxa"/>
            <w:right w:w="108" w:type="dxa"/>
          </w:tblCellMar>
        </w:tblPrEx>
        <w:trPr>
          <w:trHeight w:val="429" w:hRule="atLeast"/>
        </w:trPr>
        <w:tc>
          <w:tcPr>
            <w:tcW w:w="15600" w:type="dxa"/>
            <w:gridSpan w:val="20"/>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年部门收入</w:t>
            </w:r>
            <w:r>
              <w:rPr>
                <w:rFonts w:hint="eastAsia" w:ascii="宋体" w:hAnsi="宋体" w:cs="宋体"/>
                <w:b/>
                <w:bCs/>
                <w:kern w:val="0"/>
                <w:sz w:val="38"/>
                <w:szCs w:val="38"/>
                <w:highlight w:val="none"/>
                <w:lang w:eastAsia="zh-CN"/>
              </w:rPr>
              <w:t>总体情况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部门名称：中共新乡市卫滨区委区直机关工作委员会</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 xml:space="preserve">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 xml:space="preserve"> 单位：万元                           </w:t>
            </w:r>
            <w:r>
              <w:rPr>
                <w:rFonts w:hint="eastAsia" w:ascii="宋体" w:hAnsi="宋体" w:cs="宋体"/>
                <w:kern w:val="0"/>
                <w:sz w:val="18"/>
                <w:szCs w:val="18"/>
                <w:highlight w:val="none"/>
                <w:lang w:val="en-US" w:eastAsia="zh-CN"/>
              </w:rPr>
              <w:t xml:space="preserve">                         </w:t>
            </w:r>
          </w:p>
        </w:tc>
      </w:tr>
      <w:tr>
        <w:tblPrEx>
          <w:tblLayout w:type="fixed"/>
          <w:tblCellMar>
            <w:top w:w="0" w:type="dxa"/>
            <w:left w:w="108" w:type="dxa"/>
            <w:bottom w:w="0" w:type="dxa"/>
            <w:right w:w="108" w:type="dxa"/>
          </w:tblCellMar>
        </w:tblPrEx>
        <w:trPr>
          <w:trHeight w:val="285" w:hRule="atLeast"/>
        </w:trPr>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部门（单位）名称</w:t>
            </w:r>
          </w:p>
        </w:tc>
        <w:tc>
          <w:tcPr>
            <w:tcW w:w="8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总计</w:t>
            </w:r>
          </w:p>
        </w:tc>
        <w:tc>
          <w:tcPr>
            <w:tcW w:w="7220" w:type="dxa"/>
            <w:gridSpan w:val="11"/>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本年收入</w:t>
            </w:r>
          </w:p>
        </w:tc>
        <w:tc>
          <w:tcPr>
            <w:tcW w:w="4140"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上年结转结余</w:t>
            </w:r>
          </w:p>
        </w:tc>
      </w:tr>
      <w:tr>
        <w:tblPrEx>
          <w:tblLayout w:type="fixed"/>
          <w:tblCellMar>
            <w:top w:w="0" w:type="dxa"/>
            <w:left w:w="108" w:type="dxa"/>
            <w:bottom w:w="0" w:type="dxa"/>
            <w:right w:w="108" w:type="dxa"/>
          </w:tblCellMar>
        </w:tblPrEx>
        <w:trPr>
          <w:trHeight w:val="28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7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事业收入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事业单位经营收入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上级补助收入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附属单位上缴收入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其他收入  </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12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单位资金</w:t>
            </w:r>
          </w:p>
        </w:tc>
      </w:tr>
      <w:tr>
        <w:tblPrEx>
          <w:tblLayout w:type="fixed"/>
        </w:tblPrEx>
        <w:trPr>
          <w:trHeight w:val="67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4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24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55.50</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55.50</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55.50</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55.50</w:t>
            </w:r>
          </w:p>
        </w:tc>
        <w:tc>
          <w:tcPr>
            <w:tcW w:w="5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017</w:t>
            </w: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中共新乡市卫滨区委区直机关工作委员会</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55.50</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55.50</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55.50</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55.50</w:t>
            </w:r>
          </w:p>
        </w:tc>
        <w:tc>
          <w:tcPr>
            <w:tcW w:w="5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017001</w:t>
            </w: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中共新乡市卫滨区委区直机关工作委员会本级</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55.50</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55.50</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55.50</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55.50</w:t>
            </w:r>
          </w:p>
        </w:tc>
        <w:tc>
          <w:tcPr>
            <w:tcW w:w="5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5041" w:type="dxa"/>
        <w:tblInd w:w="93" w:type="dxa"/>
        <w:tblLayout w:type="fixed"/>
        <w:tblCellMar>
          <w:top w:w="0" w:type="dxa"/>
          <w:left w:w="108" w:type="dxa"/>
          <w:bottom w:w="0" w:type="dxa"/>
          <w:right w:w="108" w:type="dxa"/>
        </w:tblCellMar>
      </w:tblPr>
      <w:tblGrid>
        <w:gridCol w:w="500"/>
        <w:gridCol w:w="500"/>
        <w:gridCol w:w="500"/>
        <w:gridCol w:w="740"/>
        <w:gridCol w:w="2595"/>
        <w:gridCol w:w="992"/>
        <w:gridCol w:w="1033"/>
        <w:gridCol w:w="1180"/>
        <w:gridCol w:w="1180"/>
        <w:gridCol w:w="1427"/>
        <w:gridCol w:w="992"/>
        <w:gridCol w:w="1134"/>
        <w:gridCol w:w="867"/>
        <w:gridCol w:w="267"/>
        <w:gridCol w:w="1134"/>
      </w:tblGrid>
      <w:tr>
        <w:tblPrEx>
          <w:tblLayout w:type="fixed"/>
          <w:tblCellMar>
            <w:top w:w="0" w:type="dxa"/>
            <w:left w:w="108" w:type="dxa"/>
            <w:bottom w:w="0" w:type="dxa"/>
            <w:right w:w="108" w:type="dxa"/>
          </w:tblCellMar>
        </w:tblPrEx>
        <w:trPr>
          <w:trHeight w:val="285" w:hRule="atLeast"/>
        </w:trPr>
        <w:tc>
          <w:tcPr>
            <w:tcW w:w="15041" w:type="dxa"/>
            <w:gridSpan w:val="15"/>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预算03表</w:t>
            </w:r>
          </w:p>
        </w:tc>
      </w:tr>
      <w:tr>
        <w:tblPrEx>
          <w:tblLayout w:type="fixed"/>
          <w:tblCellMar>
            <w:top w:w="0" w:type="dxa"/>
            <w:left w:w="108" w:type="dxa"/>
            <w:bottom w:w="0" w:type="dxa"/>
            <w:right w:w="108" w:type="dxa"/>
          </w:tblCellMar>
        </w:tblPrEx>
        <w:trPr>
          <w:trHeight w:val="570" w:hRule="atLeast"/>
        </w:trPr>
        <w:tc>
          <w:tcPr>
            <w:tcW w:w="15041" w:type="dxa"/>
            <w:gridSpan w:val="15"/>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年部门支出</w:t>
            </w:r>
            <w:r>
              <w:rPr>
                <w:rFonts w:hint="eastAsia" w:ascii="宋体" w:hAnsi="宋体" w:cs="宋体"/>
                <w:b/>
                <w:bCs/>
                <w:kern w:val="0"/>
                <w:sz w:val="38"/>
                <w:szCs w:val="38"/>
                <w:highlight w:val="none"/>
                <w:lang w:eastAsia="zh-CN"/>
              </w:rPr>
              <w:t>总体情况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500" w:type="dxa"/>
            <w:gridSpan w:val="3"/>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部门名称：</w:t>
            </w:r>
          </w:p>
        </w:tc>
        <w:tc>
          <w:tcPr>
            <w:tcW w:w="12140" w:type="dxa"/>
            <w:gridSpan w:val="10"/>
            <w:tcBorders>
              <w:top w:val="nil"/>
              <w:left w:val="nil"/>
              <w:bottom w:val="nil"/>
              <w:right w:val="nil"/>
            </w:tcBorders>
            <w:shd w:val="clear" w:color="auto" w:fill="auto"/>
            <w:vAlign w:val="center"/>
          </w:tcPr>
          <w:p>
            <w:pPr>
              <w:widowControl/>
              <w:jc w:val="lef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中共新乡市卫滨区委区直机关工作委员会</w:t>
            </w:r>
            <w:r>
              <w:rPr>
                <w:rFonts w:hint="eastAsia" w:ascii="宋体" w:hAnsi="宋体" w:cs="宋体"/>
                <w:kern w:val="0"/>
                <w:sz w:val="18"/>
                <w:szCs w:val="18"/>
                <w:highlight w:val="none"/>
                <w:lang w:val="en-US" w:eastAsia="zh-CN"/>
              </w:rPr>
              <w:t xml:space="preserve"> </w:t>
            </w:r>
          </w:p>
        </w:tc>
        <w:tc>
          <w:tcPr>
            <w:tcW w:w="1401" w:type="dxa"/>
            <w:gridSpan w:val="2"/>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单位代码</w:t>
            </w:r>
          </w:p>
        </w:tc>
        <w:tc>
          <w:tcPr>
            <w:tcW w:w="25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单位（科目名称）</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812"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基本支出  </w:t>
            </w:r>
          </w:p>
        </w:tc>
        <w:tc>
          <w:tcPr>
            <w:tcW w:w="3402"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03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41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1134"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其他运转类</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特定目标类</w:t>
            </w:r>
          </w:p>
        </w:tc>
      </w:tr>
      <w:tr>
        <w:tblPrEx>
          <w:tblLayout w:type="fixed"/>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03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对个人和家庭的补助</w:t>
            </w:r>
          </w:p>
        </w:tc>
        <w:tc>
          <w:tcPr>
            <w:tcW w:w="142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商品和服务支出</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资本性支出</w:t>
            </w: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55.50</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51.50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43.31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5.17</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4.00</w:t>
            </w: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017</w:t>
            </w: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中共新乡市卫滨区委区直机关工作委员会</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55.50</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51.50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43.31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5.17</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一般行政管理事务</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39.90</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39.90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31.71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5.17</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4.00</w:t>
            </w: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99</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其他党委办公厅（室）及相关机构事务支出</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4.00</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4.00</w:t>
            </w: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4.00</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机关事业单位基本养老保险缴费支出</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5.25</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5.25</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5.25</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210</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行政单位医疗</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2.44</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2.44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2.44</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住房公积金</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3.91</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3.91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3.91</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90"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tbl>
      <w:tblPr>
        <w:tblStyle w:val="6"/>
        <w:tblW w:w="10494" w:type="dxa"/>
        <w:tblInd w:w="-837" w:type="dxa"/>
        <w:tblLayout w:type="fixed"/>
        <w:tblCellMar>
          <w:top w:w="0" w:type="dxa"/>
          <w:left w:w="108" w:type="dxa"/>
          <w:bottom w:w="0" w:type="dxa"/>
          <w:right w:w="108" w:type="dxa"/>
        </w:tblCellMar>
      </w:tblPr>
      <w:tblGrid>
        <w:gridCol w:w="2115"/>
        <w:gridCol w:w="840"/>
        <w:gridCol w:w="2640"/>
        <w:gridCol w:w="1085"/>
        <w:gridCol w:w="1147"/>
        <w:gridCol w:w="1009"/>
        <w:gridCol w:w="736"/>
        <w:gridCol w:w="922"/>
      </w:tblGrid>
      <w:tr>
        <w:tblPrEx>
          <w:tblLayout w:type="fixed"/>
          <w:tblCellMar>
            <w:top w:w="0" w:type="dxa"/>
            <w:left w:w="108" w:type="dxa"/>
            <w:bottom w:w="0" w:type="dxa"/>
            <w:right w:w="108" w:type="dxa"/>
          </w:tblCellMar>
        </w:tblPrEx>
        <w:trPr>
          <w:trHeight w:val="315" w:hRule="atLeast"/>
        </w:trPr>
        <w:tc>
          <w:tcPr>
            <w:tcW w:w="10494" w:type="dxa"/>
            <w:gridSpan w:val="8"/>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预算04表</w:t>
            </w:r>
          </w:p>
        </w:tc>
      </w:tr>
      <w:tr>
        <w:tblPrEx>
          <w:tblLayout w:type="fixed"/>
          <w:tblCellMar>
            <w:top w:w="0" w:type="dxa"/>
            <w:left w:w="108" w:type="dxa"/>
            <w:bottom w:w="0" w:type="dxa"/>
            <w:right w:w="108" w:type="dxa"/>
          </w:tblCellMar>
        </w:tblPrEx>
        <w:trPr>
          <w:trHeight w:val="630" w:hRule="atLeast"/>
        </w:trPr>
        <w:tc>
          <w:tcPr>
            <w:tcW w:w="10494" w:type="dxa"/>
            <w:gridSpan w:val="8"/>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年财政拨款收支总体情况表</w:t>
            </w:r>
          </w:p>
        </w:tc>
      </w:tr>
      <w:tr>
        <w:tblPrEx>
          <w:tblLayout w:type="fixed"/>
          <w:tblCellMar>
            <w:top w:w="0" w:type="dxa"/>
            <w:left w:w="108" w:type="dxa"/>
            <w:bottom w:w="0" w:type="dxa"/>
            <w:right w:w="108" w:type="dxa"/>
          </w:tblCellMar>
        </w:tblPrEx>
        <w:trPr>
          <w:trHeight w:val="303" w:hRule="atLeast"/>
        </w:trPr>
        <w:tc>
          <w:tcPr>
            <w:tcW w:w="10494" w:type="dxa"/>
            <w:gridSpan w:val="8"/>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部门名称：中共新乡市卫滨区委区直机关工作委员会</w:t>
            </w:r>
            <w:r>
              <w:rPr>
                <w:rFonts w:hint="eastAsia" w:ascii="宋体" w:hAnsi="宋体" w:cs="宋体"/>
                <w:kern w:val="0"/>
                <w:sz w:val="15"/>
                <w:szCs w:val="15"/>
                <w:highlight w:val="none"/>
                <w:lang w:val="en-US" w:eastAsia="zh-CN"/>
              </w:rPr>
              <w:t xml:space="preserve">                                                                              </w:t>
            </w:r>
            <w:r>
              <w:rPr>
                <w:rFonts w:hint="eastAsia" w:ascii="宋体" w:hAnsi="宋体" w:cs="宋体"/>
                <w:kern w:val="0"/>
                <w:sz w:val="15"/>
                <w:szCs w:val="15"/>
                <w:highlight w:val="none"/>
              </w:rPr>
              <w:t>单位：万元</w:t>
            </w:r>
            <w:r>
              <w:rPr>
                <w:rFonts w:hint="eastAsia" w:ascii="宋体" w:hAnsi="宋体" w:cs="宋体"/>
                <w:kern w:val="0"/>
                <w:sz w:val="15"/>
                <w:szCs w:val="15"/>
                <w:highlight w:val="none"/>
                <w:lang w:val="en-US" w:eastAsia="zh-CN"/>
              </w:rPr>
              <w:t xml:space="preserve">                                              </w:t>
            </w:r>
          </w:p>
        </w:tc>
      </w:tr>
      <w:tr>
        <w:tblPrEx>
          <w:tblLayout w:type="fixed"/>
          <w:tblCellMar>
            <w:top w:w="0" w:type="dxa"/>
            <w:left w:w="108" w:type="dxa"/>
            <w:bottom w:w="0" w:type="dxa"/>
            <w:right w:w="108" w:type="dxa"/>
          </w:tblCellMar>
        </w:tblPrEx>
        <w:trPr>
          <w:trHeight w:val="313" w:hRule="atLeast"/>
        </w:trPr>
        <w:tc>
          <w:tcPr>
            <w:tcW w:w="2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收入  </w:t>
            </w:r>
          </w:p>
        </w:tc>
        <w:tc>
          <w:tcPr>
            <w:tcW w:w="7539" w:type="dxa"/>
            <w:gridSpan w:val="6"/>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支出  </w:t>
            </w:r>
          </w:p>
        </w:tc>
      </w:tr>
      <w:tr>
        <w:tblPrEx>
          <w:tblLayout w:type="fixed"/>
          <w:tblCellMar>
            <w:top w:w="0" w:type="dxa"/>
            <w:left w:w="108" w:type="dxa"/>
            <w:bottom w:w="0" w:type="dxa"/>
            <w:right w:w="108" w:type="dxa"/>
          </w:tblCellMar>
        </w:tblPrEx>
        <w:trPr>
          <w:trHeight w:val="313" w:hRule="atLeast"/>
        </w:trPr>
        <w:tc>
          <w:tcPr>
            <w:tcW w:w="211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项 目  </w:t>
            </w:r>
          </w:p>
        </w:tc>
        <w:tc>
          <w:tcPr>
            <w:tcW w:w="84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金　额</w:t>
            </w:r>
          </w:p>
        </w:tc>
        <w:tc>
          <w:tcPr>
            <w:tcW w:w="264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项 目  </w:t>
            </w:r>
          </w:p>
        </w:tc>
        <w:tc>
          <w:tcPr>
            <w:tcW w:w="108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合计</w:t>
            </w:r>
          </w:p>
        </w:tc>
        <w:tc>
          <w:tcPr>
            <w:tcW w:w="2156"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一般公共预算  </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政府性基金  </w:t>
            </w:r>
          </w:p>
        </w:tc>
        <w:tc>
          <w:tcPr>
            <w:tcW w:w="922"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国有资本经营预算</w:t>
            </w:r>
          </w:p>
        </w:tc>
      </w:tr>
      <w:tr>
        <w:tblPrEx>
          <w:tblLayout w:type="fixed"/>
        </w:tblPrEx>
        <w:trPr>
          <w:trHeight w:val="313" w:hRule="atLeast"/>
        </w:trPr>
        <w:tc>
          <w:tcPr>
            <w:tcW w:w="211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84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264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8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小计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其中：财政拨款</w:t>
            </w:r>
          </w:p>
        </w:tc>
        <w:tc>
          <w:tcPr>
            <w:tcW w:w="736"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922"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一、本年收入</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55.50</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一、本年支出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55.50</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55.50</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55.50</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55.50</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（一）一般公共服务支出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43.90</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43.90</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43.90</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其中：财政拨款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55.50</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（二）外交支出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9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（三）国防支出(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7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（四）公共安全支出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二、上年结转</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（五）教育支出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（六）科学技术支出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7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（七）文化体育旅游与传媒支出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1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（八）社会保障和就业支出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5.25</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5.25</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5.25</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（九）医疗卫生与计划生育支出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（十）卫生健康支出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2.44</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2.44</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2.44</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（十一）节能环保支出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（十二）城乡社区事务支出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（十三）农林水事务支出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（十四）交通运输支出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（十五）资源勘探信息等支出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（十六）商业服务业等支出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（十七）金融支出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（十九）援助其他地区支出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4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（二十）自然资源海洋气象等支出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（二十一）住房保障支出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3.91</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3.91</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3.91</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（二十二）粮油物资储备支出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（二十三）国有资本经营预算</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（二十四）灾害防治及应急管理</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（二十七）预备费</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（二十九）其他支出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（三十）转移性支出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（三十一）债务还本支出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（三十二）债务付息支出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（三十三）债务发行费用支出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61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（三十四）抗疫特别国债安排的支出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二、年终结转结余</w:t>
            </w:r>
          </w:p>
        </w:tc>
        <w:tc>
          <w:tcPr>
            <w:tcW w:w="108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5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收入合计：</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eastAsia="宋体" w:cs="宋体"/>
                <w:i w:val="0"/>
                <w:iCs w:val="0"/>
                <w:color w:val="000000"/>
                <w:kern w:val="0"/>
                <w:sz w:val="18"/>
                <w:szCs w:val="18"/>
                <w:u w:val="none"/>
                <w:lang w:val="en-US" w:eastAsia="zh-CN" w:bidi="ar"/>
              </w:rPr>
              <w:t>55.5</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支出合计</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55.50</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55.50</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55.50</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5320" w:type="dxa"/>
        <w:tblInd w:w="93" w:type="dxa"/>
        <w:tblLayout w:type="fixed"/>
        <w:tblCellMar>
          <w:top w:w="0" w:type="dxa"/>
          <w:left w:w="108" w:type="dxa"/>
          <w:bottom w:w="0" w:type="dxa"/>
          <w:right w:w="108" w:type="dxa"/>
        </w:tblCellMar>
      </w:tblPr>
      <w:tblGrid>
        <w:gridCol w:w="500"/>
        <w:gridCol w:w="500"/>
        <w:gridCol w:w="500"/>
        <w:gridCol w:w="740"/>
        <w:gridCol w:w="2460"/>
        <w:gridCol w:w="1180"/>
        <w:gridCol w:w="1180"/>
        <w:gridCol w:w="1180"/>
        <w:gridCol w:w="1180"/>
        <w:gridCol w:w="1180"/>
        <w:gridCol w:w="1180"/>
        <w:gridCol w:w="1180"/>
        <w:gridCol w:w="1180"/>
        <w:gridCol w:w="1180"/>
      </w:tblGrid>
      <w:tr>
        <w:tblPrEx>
          <w:tblLayout w:type="fixed"/>
          <w:tblCellMar>
            <w:top w:w="0" w:type="dxa"/>
            <w:left w:w="108" w:type="dxa"/>
            <w:bottom w:w="0" w:type="dxa"/>
            <w:right w:w="108" w:type="dxa"/>
          </w:tblCellMar>
        </w:tblPrEx>
        <w:trPr>
          <w:trHeight w:val="285" w:hRule="atLeast"/>
        </w:trPr>
        <w:tc>
          <w:tcPr>
            <w:tcW w:w="15320"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预算05表</w:t>
            </w:r>
          </w:p>
        </w:tc>
      </w:tr>
      <w:tr>
        <w:tblPrEx>
          <w:tblLayout w:type="fixed"/>
          <w:tblCellMar>
            <w:top w:w="0" w:type="dxa"/>
            <w:left w:w="108" w:type="dxa"/>
            <w:bottom w:w="0" w:type="dxa"/>
            <w:right w:w="108" w:type="dxa"/>
          </w:tblCellMar>
        </w:tblPrEx>
        <w:trPr>
          <w:trHeight w:val="570" w:hRule="atLeast"/>
        </w:trPr>
        <w:tc>
          <w:tcPr>
            <w:tcW w:w="15320" w:type="dxa"/>
            <w:gridSpan w:val="14"/>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年一般公共预算支出</w:t>
            </w:r>
            <w:r>
              <w:rPr>
                <w:rFonts w:hint="eastAsia" w:ascii="宋体" w:hAnsi="宋体" w:cs="宋体"/>
                <w:b/>
                <w:bCs/>
                <w:kern w:val="0"/>
                <w:sz w:val="38"/>
                <w:szCs w:val="38"/>
                <w:highlight w:val="none"/>
                <w:lang w:eastAsia="zh-CN"/>
              </w:rPr>
              <w:t>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500" w:type="dxa"/>
            <w:gridSpan w:val="3"/>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部门名称：</w:t>
            </w:r>
          </w:p>
        </w:tc>
        <w:tc>
          <w:tcPr>
            <w:tcW w:w="12640" w:type="dxa"/>
            <w:gridSpan w:val="10"/>
            <w:tcBorders>
              <w:top w:val="nil"/>
              <w:left w:val="nil"/>
              <w:bottom w:val="nil"/>
              <w:right w:val="nil"/>
            </w:tcBorders>
            <w:shd w:val="clear" w:color="auto" w:fill="auto"/>
            <w:vAlign w:val="center"/>
          </w:tcPr>
          <w:p>
            <w:pPr>
              <w:widowControl/>
              <w:jc w:val="lef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中共新乡市卫滨区委区直机关工作委员会</w:t>
            </w:r>
          </w:p>
        </w:tc>
        <w:tc>
          <w:tcPr>
            <w:tcW w:w="1180" w:type="dxa"/>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单位（科目名称）</w:t>
            </w:r>
          </w:p>
        </w:tc>
        <w:tc>
          <w:tcPr>
            <w:tcW w:w="11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900"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基本支出  </w:t>
            </w:r>
          </w:p>
        </w:tc>
        <w:tc>
          <w:tcPr>
            <w:tcW w:w="354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其他运转类</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特定目标类</w:t>
            </w:r>
          </w:p>
        </w:tc>
      </w:tr>
      <w:tr>
        <w:tblPrEx>
          <w:tblLayout w:type="fixed"/>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对个人和家庭的补助</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商品和服务支出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资本性支出</w:t>
            </w: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55.50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51.50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43.31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5.17</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017</w:t>
            </w: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中共新乡市卫滨区委区直机关工作委员会</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55.50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51.50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43.31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5.17</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4.00</w:t>
            </w:r>
          </w:p>
        </w:tc>
        <w:tc>
          <w:tcPr>
            <w:tcW w:w="118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一般行政管理事务</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39.90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39.90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31.71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5.17</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99</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其他党委办公厅（室）及相关机构事务支出</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机关事业单位基本养老保险缴费支出</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5.25</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5.25</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5.25</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210</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行政单位医疗</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2.44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2.44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2.44</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住房公积金</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3.91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3.91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3.91</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5920" w:type="dxa"/>
        <w:tblInd w:w="93" w:type="dxa"/>
        <w:tblLayout w:type="fixed"/>
        <w:tblCellMar>
          <w:top w:w="0" w:type="dxa"/>
          <w:left w:w="108" w:type="dxa"/>
          <w:bottom w:w="0" w:type="dxa"/>
          <w:right w:w="108" w:type="dxa"/>
        </w:tblCellMar>
      </w:tblPr>
      <w:tblGrid>
        <w:gridCol w:w="500"/>
        <w:gridCol w:w="224"/>
        <w:gridCol w:w="276"/>
        <w:gridCol w:w="840"/>
        <w:gridCol w:w="585"/>
        <w:gridCol w:w="1393"/>
        <w:gridCol w:w="525"/>
        <w:gridCol w:w="480"/>
        <w:gridCol w:w="295"/>
        <w:gridCol w:w="1418"/>
        <w:gridCol w:w="132"/>
        <w:gridCol w:w="690"/>
        <w:gridCol w:w="945"/>
        <w:gridCol w:w="643"/>
        <w:gridCol w:w="197"/>
        <w:gridCol w:w="390"/>
        <w:gridCol w:w="375"/>
        <w:gridCol w:w="780"/>
        <w:gridCol w:w="384"/>
        <w:gridCol w:w="261"/>
        <w:gridCol w:w="947"/>
        <w:gridCol w:w="163"/>
        <w:gridCol w:w="472"/>
        <w:gridCol w:w="68"/>
        <w:gridCol w:w="690"/>
        <w:gridCol w:w="855"/>
        <w:gridCol w:w="513"/>
        <w:gridCol w:w="207"/>
        <w:gridCol w:w="672"/>
      </w:tblGrid>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4317" w:type="dxa"/>
            <w:gridSpan w:val="25"/>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预算06表</w:t>
            </w:r>
          </w:p>
        </w:tc>
      </w:tr>
      <w:tr>
        <w:tblPrEx>
          <w:tblLayout w:type="fixed"/>
          <w:tblCellMar>
            <w:top w:w="0" w:type="dxa"/>
            <w:left w:w="108" w:type="dxa"/>
            <w:bottom w:w="0" w:type="dxa"/>
            <w:right w:w="108" w:type="dxa"/>
          </w:tblCellMar>
        </w:tblPrEx>
        <w:trPr>
          <w:gridBefore w:val="2"/>
          <w:gridAfter w:val="2"/>
          <w:wBefore w:w="724" w:type="dxa"/>
          <w:wAfter w:w="879" w:type="dxa"/>
          <w:trHeight w:val="570" w:hRule="atLeast"/>
        </w:trPr>
        <w:tc>
          <w:tcPr>
            <w:tcW w:w="14317" w:type="dxa"/>
            <w:gridSpan w:val="25"/>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lang w:val="en-US" w:eastAsia="zh-CN"/>
              </w:rPr>
              <w:t>2024年</w:t>
            </w:r>
            <w:r>
              <w:rPr>
                <w:rFonts w:hint="eastAsia" w:ascii="宋体" w:hAnsi="宋体" w:cs="宋体"/>
                <w:b/>
                <w:bCs/>
                <w:kern w:val="0"/>
                <w:sz w:val="38"/>
                <w:szCs w:val="38"/>
                <w:highlight w:val="none"/>
              </w:rPr>
              <w:t>一般公共预算基本支出表</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116" w:type="dxa"/>
            <w:gridSpan w:val="2"/>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p>
        </w:tc>
        <w:tc>
          <w:tcPr>
            <w:tcW w:w="10440" w:type="dxa"/>
            <w:gridSpan w:val="17"/>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中共新乡市卫滨区委区直机关工作委员会</w:t>
            </w:r>
          </w:p>
        </w:tc>
        <w:tc>
          <w:tcPr>
            <w:tcW w:w="2761" w:type="dxa"/>
            <w:gridSpan w:val="6"/>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439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部门预算支出经济分类科目</w:t>
            </w:r>
          </w:p>
        </w:tc>
        <w:tc>
          <w:tcPr>
            <w:tcW w:w="3828"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政府预算支出经济分类科目编码</w:t>
            </w:r>
          </w:p>
        </w:tc>
        <w:tc>
          <w:tcPr>
            <w:tcW w:w="6095" w:type="dxa"/>
            <w:gridSpan w:val="1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本年一般公共预算基本支出</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科目名称</w:t>
            </w:r>
          </w:p>
        </w:tc>
        <w:tc>
          <w:tcPr>
            <w:tcW w:w="1418"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科目名称</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r>
      <w:tr>
        <w:tblPrEx>
          <w:tblLayout w:type="fixed"/>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51.50</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48.48</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30302</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退休费</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50905</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离退休费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5.17</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5.17</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30103</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奖金</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1.60</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1.60</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30107</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绩效工资</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50501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5.53</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5.53</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30101</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基本工资</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17.31</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17.31</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30102</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津贴补贴</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7.27</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7.27</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30228</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工会经费</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办公经费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0.44</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0.44</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30299</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其他商品和服务支出</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50299</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其他商品和服务支出</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0.15</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0.15</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30201</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办公费</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办公经费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0.87</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0.87</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30239</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其他交通费用</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办公经费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1.56</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1.56</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30108</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机关事业单位基本养老保险缴费</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50102</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社会保障缴费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5.25</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5.25</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454"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30110</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职工基本医疗保险缴费</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50102</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社会保障缴费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2.44</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2.44</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30113</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住房公积金</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50103</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住房公积金</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3.91</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3.91</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360" w:hRule="atLeast"/>
        </w:trPr>
        <w:tc>
          <w:tcPr>
            <w:tcW w:w="15920" w:type="dxa"/>
            <w:gridSpan w:val="29"/>
            <w:tcBorders>
              <w:top w:val="nil"/>
              <w:left w:val="nil"/>
              <w:bottom w:val="nil"/>
              <w:right w:val="nil"/>
            </w:tcBorders>
            <w:shd w:val="clear" w:color="auto" w:fill="auto"/>
            <w:vAlign w:val="center"/>
          </w:tcPr>
          <w:p>
            <w:pPr>
              <w:widowControl/>
              <w:ind w:firstLine="14760" w:firstLineChars="8200"/>
              <w:jc w:val="both"/>
              <w:rPr>
                <w:rFonts w:ascii="宋体" w:hAnsi="宋体" w:cs="宋体"/>
                <w:kern w:val="0"/>
                <w:sz w:val="18"/>
                <w:szCs w:val="18"/>
                <w:highlight w:val="none"/>
              </w:rPr>
            </w:pPr>
            <w:r>
              <w:rPr>
                <w:rFonts w:hint="eastAsia" w:ascii="宋体" w:hAnsi="宋体" w:cs="宋体"/>
                <w:kern w:val="0"/>
                <w:sz w:val="18"/>
                <w:szCs w:val="18"/>
                <w:highlight w:val="none"/>
              </w:rPr>
              <w:t>预算07表</w:t>
            </w:r>
          </w:p>
        </w:tc>
      </w:tr>
      <w:tr>
        <w:tblPrEx>
          <w:tblLayout w:type="fixed"/>
          <w:tblCellMar>
            <w:top w:w="0" w:type="dxa"/>
            <w:left w:w="108" w:type="dxa"/>
            <w:bottom w:w="0" w:type="dxa"/>
            <w:right w:w="108" w:type="dxa"/>
          </w:tblCellMar>
        </w:tblPrEx>
        <w:trPr>
          <w:trHeight w:val="444" w:hRule="atLeast"/>
        </w:trPr>
        <w:tc>
          <w:tcPr>
            <w:tcW w:w="15920" w:type="dxa"/>
            <w:gridSpan w:val="29"/>
            <w:tcBorders>
              <w:top w:val="nil"/>
              <w:left w:val="nil"/>
              <w:bottom w:val="nil"/>
              <w:right w:val="nil"/>
            </w:tcBorders>
            <w:shd w:val="clear" w:color="auto" w:fill="auto"/>
            <w:vAlign w:val="center"/>
          </w:tcPr>
          <w:p>
            <w:pPr>
              <w:widowControl/>
              <w:ind w:firstLine="5341" w:firstLineChars="1400"/>
              <w:jc w:val="both"/>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年支出经济分类汇总表</w:t>
            </w:r>
          </w:p>
        </w:tc>
      </w:tr>
      <w:tr>
        <w:tblPrEx>
          <w:tblLayout w:type="fixed"/>
          <w:tblCellMar>
            <w:top w:w="0" w:type="dxa"/>
            <w:left w:w="108" w:type="dxa"/>
            <w:bottom w:w="0" w:type="dxa"/>
            <w:right w:w="108" w:type="dxa"/>
          </w:tblCellMar>
        </w:tblPrEx>
        <w:trPr>
          <w:trHeight w:val="325" w:hRule="atLeast"/>
        </w:trPr>
        <w:tc>
          <w:tcPr>
            <w:tcW w:w="9533" w:type="dxa"/>
            <w:gridSpan w:val="16"/>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部门名称： 中共新乡市卫滨区委区直机关工作委员会</w:t>
            </w:r>
          </w:p>
        </w:tc>
        <w:tc>
          <w:tcPr>
            <w:tcW w:w="6387" w:type="dxa"/>
            <w:gridSpan w:val="13"/>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 xml:space="preserve">                                                                </w:t>
            </w:r>
            <w:r>
              <w:rPr>
                <w:rFonts w:hint="eastAsia" w:ascii="宋体" w:hAnsi="宋体" w:cs="宋体"/>
                <w:kern w:val="0"/>
                <w:sz w:val="15"/>
                <w:szCs w:val="15"/>
                <w:highlight w:val="none"/>
              </w:rPr>
              <w:t>单位：万元</w:t>
            </w:r>
          </w:p>
        </w:tc>
      </w:tr>
      <w:tr>
        <w:tblPrEx>
          <w:tblLayout w:type="fixed"/>
          <w:tblCellMar>
            <w:top w:w="0" w:type="dxa"/>
            <w:left w:w="108" w:type="dxa"/>
            <w:bottom w:w="0" w:type="dxa"/>
            <w:right w:w="108" w:type="dxa"/>
          </w:tblCellMar>
        </w:tblPrEx>
        <w:trPr>
          <w:trHeight w:val="285" w:hRule="atLeast"/>
        </w:trPr>
        <w:tc>
          <w:tcPr>
            <w:tcW w:w="381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部门预算经济分类  </w:t>
            </w:r>
          </w:p>
        </w:tc>
        <w:tc>
          <w:tcPr>
            <w:tcW w:w="2850"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政府预算经济分类</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总计</w:t>
            </w:r>
          </w:p>
        </w:tc>
        <w:tc>
          <w:tcPr>
            <w:tcW w:w="1785"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一般公共预算</w:t>
            </w:r>
          </w:p>
        </w:tc>
        <w:tc>
          <w:tcPr>
            <w:tcW w:w="76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政府性基金</w:t>
            </w: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国有资本经营预算</w:t>
            </w:r>
          </w:p>
        </w:tc>
        <w:tc>
          <w:tcPr>
            <w:tcW w:w="6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上年结转结余</w:t>
            </w:r>
          </w:p>
        </w:tc>
        <w:tc>
          <w:tcPr>
            <w:tcW w:w="11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财政专户管理资金收入</w:t>
            </w:r>
          </w:p>
        </w:tc>
        <w:tc>
          <w:tcPr>
            <w:tcW w:w="54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事业收入</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上级补助收入</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附属单位上缴收入</w:t>
            </w:r>
          </w:p>
        </w:tc>
        <w:tc>
          <w:tcPr>
            <w:tcW w:w="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事业单位经营收入</w:t>
            </w:r>
          </w:p>
        </w:tc>
        <w:tc>
          <w:tcPr>
            <w:tcW w:w="6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其他收入  </w:t>
            </w:r>
          </w:p>
        </w:tc>
      </w:tr>
      <w:tr>
        <w:tblPrEx>
          <w:tblLayout w:type="fixed"/>
          <w:tblCellMar>
            <w:top w:w="0" w:type="dxa"/>
            <w:left w:w="108" w:type="dxa"/>
            <w:bottom w:w="0" w:type="dxa"/>
            <w:right w:w="108" w:type="dxa"/>
          </w:tblCellMar>
        </w:tblPrEx>
        <w:trPr>
          <w:trHeight w:val="73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类</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款</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科目名称</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类</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款</w:t>
            </w:r>
          </w:p>
        </w:tc>
        <w:tc>
          <w:tcPr>
            <w:tcW w:w="184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科目名称</w:t>
            </w:r>
          </w:p>
        </w:tc>
        <w:tc>
          <w:tcPr>
            <w:tcW w:w="69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4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小计</w:t>
            </w:r>
          </w:p>
        </w:tc>
        <w:tc>
          <w:tcPr>
            <w:tcW w:w="8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其中：财政拨款</w:t>
            </w:r>
          </w:p>
        </w:tc>
        <w:tc>
          <w:tcPr>
            <w:tcW w:w="765"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45"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111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4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9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5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7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27"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合计</w:t>
            </w:r>
          </w:p>
        </w:tc>
        <w:tc>
          <w:tcPr>
            <w:tcW w:w="52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48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845" w:type="dxa"/>
            <w:gridSpan w:val="3"/>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55.50</w:t>
            </w:r>
          </w:p>
        </w:tc>
        <w:tc>
          <w:tcPr>
            <w:tcW w:w="94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55.50</w:t>
            </w:r>
          </w:p>
        </w:tc>
        <w:tc>
          <w:tcPr>
            <w:tcW w:w="8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6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4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017</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中共新乡市卫滨区委区直机关工作委员会</w:t>
            </w:r>
          </w:p>
        </w:tc>
        <w:tc>
          <w:tcPr>
            <w:tcW w:w="52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48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845" w:type="dxa"/>
            <w:gridSpan w:val="3"/>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55.50</w:t>
            </w:r>
          </w:p>
        </w:tc>
        <w:tc>
          <w:tcPr>
            <w:tcW w:w="94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55.50</w:t>
            </w:r>
          </w:p>
        </w:tc>
        <w:tc>
          <w:tcPr>
            <w:tcW w:w="8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6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4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303</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02</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退休费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509</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05</w:t>
            </w:r>
          </w:p>
        </w:tc>
        <w:tc>
          <w:tcPr>
            <w:tcW w:w="184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离退休费</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5.17</w:t>
            </w:r>
          </w:p>
        </w:tc>
        <w:tc>
          <w:tcPr>
            <w:tcW w:w="94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5.17</w:t>
            </w:r>
          </w:p>
        </w:tc>
        <w:tc>
          <w:tcPr>
            <w:tcW w:w="8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6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4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03</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奖金</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184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1.60</w:t>
            </w:r>
          </w:p>
        </w:tc>
        <w:tc>
          <w:tcPr>
            <w:tcW w:w="94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1.60</w:t>
            </w:r>
          </w:p>
        </w:tc>
        <w:tc>
          <w:tcPr>
            <w:tcW w:w="8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6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4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07</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绩效工资</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505</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184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工资福利支出</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5.53</w:t>
            </w:r>
          </w:p>
        </w:tc>
        <w:tc>
          <w:tcPr>
            <w:tcW w:w="94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5.53</w:t>
            </w:r>
          </w:p>
        </w:tc>
        <w:tc>
          <w:tcPr>
            <w:tcW w:w="8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6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4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基本工资</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184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17.31</w:t>
            </w:r>
          </w:p>
        </w:tc>
        <w:tc>
          <w:tcPr>
            <w:tcW w:w="94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17.31</w:t>
            </w:r>
          </w:p>
        </w:tc>
        <w:tc>
          <w:tcPr>
            <w:tcW w:w="8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6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4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02</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津贴补贴</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184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7.27</w:t>
            </w:r>
          </w:p>
        </w:tc>
        <w:tc>
          <w:tcPr>
            <w:tcW w:w="94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7.27</w:t>
            </w:r>
          </w:p>
        </w:tc>
        <w:tc>
          <w:tcPr>
            <w:tcW w:w="8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6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4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28</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工会经费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184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办公经费</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0.44</w:t>
            </w:r>
          </w:p>
        </w:tc>
        <w:tc>
          <w:tcPr>
            <w:tcW w:w="94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0.44</w:t>
            </w:r>
          </w:p>
        </w:tc>
        <w:tc>
          <w:tcPr>
            <w:tcW w:w="8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6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4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99</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其他商品和服务支出</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99</w:t>
            </w:r>
          </w:p>
        </w:tc>
        <w:tc>
          <w:tcPr>
            <w:tcW w:w="184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其他商品和服务支出</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0.15</w:t>
            </w:r>
          </w:p>
        </w:tc>
        <w:tc>
          <w:tcPr>
            <w:tcW w:w="94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0.15</w:t>
            </w:r>
          </w:p>
        </w:tc>
        <w:tc>
          <w:tcPr>
            <w:tcW w:w="8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6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4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办公费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184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办公经费</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0.87</w:t>
            </w:r>
          </w:p>
        </w:tc>
        <w:tc>
          <w:tcPr>
            <w:tcW w:w="94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0.87</w:t>
            </w:r>
          </w:p>
        </w:tc>
        <w:tc>
          <w:tcPr>
            <w:tcW w:w="8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6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4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39</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其他交通费用</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184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办公经费</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1.56</w:t>
            </w:r>
          </w:p>
        </w:tc>
        <w:tc>
          <w:tcPr>
            <w:tcW w:w="94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1.56</w:t>
            </w:r>
          </w:p>
        </w:tc>
        <w:tc>
          <w:tcPr>
            <w:tcW w:w="8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6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4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01</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办公费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505</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02</w:t>
            </w:r>
          </w:p>
        </w:tc>
        <w:tc>
          <w:tcPr>
            <w:tcW w:w="184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商品和服务支出</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1.00</w:t>
            </w:r>
          </w:p>
        </w:tc>
        <w:tc>
          <w:tcPr>
            <w:tcW w:w="94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1.00</w:t>
            </w:r>
          </w:p>
        </w:tc>
        <w:tc>
          <w:tcPr>
            <w:tcW w:w="8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6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4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303</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99</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其他对个人和家庭的补助</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509</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99</w:t>
            </w:r>
          </w:p>
        </w:tc>
        <w:tc>
          <w:tcPr>
            <w:tcW w:w="184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其他对个人和家庭的补助</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3.00</w:t>
            </w:r>
          </w:p>
        </w:tc>
        <w:tc>
          <w:tcPr>
            <w:tcW w:w="94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3.00</w:t>
            </w:r>
          </w:p>
        </w:tc>
        <w:tc>
          <w:tcPr>
            <w:tcW w:w="8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6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4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6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08</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机关事业单位基本养老保险缴费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02</w:t>
            </w:r>
          </w:p>
        </w:tc>
        <w:tc>
          <w:tcPr>
            <w:tcW w:w="184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社会保障缴费</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5.25</w:t>
            </w:r>
          </w:p>
        </w:tc>
        <w:tc>
          <w:tcPr>
            <w:tcW w:w="94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5.25</w:t>
            </w:r>
          </w:p>
        </w:tc>
        <w:tc>
          <w:tcPr>
            <w:tcW w:w="8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6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4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10</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职工基本医疗保险缴费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02</w:t>
            </w:r>
          </w:p>
        </w:tc>
        <w:tc>
          <w:tcPr>
            <w:tcW w:w="184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社会保障缴费</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2.44</w:t>
            </w:r>
          </w:p>
        </w:tc>
        <w:tc>
          <w:tcPr>
            <w:tcW w:w="94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2.44</w:t>
            </w:r>
          </w:p>
        </w:tc>
        <w:tc>
          <w:tcPr>
            <w:tcW w:w="8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6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4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13</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住房公积金</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03</w:t>
            </w:r>
          </w:p>
        </w:tc>
        <w:tc>
          <w:tcPr>
            <w:tcW w:w="184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住房公积金</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3.91</w:t>
            </w:r>
          </w:p>
        </w:tc>
        <w:tc>
          <w:tcPr>
            <w:tcW w:w="94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3.91</w:t>
            </w:r>
          </w:p>
        </w:tc>
        <w:tc>
          <w:tcPr>
            <w:tcW w:w="8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6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45"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13032" w:type="dxa"/>
        <w:tblInd w:w="1101" w:type="dxa"/>
        <w:tblLayout w:type="fixed"/>
        <w:tblCellMar>
          <w:top w:w="0" w:type="dxa"/>
          <w:left w:w="108" w:type="dxa"/>
          <w:bottom w:w="0" w:type="dxa"/>
          <w:right w:w="108" w:type="dxa"/>
        </w:tblCellMar>
      </w:tblPr>
      <w:tblGrid>
        <w:gridCol w:w="2352"/>
        <w:gridCol w:w="1785"/>
        <w:gridCol w:w="1875"/>
        <w:gridCol w:w="2340"/>
        <w:gridCol w:w="2340"/>
        <w:gridCol w:w="2340"/>
      </w:tblGrid>
      <w:tr>
        <w:tblPrEx>
          <w:tblLayout w:type="fixed"/>
          <w:tblCellMar>
            <w:top w:w="0" w:type="dxa"/>
            <w:left w:w="108" w:type="dxa"/>
            <w:bottom w:w="0" w:type="dxa"/>
            <w:right w:w="108" w:type="dxa"/>
          </w:tblCellMar>
        </w:tblPrEx>
        <w:trPr>
          <w:trHeight w:val="285" w:hRule="atLeast"/>
        </w:trPr>
        <w:tc>
          <w:tcPr>
            <w:tcW w:w="13032" w:type="dxa"/>
            <w:gridSpan w:val="6"/>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预算08表</w:t>
            </w:r>
          </w:p>
        </w:tc>
      </w:tr>
      <w:tr>
        <w:tblPrEx>
          <w:tblLayout w:type="fixed"/>
          <w:tblCellMar>
            <w:top w:w="0" w:type="dxa"/>
            <w:left w:w="108" w:type="dxa"/>
            <w:bottom w:w="0" w:type="dxa"/>
            <w:right w:w="108" w:type="dxa"/>
          </w:tblCellMar>
        </w:tblPrEx>
        <w:trPr>
          <w:trHeight w:val="570" w:hRule="atLeast"/>
        </w:trPr>
        <w:tc>
          <w:tcPr>
            <w:tcW w:w="13032" w:type="dxa"/>
            <w:gridSpan w:val="6"/>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年一般公共预算“三公”经费</w:t>
            </w:r>
            <w:r>
              <w:rPr>
                <w:rFonts w:hint="eastAsia" w:ascii="宋体" w:hAnsi="宋体" w:cs="宋体"/>
                <w:b/>
                <w:bCs/>
                <w:kern w:val="0"/>
                <w:sz w:val="38"/>
                <w:szCs w:val="38"/>
                <w:highlight w:val="none"/>
                <w:lang w:eastAsia="zh-CN"/>
              </w:rPr>
              <w:t>支出情况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3032" w:type="dxa"/>
            <w:gridSpan w:val="6"/>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部门名称:中共新乡市卫滨区委区直机关工作委员会</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23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“三公”经费合计</w:t>
            </w:r>
          </w:p>
        </w:tc>
        <w:tc>
          <w:tcPr>
            <w:tcW w:w="1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因公出国（境）费</w:t>
            </w:r>
          </w:p>
        </w:tc>
        <w:tc>
          <w:tcPr>
            <w:tcW w:w="655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公务用车购置及运行费</w:t>
            </w:r>
          </w:p>
        </w:tc>
        <w:tc>
          <w:tcPr>
            <w:tcW w:w="2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公务接待费</w:t>
            </w:r>
          </w:p>
        </w:tc>
      </w:tr>
      <w:tr>
        <w:tblPrEx>
          <w:tblLayout w:type="fixed"/>
          <w:tblCellMar>
            <w:top w:w="0" w:type="dxa"/>
            <w:left w:w="108" w:type="dxa"/>
            <w:bottom w:w="0" w:type="dxa"/>
            <w:right w:w="108" w:type="dxa"/>
          </w:tblCellMar>
        </w:tblPrEx>
        <w:trPr>
          <w:trHeight w:val="285" w:hRule="atLeast"/>
        </w:trPr>
        <w:tc>
          <w:tcPr>
            <w:tcW w:w="235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7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公务用车购置费</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公务用车运行费</w:t>
            </w:r>
          </w:p>
        </w:tc>
        <w:tc>
          <w:tcPr>
            <w:tcW w:w="2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PrEx>
        <w:trPr>
          <w:trHeight w:val="285" w:hRule="atLeast"/>
        </w:trPr>
        <w:tc>
          <w:tcPr>
            <w:tcW w:w="2352" w:type="dxa"/>
            <w:tcBorders>
              <w:top w:val="nil"/>
              <w:left w:val="single" w:color="000000" w:sz="4" w:space="0"/>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1785"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1875"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r>
      <w:tr>
        <w:tblPrEx>
          <w:tblLayout w:type="fixed"/>
          <w:tblCellMar>
            <w:top w:w="0" w:type="dxa"/>
            <w:left w:w="108" w:type="dxa"/>
            <w:bottom w:w="0" w:type="dxa"/>
            <w:right w:w="108" w:type="dxa"/>
          </w:tblCellMar>
        </w:tblPrEx>
        <w:trPr>
          <w:trHeight w:val="1448" w:hRule="atLeast"/>
        </w:trPr>
        <w:tc>
          <w:tcPr>
            <w:tcW w:w="13032" w:type="dxa"/>
            <w:gridSpan w:val="6"/>
            <w:tcBorders>
              <w:top w:val="nil"/>
              <w:left w:val="nil"/>
              <w:bottom w:val="nil"/>
              <w:right w:val="nil"/>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r>
              <w:rPr>
                <w:rFonts w:hint="eastAsia" w:ascii="宋体" w:hAnsi="宋体" w:eastAsia="宋体" w:cs="宋体"/>
                <w:i w:val="0"/>
                <w:iCs w:val="0"/>
                <w:color w:val="000000"/>
                <w:kern w:val="0"/>
                <w:sz w:val="18"/>
                <w:szCs w:val="18"/>
                <w:u w:val="none"/>
                <w:lang w:val="en-US" w:eastAsia="zh-CN" w:bidi="ar"/>
              </w:rPr>
              <w:t>说明：我部门没有“三公”经费收入，也没有使用“三公”经费支出，故此表无数据。</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pPr w:leftFromText="180" w:rightFromText="180" w:vertAnchor="text" w:horzAnchor="page" w:tblpX="916" w:tblpY="357"/>
        <w:tblOverlap w:val="never"/>
        <w:tblW w:w="15270" w:type="dxa"/>
        <w:tblInd w:w="0" w:type="dxa"/>
        <w:tblLayout w:type="fixed"/>
        <w:tblCellMar>
          <w:top w:w="0" w:type="dxa"/>
          <w:left w:w="108" w:type="dxa"/>
          <w:bottom w:w="0" w:type="dxa"/>
          <w:right w:w="108" w:type="dxa"/>
        </w:tblCellMar>
      </w:tblPr>
      <w:tblGrid>
        <w:gridCol w:w="495"/>
        <w:gridCol w:w="495"/>
        <w:gridCol w:w="495"/>
        <w:gridCol w:w="735"/>
        <w:gridCol w:w="2460"/>
        <w:gridCol w:w="1170"/>
        <w:gridCol w:w="1170"/>
        <w:gridCol w:w="1170"/>
        <w:gridCol w:w="1170"/>
        <w:gridCol w:w="1170"/>
        <w:gridCol w:w="1170"/>
        <w:gridCol w:w="1170"/>
        <w:gridCol w:w="1170"/>
        <w:gridCol w:w="1230"/>
      </w:tblGrid>
      <w:tr>
        <w:tblPrEx>
          <w:tblLayout w:type="fixed"/>
          <w:tblCellMar>
            <w:top w:w="0" w:type="dxa"/>
            <w:left w:w="108" w:type="dxa"/>
            <w:bottom w:w="0" w:type="dxa"/>
            <w:right w:w="108" w:type="dxa"/>
          </w:tblCellMar>
        </w:tblPrEx>
        <w:trPr>
          <w:trHeight w:val="285" w:hRule="atLeast"/>
        </w:trPr>
        <w:tc>
          <w:tcPr>
            <w:tcW w:w="15270" w:type="dxa"/>
            <w:gridSpan w:val="14"/>
            <w:tcBorders>
              <w:top w:val="nil"/>
              <w:left w:val="nil"/>
              <w:bottom w:val="nil"/>
              <w:right w:val="nil"/>
            </w:tcBorders>
            <w:shd w:val="clear" w:color="auto" w:fill="auto"/>
            <w:vAlign w:val="center"/>
          </w:tcPr>
          <w:p>
            <w:pPr>
              <w:widowControl/>
              <w:jc w:val="right"/>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预算09表</w:t>
            </w:r>
          </w:p>
        </w:tc>
      </w:tr>
      <w:tr>
        <w:tblPrEx>
          <w:tblLayout w:type="fixed"/>
          <w:tblCellMar>
            <w:top w:w="0" w:type="dxa"/>
            <w:left w:w="108" w:type="dxa"/>
            <w:bottom w:w="0" w:type="dxa"/>
            <w:right w:w="108" w:type="dxa"/>
          </w:tblCellMar>
        </w:tblPrEx>
        <w:trPr>
          <w:trHeight w:val="570" w:hRule="atLeast"/>
        </w:trPr>
        <w:tc>
          <w:tcPr>
            <w:tcW w:w="15270" w:type="dxa"/>
            <w:gridSpan w:val="14"/>
            <w:tcBorders>
              <w:top w:val="nil"/>
              <w:left w:val="nil"/>
              <w:bottom w:val="nil"/>
              <w:right w:val="nil"/>
            </w:tcBorders>
            <w:shd w:val="clear" w:color="auto" w:fill="auto"/>
            <w:vAlign w:val="center"/>
          </w:tcPr>
          <w:p>
            <w:pPr>
              <w:widowControl/>
              <w:jc w:val="center"/>
              <w:textAlignment w:val="center"/>
              <w:rPr>
                <w:rFonts w:ascii="宋体" w:hAnsi="宋体" w:cs="宋体"/>
                <w:b/>
                <w:bCs/>
                <w:color w:val="000000"/>
                <w:sz w:val="38"/>
                <w:szCs w:val="38"/>
                <w:highlight w:val="none"/>
              </w:rPr>
            </w:pPr>
            <w:r>
              <w:rPr>
                <w:rFonts w:ascii="宋体" w:hAnsi="宋体" w:cs="宋体"/>
                <w:b/>
                <w:bCs/>
                <w:color w:val="000000"/>
                <w:kern w:val="0"/>
                <w:sz w:val="38"/>
                <w:szCs w:val="38"/>
                <w:highlight w:val="none"/>
              </w:rPr>
              <w:t>202</w:t>
            </w:r>
            <w:r>
              <w:rPr>
                <w:rFonts w:hint="eastAsia" w:ascii="宋体" w:hAnsi="宋体" w:cs="宋体"/>
                <w:b/>
                <w:bCs/>
                <w:color w:val="000000"/>
                <w:kern w:val="0"/>
                <w:sz w:val="38"/>
                <w:szCs w:val="38"/>
                <w:highlight w:val="none"/>
                <w:lang w:val="en-US" w:eastAsia="zh-CN"/>
              </w:rPr>
              <w:t>4</w:t>
            </w:r>
            <w:r>
              <w:rPr>
                <w:rFonts w:ascii="宋体" w:hAnsi="宋体" w:cs="宋体"/>
                <w:b/>
                <w:bCs/>
                <w:color w:val="000000"/>
                <w:kern w:val="0"/>
                <w:sz w:val="38"/>
                <w:szCs w:val="38"/>
                <w:highlight w:val="none"/>
              </w:rPr>
              <w:t>年政府性基金</w:t>
            </w:r>
            <w:r>
              <w:rPr>
                <w:rFonts w:hint="eastAsia" w:ascii="宋体" w:hAnsi="宋体" w:cs="宋体"/>
                <w:b/>
                <w:bCs/>
                <w:color w:val="000000"/>
                <w:kern w:val="0"/>
                <w:sz w:val="38"/>
                <w:szCs w:val="38"/>
                <w:highlight w:val="none"/>
                <w:lang w:eastAsia="zh-CN"/>
              </w:rPr>
              <w:t>预算</w:t>
            </w:r>
            <w:r>
              <w:rPr>
                <w:rFonts w:ascii="宋体" w:hAnsi="宋体" w:cs="宋体"/>
                <w:b/>
                <w:bCs/>
                <w:color w:val="000000"/>
                <w:kern w:val="0"/>
                <w:sz w:val="38"/>
                <w:szCs w:val="38"/>
                <w:highlight w:val="none"/>
              </w:rPr>
              <w:t>支出</w:t>
            </w:r>
            <w:r>
              <w:rPr>
                <w:rFonts w:hint="eastAsia" w:ascii="宋体" w:hAnsi="宋体" w:cs="宋体"/>
                <w:b/>
                <w:bCs/>
                <w:color w:val="000000"/>
                <w:kern w:val="0"/>
                <w:sz w:val="38"/>
                <w:szCs w:val="38"/>
                <w:highlight w:val="none"/>
                <w:lang w:eastAsia="zh-CN"/>
              </w:rPr>
              <w:t>情况</w:t>
            </w:r>
            <w:r>
              <w:rPr>
                <w:rFonts w:ascii="宋体" w:hAnsi="宋体" w:cs="宋体"/>
                <w:b/>
                <w:bCs/>
                <w:color w:val="000000"/>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5270" w:type="dxa"/>
            <w:gridSpan w:val="14"/>
            <w:tcBorders>
              <w:top w:val="nil"/>
              <w:left w:val="nil"/>
              <w:bottom w:val="nil"/>
              <w:right w:val="nil"/>
            </w:tcBorders>
            <w:shd w:val="clear" w:color="auto" w:fill="auto"/>
            <w:vAlign w:val="center"/>
          </w:tcPr>
          <w:p>
            <w:pPr>
              <w:widowControl/>
              <w:jc w:val="both"/>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部门名称：</w:t>
            </w:r>
            <w:r>
              <w:rPr>
                <w:rFonts w:hint="eastAsia" w:ascii="宋体" w:hAnsi="宋体" w:cs="宋体"/>
                <w:kern w:val="0"/>
                <w:sz w:val="18"/>
                <w:szCs w:val="18"/>
                <w:highlight w:val="none"/>
              </w:rPr>
              <w:t>中共新乡市卫滨区委区直机关工作委员会</w:t>
            </w:r>
            <w:r>
              <w:rPr>
                <w:rFonts w:hint="eastAsia" w:ascii="宋体" w:hAnsi="宋体" w:cs="宋体"/>
                <w:kern w:val="0"/>
                <w:sz w:val="18"/>
                <w:szCs w:val="18"/>
                <w:highlight w:val="none"/>
                <w:lang w:val="en-US" w:eastAsia="zh-CN"/>
              </w:rPr>
              <w:t xml:space="preserve">                                                                                                             </w:t>
            </w:r>
            <w:r>
              <w:rPr>
                <w:rFonts w:ascii="宋体" w:hAnsi="宋体" w:cs="宋体"/>
                <w:color w:val="000000"/>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4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科目编码</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单位（科目名称）</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58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基本支出  </w:t>
            </w:r>
          </w:p>
        </w:tc>
        <w:tc>
          <w:tcPr>
            <w:tcW w:w="35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4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人员经费</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公用经费</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其他运转类</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特定目标类</w:t>
            </w:r>
          </w:p>
        </w:tc>
      </w:tr>
      <w:tr>
        <w:tblPrEx>
          <w:tblLayout w:type="fixed"/>
          <w:tblCellMar>
            <w:top w:w="0" w:type="dxa"/>
            <w:left w:w="108" w:type="dxa"/>
            <w:bottom w:w="0" w:type="dxa"/>
            <w:right w:w="108" w:type="dxa"/>
          </w:tblCellMar>
        </w:tblPrEx>
        <w:trPr>
          <w:trHeight w:val="679"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类</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款</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w:t>
            </w: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工资福利支出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对个人和家庭的补助</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商品和服务支出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资本性支出</w:t>
            </w: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 </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252"/>
              </w:tabs>
              <w:jc w:val="lef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bl>
    <w:p>
      <w:pPr>
        <w:kinsoku w:val="0"/>
        <w:overflowPunct w:val="0"/>
        <w:adjustRightInd w:val="0"/>
        <w:snapToGrid w:val="0"/>
        <w:spacing w:line="360" w:lineRule="auto"/>
        <w:ind w:right="51"/>
        <w:jc w:val="left"/>
        <w:rPr>
          <w:rFonts w:ascii="仿宋_GB2312" w:eastAsia="仿宋_GB2312"/>
          <w:sz w:val="32"/>
          <w:szCs w:val="32"/>
          <w:highlight w:val="none"/>
        </w:rPr>
      </w:pPr>
    </w:p>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说明：我部门没有政府性基金收入，也没有使用政府性基金安排支出，故此表无数据。</w:t>
      </w:r>
    </w:p>
    <w:p>
      <w:pPr>
        <w:kinsoku w:val="0"/>
        <w:overflowPunct w:val="0"/>
        <w:adjustRightInd w:val="0"/>
        <w:snapToGrid w:val="0"/>
        <w:spacing w:line="360" w:lineRule="auto"/>
        <w:ind w:right="51"/>
        <w:jc w:val="left"/>
        <w:rPr>
          <w:rFonts w:ascii="仿宋_GB2312" w:eastAsia="仿宋_GB2312"/>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pPr w:leftFromText="180" w:rightFromText="180" w:vertAnchor="text" w:horzAnchor="page" w:tblpX="1584" w:tblpY="-1082"/>
        <w:tblOverlap w:val="never"/>
        <w:tblW w:w="14097" w:type="dxa"/>
        <w:tblInd w:w="0" w:type="dxa"/>
        <w:tblLayout w:type="fixed"/>
        <w:tblCellMar>
          <w:top w:w="0" w:type="dxa"/>
          <w:left w:w="108" w:type="dxa"/>
          <w:bottom w:w="0" w:type="dxa"/>
          <w:right w:w="108" w:type="dxa"/>
        </w:tblCellMar>
      </w:tblPr>
      <w:tblGrid>
        <w:gridCol w:w="1198"/>
        <w:gridCol w:w="1275"/>
        <w:gridCol w:w="1701"/>
        <w:gridCol w:w="993"/>
        <w:gridCol w:w="1134"/>
        <w:gridCol w:w="992"/>
        <w:gridCol w:w="1134"/>
        <w:gridCol w:w="1134"/>
        <w:gridCol w:w="1134"/>
        <w:gridCol w:w="1134"/>
        <w:gridCol w:w="1134"/>
        <w:gridCol w:w="1134"/>
      </w:tblGrid>
      <w:tr>
        <w:tblPrEx>
          <w:tblLayout w:type="fixed"/>
          <w:tblCellMar>
            <w:top w:w="0" w:type="dxa"/>
            <w:left w:w="108" w:type="dxa"/>
            <w:bottom w:w="0" w:type="dxa"/>
            <w:right w:w="108" w:type="dxa"/>
          </w:tblCellMar>
        </w:tblPrEx>
        <w:trPr>
          <w:trHeight w:val="285" w:hRule="atLeast"/>
        </w:trPr>
        <w:tc>
          <w:tcPr>
            <w:tcW w:w="14097" w:type="dxa"/>
            <w:gridSpan w:val="12"/>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预算10表</w:t>
            </w:r>
          </w:p>
        </w:tc>
      </w:tr>
      <w:tr>
        <w:tblPrEx>
          <w:tblLayout w:type="fixed"/>
          <w:tblCellMar>
            <w:top w:w="0" w:type="dxa"/>
            <w:left w:w="108" w:type="dxa"/>
            <w:bottom w:w="0" w:type="dxa"/>
            <w:right w:w="108" w:type="dxa"/>
          </w:tblCellMar>
        </w:tblPrEx>
        <w:trPr>
          <w:trHeight w:val="570" w:hRule="atLeast"/>
        </w:trPr>
        <w:tc>
          <w:tcPr>
            <w:tcW w:w="14097" w:type="dxa"/>
            <w:gridSpan w:val="12"/>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lang w:val="en-US" w:eastAsia="zh-CN"/>
              </w:rPr>
              <w:t>2024年</w:t>
            </w:r>
            <w:r>
              <w:rPr>
                <w:rFonts w:hint="eastAsia" w:ascii="宋体" w:hAnsi="宋体" w:cs="宋体"/>
                <w:b/>
                <w:bCs/>
                <w:kern w:val="0"/>
                <w:sz w:val="38"/>
                <w:szCs w:val="38"/>
                <w:highlight w:val="none"/>
              </w:rPr>
              <w:t>项目支出表</w:t>
            </w:r>
          </w:p>
        </w:tc>
      </w:tr>
      <w:tr>
        <w:tblPrEx>
          <w:tblLayout w:type="fixed"/>
          <w:tblCellMar>
            <w:top w:w="0" w:type="dxa"/>
            <w:left w:w="108" w:type="dxa"/>
            <w:bottom w:w="0" w:type="dxa"/>
            <w:right w:w="108" w:type="dxa"/>
          </w:tblCellMar>
        </w:tblPrEx>
        <w:trPr>
          <w:trHeight w:val="285" w:hRule="atLeast"/>
        </w:trPr>
        <w:tc>
          <w:tcPr>
            <w:tcW w:w="1198" w:type="dxa"/>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部门名称：</w:t>
            </w:r>
          </w:p>
        </w:tc>
        <w:tc>
          <w:tcPr>
            <w:tcW w:w="11765" w:type="dxa"/>
            <w:gridSpan w:val="10"/>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中共新乡市卫滨区委区直机关工作委员会</w:t>
            </w:r>
          </w:p>
        </w:tc>
        <w:tc>
          <w:tcPr>
            <w:tcW w:w="1134" w:type="dxa"/>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1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类型</w:t>
            </w:r>
          </w:p>
        </w:tc>
        <w:tc>
          <w:tcPr>
            <w:tcW w:w="12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项目名称</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项目单位</w:t>
            </w:r>
          </w:p>
        </w:tc>
        <w:tc>
          <w:tcPr>
            <w:tcW w:w="9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326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本年拨款</w:t>
            </w:r>
          </w:p>
        </w:tc>
        <w:tc>
          <w:tcPr>
            <w:tcW w:w="3402"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财政拨款结转结余</w:t>
            </w: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单位资金</w:t>
            </w:r>
          </w:p>
        </w:tc>
      </w:tr>
      <w:tr>
        <w:tblPrEx>
          <w:tblLayout w:type="fixed"/>
          <w:tblCellMar>
            <w:top w:w="0" w:type="dxa"/>
            <w:left w:w="108" w:type="dxa"/>
            <w:bottom w:w="0" w:type="dxa"/>
            <w:right w:w="108" w:type="dxa"/>
          </w:tblCellMar>
        </w:tblPrEx>
        <w:trPr>
          <w:trHeight w:val="454" w:hRule="atLeast"/>
        </w:trPr>
        <w:tc>
          <w:tcPr>
            <w:tcW w:w="11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7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0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PrEx>
        <w:trPr>
          <w:trHeight w:val="285"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275"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701"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99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4.00</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27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017</w:t>
            </w:r>
          </w:p>
        </w:tc>
        <w:tc>
          <w:tcPr>
            <w:tcW w:w="170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中共新乡市卫滨区委区直机关工作委员会</w:t>
            </w:r>
          </w:p>
        </w:tc>
        <w:tc>
          <w:tcPr>
            <w:tcW w:w="99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4.00</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其他运转类</w:t>
            </w:r>
          </w:p>
        </w:tc>
        <w:tc>
          <w:tcPr>
            <w:tcW w:w="127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党建工作经费1</w:t>
            </w:r>
          </w:p>
        </w:tc>
        <w:tc>
          <w:tcPr>
            <w:tcW w:w="170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中共新乡市卫滨区委区直机关工作委员会本级</w:t>
            </w:r>
          </w:p>
        </w:tc>
        <w:tc>
          <w:tcPr>
            <w:tcW w:w="99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其他运转类</w:t>
            </w:r>
          </w:p>
        </w:tc>
        <w:tc>
          <w:tcPr>
            <w:tcW w:w="127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1独生子女奖励经费</w:t>
            </w:r>
          </w:p>
        </w:tc>
        <w:tc>
          <w:tcPr>
            <w:tcW w:w="170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中共新乡市卫滨区委区直机关工作委员会本级</w:t>
            </w:r>
          </w:p>
        </w:tc>
        <w:tc>
          <w:tcPr>
            <w:tcW w:w="99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3.00</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275"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701"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99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6"/>
        <w:tblW w:w="9440" w:type="dxa"/>
        <w:tblInd w:w="93" w:type="dxa"/>
        <w:tblLayout w:type="fixed"/>
        <w:tblCellMar>
          <w:top w:w="0" w:type="dxa"/>
          <w:left w:w="108" w:type="dxa"/>
          <w:bottom w:w="0" w:type="dxa"/>
          <w:right w:w="108" w:type="dxa"/>
        </w:tblCellMar>
      </w:tblPr>
      <w:tblGrid>
        <w:gridCol w:w="1360"/>
        <w:gridCol w:w="1460"/>
        <w:gridCol w:w="2200"/>
        <w:gridCol w:w="1180"/>
        <w:gridCol w:w="3240"/>
      </w:tblGrid>
      <w:tr>
        <w:tblPrEx>
          <w:tblLayout w:type="fixed"/>
          <w:tblCellMar>
            <w:top w:w="0" w:type="dxa"/>
            <w:left w:w="108" w:type="dxa"/>
            <w:bottom w:w="0" w:type="dxa"/>
            <w:right w:w="108" w:type="dxa"/>
          </w:tblCellMar>
        </w:tblPrEx>
        <w:trPr>
          <w:trHeight w:val="285" w:hRule="atLeast"/>
        </w:trPr>
        <w:tc>
          <w:tcPr>
            <w:tcW w:w="9440" w:type="dxa"/>
            <w:gridSpan w:val="5"/>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预算11表</w:t>
            </w:r>
          </w:p>
        </w:tc>
      </w:tr>
      <w:tr>
        <w:tblPrEx>
          <w:tblLayout w:type="fixed"/>
          <w:tblCellMar>
            <w:top w:w="0" w:type="dxa"/>
            <w:left w:w="108" w:type="dxa"/>
            <w:bottom w:w="0" w:type="dxa"/>
            <w:right w:w="108" w:type="dxa"/>
          </w:tblCellMar>
        </w:tblPrEx>
        <w:trPr>
          <w:trHeight w:val="570" w:hRule="atLeast"/>
        </w:trPr>
        <w:tc>
          <w:tcPr>
            <w:tcW w:w="9440" w:type="dxa"/>
            <w:gridSpan w:val="5"/>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部门整体绩效目标表</w:t>
            </w:r>
          </w:p>
        </w:tc>
      </w:tr>
      <w:tr>
        <w:tblPrEx>
          <w:tblLayout w:type="fixed"/>
          <w:tblCellMar>
            <w:top w:w="0" w:type="dxa"/>
            <w:left w:w="108" w:type="dxa"/>
            <w:bottom w:w="0" w:type="dxa"/>
            <w:right w:w="108" w:type="dxa"/>
          </w:tblCellMar>
        </w:tblPrEx>
        <w:trPr>
          <w:trHeight w:val="285" w:hRule="atLeast"/>
        </w:trPr>
        <w:tc>
          <w:tcPr>
            <w:tcW w:w="9440" w:type="dxa"/>
            <w:gridSpan w:val="5"/>
            <w:tcBorders>
              <w:top w:val="nil"/>
              <w:left w:val="nil"/>
              <w:bottom w:val="nil"/>
              <w:right w:val="nil"/>
            </w:tcBorders>
            <w:shd w:val="clear" w:color="auto" w:fill="auto"/>
            <w:vAlign w:val="center"/>
          </w:tcPr>
          <w:p>
            <w:pPr>
              <w:widowControl/>
              <w:jc w:val="center"/>
              <w:rPr>
                <w:rFonts w:ascii="宋体" w:hAnsi="宋体" w:cs="宋体"/>
                <w:b/>
                <w:bCs/>
                <w:kern w:val="0"/>
                <w:sz w:val="24"/>
                <w:szCs w:val="24"/>
                <w:highlight w:val="none"/>
              </w:rPr>
            </w:pPr>
            <w:r>
              <w:rPr>
                <w:rFonts w:hint="eastAsia" w:ascii="宋体" w:hAnsi="宋体" w:cs="宋体"/>
                <w:b/>
                <w:bCs/>
                <w:kern w:val="0"/>
                <w:sz w:val="24"/>
                <w:szCs w:val="24"/>
                <w:highlight w:val="none"/>
              </w:rPr>
              <w:t>（202</w:t>
            </w:r>
            <w:r>
              <w:rPr>
                <w:rFonts w:hint="eastAsia" w:ascii="宋体" w:hAnsi="宋体" w:cs="宋体"/>
                <w:b/>
                <w:bCs/>
                <w:kern w:val="0"/>
                <w:sz w:val="24"/>
                <w:szCs w:val="24"/>
                <w:highlight w:val="none"/>
                <w:lang w:val="en-US" w:eastAsia="zh-CN"/>
              </w:rPr>
              <w:t>4</w:t>
            </w:r>
            <w:r>
              <w:rPr>
                <w:rFonts w:hint="eastAsia" w:ascii="宋体" w:hAnsi="宋体" w:cs="宋体"/>
                <w:b/>
                <w:bCs/>
                <w:kern w:val="0"/>
                <w:sz w:val="24"/>
                <w:szCs w:val="24"/>
                <w:highlight w:val="none"/>
              </w:rPr>
              <w:t xml:space="preserve">年度）  </w:t>
            </w:r>
          </w:p>
        </w:tc>
      </w:tr>
      <w:tr>
        <w:tblPrEx>
          <w:tblLayout w:type="fixed"/>
          <w:tblCellMar>
            <w:top w:w="0" w:type="dxa"/>
            <w:left w:w="108" w:type="dxa"/>
            <w:bottom w:w="0" w:type="dxa"/>
            <w:right w:w="108" w:type="dxa"/>
          </w:tblCellMar>
        </w:tblPrEx>
        <w:trPr>
          <w:trHeight w:val="285" w:hRule="atLeast"/>
        </w:trPr>
        <w:tc>
          <w:tcPr>
            <w:tcW w:w="9440" w:type="dxa"/>
            <w:gridSpan w:val="5"/>
            <w:tcBorders>
              <w:top w:val="nil"/>
              <w:left w:val="nil"/>
              <w:bottom w:val="single" w:color="000000" w:sz="4" w:space="0"/>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val="en-US" w:eastAsia="zh-CN"/>
              </w:rPr>
              <w:t xml:space="preserve">     </w:t>
            </w:r>
            <w:r>
              <w:rPr>
                <w:rFonts w:hint="eastAsia" w:ascii="宋体" w:hAnsi="宋体" w:eastAsia="宋体" w:cs="宋体"/>
                <w:i w:val="0"/>
                <w:iCs w:val="0"/>
                <w:color w:val="000000"/>
                <w:kern w:val="0"/>
                <w:sz w:val="18"/>
                <w:szCs w:val="18"/>
                <w:u w:val="none"/>
                <w:lang w:val="en-US" w:eastAsia="zh-CN" w:bidi="ar"/>
              </w:rPr>
              <w:t>中共新乡市卫滨区委区直机关工作委员会</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 xml:space="preserve">           </w:t>
            </w:r>
            <w:r>
              <w:rPr>
                <w:rFonts w:hint="eastAsia" w:ascii="宋体" w:hAnsi="宋体" w:cs="宋体"/>
                <w:kern w:val="0"/>
                <w:sz w:val="18"/>
                <w:szCs w:val="18"/>
                <w:highlight w:val="none"/>
                <w:lang w:val="en-US" w:eastAsia="zh-CN"/>
              </w:rPr>
              <w:t xml:space="preserve">        </w:t>
            </w:r>
            <w:bookmarkStart w:id="0" w:name="_GoBack"/>
            <w:bookmarkEnd w:id="0"/>
            <w:r>
              <w:rPr>
                <w:rFonts w:hint="eastAsia" w:ascii="宋体" w:hAnsi="宋体" w:cs="宋体"/>
                <w:kern w:val="0"/>
                <w:sz w:val="18"/>
                <w:szCs w:val="18"/>
                <w:highlight w:val="none"/>
              </w:rPr>
              <w:t xml:space="preserve">单位：万元                                             </w:t>
            </w:r>
          </w:p>
        </w:tc>
      </w:tr>
      <w:tr>
        <w:tblPrEx>
          <w:tblLayout w:type="fixed"/>
          <w:tblCellMar>
            <w:top w:w="0" w:type="dxa"/>
            <w:left w:w="108" w:type="dxa"/>
            <w:bottom w:w="0" w:type="dxa"/>
            <w:right w:w="108" w:type="dxa"/>
          </w:tblCellMar>
        </w:tblPrEx>
        <w:trPr>
          <w:trHeight w:val="855" w:hRule="atLeast"/>
        </w:trPr>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年度履职目标</w:t>
            </w:r>
          </w:p>
        </w:tc>
        <w:tc>
          <w:tcPr>
            <w:tcW w:w="80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统一组织、规划、部署区直机关党的工作，指导区直机关各级党组织加强机关党的基层建设</w:t>
            </w:r>
          </w:p>
        </w:tc>
      </w:tr>
      <w:tr>
        <w:tblPrEx>
          <w:tblLayout w:type="fixed"/>
          <w:tblCellMar>
            <w:top w:w="0" w:type="dxa"/>
            <w:left w:w="108" w:type="dxa"/>
            <w:bottom w:w="0" w:type="dxa"/>
            <w:right w:w="108" w:type="dxa"/>
          </w:tblCellMar>
        </w:tblPrEx>
        <w:trPr>
          <w:trHeight w:val="285" w:hRule="atLeast"/>
        </w:trPr>
        <w:tc>
          <w:tcPr>
            <w:tcW w:w="13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年度主要任务</w:t>
            </w:r>
          </w:p>
        </w:tc>
        <w:tc>
          <w:tcPr>
            <w:tcW w:w="3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任务名称</w:t>
            </w:r>
          </w:p>
        </w:tc>
        <w:tc>
          <w:tcPr>
            <w:tcW w:w="4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主要内容</w:t>
            </w:r>
          </w:p>
        </w:tc>
      </w:tr>
      <w:tr>
        <w:tblPrEx>
          <w:tblLayout w:type="fixed"/>
          <w:tblCellMar>
            <w:top w:w="0" w:type="dxa"/>
            <w:left w:w="108" w:type="dxa"/>
            <w:bottom w:w="0" w:type="dxa"/>
            <w:right w:w="108" w:type="dxa"/>
          </w:tblCellMar>
        </w:tblPrEx>
        <w:trPr>
          <w:trHeight w:val="454" w:hRule="atLeast"/>
        </w:trPr>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做好党员管理工作</w:t>
            </w:r>
          </w:p>
        </w:tc>
        <w:tc>
          <w:tcPr>
            <w:tcW w:w="4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做好党员发展、教育管理、党费管理和党建工作考核</w:t>
            </w:r>
          </w:p>
        </w:tc>
      </w:tr>
      <w:tr>
        <w:tblPrEx>
          <w:tblLayout w:type="fixed"/>
          <w:tblCellMar>
            <w:top w:w="0" w:type="dxa"/>
            <w:left w:w="108" w:type="dxa"/>
            <w:bottom w:w="0" w:type="dxa"/>
            <w:right w:w="108" w:type="dxa"/>
          </w:tblCellMar>
        </w:tblPrEx>
        <w:trPr>
          <w:trHeight w:val="904" w:hRule="atLeast"/>
        </w:trPr>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基层组织建设工作</w:t>
            </w:r>
          </w:p>
        </w:tc>
        <w:tc>
          <w:tcPr>
            <w:tcW w:w="4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指导区直机关各级党组织加强机关机关党的基层建设工作</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预算情况  </w:t>
            </w: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部门预算总额（万元）</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55.50</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1、资金来源：（1）政府预算资金</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55.50</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（2）财政专户管理资金</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（3）单位资金</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2、资金结构：（1）基本支出</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51.50</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（2）项目支出</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4.00</w:t>
            </w:r>
          </w:p>
        </w:tc>
      </w:tr>
      <w:tr>
        <w:tblPrEx>
          <w:tblLayout w:type="fixed"/>
          <w:tblCellMar>
            <w:top w:w="0" w:type="dxa"/>
            <w:left w:w="108" w:type="dxa"/>
            <w:bottom w:w="0" w:type="dxa"/>
            <w:right w:w="108" w:type="dxa"/>
          </w:tblCellMar>
        </w:tblPrEx>
        <w:trPr>
          <w:trHeight w:val="285" w:hRule="atLeast"/>
        </w:trPr>
        <w:tc>
          <w:tcPr>
            <w:tcW w:w="136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一级指标</w:t>
            </w:r>
          </w:p>
        </w:tc>
        <w:tc>
          <w:tcPr>
            <w:tcW w:w="14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二级指标</w:t>
            </w:r>
          </w:p>
        </w:tc>
        <w:tc>
          <w:tcPr>
            <w:tcW w:w="22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三级指标</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指标值</w:t>
            </w:r>
          </w:p>
        </w:tc>
        <w:tc>
          <w:tcPr>
            <w:tcW w:w="3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指标值说明</w:t>
            </w:r>
          </w:p>
        </w:tc>
      </w:tr>
      <w:tr>
        <w:tblPrEx>
          <w:tblLayout w:type="fixed"/>
          <w:tblCellMar>
            <w:top w:w="0" w:type="dxa"/>
            <w:left w:w="108" w:type="dxa"/>
            <w:bottom w:w="0" w:type="dxa"/>
            <w:right w:w="108" w:type="dxa"/>
          </w:tblCellMar>
        </w:tblPrEx>
        <w:trPr>
          <w:trHeight w:val="1808"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投入管理指标  </w:t>
            </w: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工作目标管理  </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年度履职目标相关性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相关</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年度履职目标是否符合国家、省委省政府战略部署和发展规划，与国家、省宏观政策、行业政策一致；2.年度履职目标是否与部门职责、工作规划和重点工作相关；3.确定的预算项目是否合理，是否与工作目标密切相关；4.工作任务和项目预算安排是否合理。</w:t>
            </w:r>
          </w:p>
        </w:tc>
      </w:tr>
      <w:tr>
        <w:tblPrEx>
          <w:tblLayout w:type="fixed"/>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工作任务科学性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科学</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工作任务是否有明确的绩效目标，绩效目标是否与部门年度履职目标一致，是否能体现工作任务的产出和效果；2.工作任务对应的预算项目是否有明确的绩效目标，绩效目标是否与部门职责目标、工作任务目标一致，是否能体现预算项目的产出和效果</w:t>
            </w:r>
          </w:p>
        </w:tc>
      </w:tr>
      <w:tr>
        <w:tblPrEx>
          <w:tblLayout w:type="fixed"/>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绩效指标合理性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合理</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工作任务、预算项目绩效指标设置是否准确反映部门绩效完成情况；2.工作任务、预算项目绩效指标是否清晰、细化、可评价、可衡量；3.工作任务、预算项目绩效指标的评价标准是否清晰、可衡量；4.是否与部门年度的任务数或计划数相对应。</w:t>
            </w:r>
          </w:p>
        </w:tc>
      </w:tr>
      <w:tr>
        <w:tblPrEx>
          <w:tblLayout w:type="fixed"/>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预算和财务管理  </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预算编制完整性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完整</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1.部门所有收入是否全部纳入部门预算；2.部门支出预算是否统筹各类资金来源，全部纳入部门预算管理。</w:t>
            </w:r>
          </w:p>
        </w:tc>
      </w:tr>
      <w:tr>
        <w:tblPrEx>
          <w:tblLayout w:type="fixed"/>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专项资金细化率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专项资金细化率=（已细化到具体市县和承担单位的资金数/部门参与分配资金总数）×100%。</w:t>
            </w:r>
          </w:p>
        </w:tc>
      </w:tr>
      <w:tr>
        <w:tblPrEx>
          <w:tblLayout w:type="fixed"/>
          <w:tblCellMar>
            <w:top w:w="0" w:type="dxa"/>
            <w:left w:w="108" w:type="dxa"/>
            <w:bottom w:w="0" w:type="dxa"/>
            <w:right w:w="108" w:type="dxa"/>
          </w:tblCellMar>
        </w:tblPrEx>
        <w:trPr>
          <w:trHeight w:val="90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预算执行率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预算执行率=（预算完成数/预算数）×100%。预算完成数指部门实际执行的预算数；预算数指财政部门批复的本年度部门的（调整）预算数。</w:t>
            </w:r>
          </w:p>
        </w:tc>
      </w:tr>
      <w:tr>
        <w:tblPrEx>
          <w:tblLayout w:type="fixed"/>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预算调整率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调整率=（预算调整数-年初预算数）/年初预算数×100%。预算调整数：部门在本年度内涉及预算的追加、追减或结构调整的资金总和（因落实国家政策、发生不可抗力、上级部门或本级党委政府临时交办而产生的调整除外）。</w:t>
            </w:r>
          </w:p>
        </w:tc>
      </w:tr>
      <w:tr>
        <w:tblPrEx>
          <w:tblLayout w:type="fixed"/>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结转结余率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结转结余率=结转结余总额/预算数*100%。结转结余总额是指部门本年度的结转结余资金之和。预算数是指财政部门批复的本年度部门的（调整）预算数。</w:t>
            </w:r>
          </w:p>
        </w:tc>
      </w:tr>
      <w:tr>
        <w:tblPrEx>
          <w:tblLayout w:type="fixed"/>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“三公经费”控制率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“三公经费”控制率=本年度“三公经费”实际支出数/“三公经费”预算数*100%</w:t>
            </w:r>
          </w:p>
        </w:tc>
      </w:tr>
      <w:tr>
        <w:tblPrEx>
          <w:tblLayout w:type="fixed"/>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政府采购执行率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政府采购执行率=（实际政府采购金额/政府采购预算数）×100%。政府采购预算：采购机关根据事业发展计划和行政任务编制的、并经过规定程序批准的年度政府采购计划。</w:t>
            </w:r>
          </w:p>
        </w:tc>
      </w:tr>
      <w:tr>
        <w:tblPrEx>
          <w:tblLayout w:type="fixed"/>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决算真实性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真实</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反映本部门决算工作情况。决算编制数据是否账表一致，即决算报表数据与会计账簿数据是否一致。</w:t>
            </w:r>
          </w:p>
        </w:tc>
      </w:tr>
      <w:tr>
        <w:tblPrEx>
          <w:tblLayout w:type="fixed"/>
          <w:tblCellMar>
            <w:top w:w="0" w:type="dxa"/>
            <w:left w:w="108" w:type="dxa"/>
            <w:bottom w:w="0" w:type="dxa"/>
            <w:right w:w="108" w:type="dxa"/>
          </w:tblCellMar>
        </w:tblPrEx>
        <w:trPr>
          <w:trHeight w:val="2940"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资金使用合规性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合规</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Layout w:type="fixed"/>
          <w:tblCellMar>
            <w:top w:w="0" w:type="dxa"/>
            <w:left w:w="108" w:type="dxa"/>
            <w:bottom w:w="0" w:type="dxa"/>
            <w:right w:w="108" w:type="dxa"/>
          </w:tblCellMar>
        </w:tblPrEx>
        <w:trPr>
          <w:trHeight w:val="2037"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管理制度健全性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健全</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Layout w:type="fixed"/>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预决算信息公开性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公开</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单位）是否按照政府信息公开有关规定公开部门预算、执行、决算、监督、绩效等相关预决算信息，用以反映和考核部门（单位）预决算管理的公开透明情况。1.是否按规定内容公开预决算信息；2.是否按规定时限公开预决算信息。</w:t>
            </w:r>
          </w:p>
        </w:tc>
      </w:tr>
      <w:tr>
        <w:tblPrEx>
          <w:tblLayout w:type="fixed"/>
          <w:tblCellMar>
            <w:top w:w="0" w:type="dxa"/>
            <w:left w:w="108" w:type="dxa"/>
            <w:bottom w:w="0" w:type="dxa"/>
            <w:right w:w="108" w:type="dxa"/>
          </w:tblCellMar>
        </w:tblPrEx>
        <w:trPr>
          <w:trHeight w:val="2940"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资产管理规范性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规范</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单位）的资产配置、使用是否合规，处置是否规范，收入是否及时足额上缴，用以反映和考核部门（单位）资产管理的规范程度。1.资产是否及时规范入账，资产报表数据与会计账簿数据是否相符，资产实物与财务账、资产账是否相符；2.新增资产是否符合规定程序和规定标准，新增资产是否考虑闲置存量资产；3.资产对外有偿使用（出租出借等）、对外投资、担保、资产处置等事项是否按规定报批；4.资产收益是否及时足额上交财政。</w:t>
            </w:r>
          </w:p>
        </w:tc>
      </w:tr>
      <w:tr>
        <w:tblPrEx>
          <w:tblLayout w:type="fixed"/>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绩效管理  </w:t>
            </w:r>
          </w:p>
        </w:tc>
        <w:tc>
          <w:tcPr>
            <w:tcW w:w="2200"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绩效目标编制完成率</w:t>
            </w:r>
          </w:p>
        </w:tc>
        <w:tc>
          <w:tcPr>
            <w:tcW w:w="11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部门（单位）按要求实施绩效监控的项目数量占应实施绩效监控项目总数的比重。部门绩效监控完成率=已完成绩效监控项目数量/部门项目总数*100%</w:t>
            </w:r>
          </w:p>
        </w:tc>
      </w:tr>
      <w:tr>
        <w:tblPrEx>
          <w:tblLayout w:type="fixed"/>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绩效监控完成率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部门（单位）按要求实施绩效监控的项目数量占应实施绩效监控项目总数的比重。部门绩效监控完成率=已完成绩效监控项目数量/部门项目总数*100%</w:t>
            </w:r>
          </w:p>
        </w:tc>
      </w:tr>
      <w:tr>
        <w:tblPrEx>
          <w:tblLayout w:type="fixed"/>
          <w:tblCellMar>
            <w:top w:w="0" w:type="dxa"/>
            <w:left w:w="108" w:type="dxa"/>
            <w:bottom w:w="0" w:type="dxa"/>
            <w:right w:w="108" w:type="dxa"/>
          </w:tblCellMar>
        </w:tblPrEx>
        <w:trPr>
          <w:trHeight w:val="90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绩效自评完成率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部门（单位）按要求实施绩效自评的项目数量占应实施绩效自评项目总数的比重。部门绩效自评完成率=已完成评价项目数量/部门项目总数*100%</w:t>
            </w:r>
          </w:p>
        </w:tc>
      </w:tr>
      <w:tr>
        <w:tblPrEx>
          <w:tblLayout w:type="fixed"/>
          <w:tblCellMar>
            <w:top w:w="0" w:type="dxa"/>
            <w:left w:w="108" w:type="dxa"/>
            <w:bottom w:w="0" w:type="dxa"/>
            <w:right w:w="108" w:type="dxa"/>
          </w:tblCellMar>
        </w:tblPrEx>
        <w:trPr>
          <w:trHeight w:val="90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部门绩效评价完成率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部门重点绩效评价项目评价完成情况。部门绩效评价完成率=已完成评价项目数量/部门重点绩效评价项目数*100</w:t>
            </w:r>
          </w:p>
        </w:tc>
      </w:tr>
      <w:tr>
        <w:tblPrEx>
          <w:tblLayout w:type="fixed"/>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评价结果应用率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绩效监控、单位自评、部门绩效评价、财政重点绩效评价结果应用情况。评价结果应用率=评价提出的意见建议采纳数/提出的意见建议总数*100%</w:t>
            </w:r>
          </w:p>
        </w:tc>
      </w:tr>
      <w:tr>
        <w:tblPrEx>
          <w:tblLayout w:type="fixed"/>
          <w:tblCellMar>
            <w:top w:w="0" w:type="dxa"/>
            <w:left w:w="108" w:type="dxa"/>
            <w:bottom w:w="0" w:type="dxa"/>
            <w:right w:w="108" w:type="dxa"/>
          </w:tblCellMar>
        </w:tblPrEx>
        <w:trPr>
          <w:trHeight w:val="454"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产出指标  </w:t>
            </w:r>
          </w:p>
        </w:tc>
        <w:tc>
          <w:tcPr>
            <w:tcW w:w="146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重点工作任务完成</w:t>
            </w: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开展创建五强党支部活动完成率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≥95%</w:t>
            </w:r>
          </w:p>
        </w:tc>
        <w:tc>
          <w:tcPr>
            <w:tcW w:w="32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kern w:val="0"/>
                <w:sz w:val="18"/>
                <w:szCs w:val="18"/>
                <w:highlight w:val="none"/>
                <w:lang w:val="en-US" w:eastAsia="zh-CN" w:bidi="ar-SA"/>
              </w:rPr>
            </w:pPr>
            <w:r>
              <w:rPr>
                <w:rFonts w:ascii="宋体" w:hAnsi="宋体" w:eastAsia="宋体" w:cs="宋体"/>
                <w:i w:val="0"/>
                <w:iCs w:val="0"/>
                <w:color w:val="000000"/>
                <w:kern w:val="0"/>
                <w:sz w:val="18"/>
                <w:szCs w:val="18"/>
                <w:u w:val="none"/>
                <w:lang w:val="en-US" w:eastAsia="zh-CN" w:bidi="ar"/>
              </w:rPr>
              <w:t xml:space="preserve"> 机关党建工作目标覆盖</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kern w:val="0"/>
                <w:sz w:val="18"/>
                <w:szCs w:val="18"/>
                <w:highlight w:val="none"/>
                <w:lang w:val="en-US" w:eastAsia="zh-CN" w:bidi="ar-SA"/>
              </w:rPr>
            </w:pPr>
            <w:r>
              <w:rPr>
                <w:rFonts w:ascii="宋体" w:hAnsi="宋体" w:eastAsia="宋体" w:cs="宋体"/>
                <w:i w:val="0"/>
                <w:iCs w:val="0"/>
                <w:color w:val="000000"/>
                <w:kern w:val="0"/>
                <w:sz w:val="18"/>
                <w:szCs w:val="18"/>
                <w:u w:val="none"/>
                <w:lang w:val="en-US" w:eastAsia="zh-CN" w:bidi="ar"/>
              </w:rPr>
              <w:t>≥95%</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restart"/>
            <w:tcBorders>
              <w:top w:val="nil"/>
              <w:left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kern w:val="0"/>
                <w:sz w:val="18"/>
                <w:szCs w:val="18"/>
                <w:highlight w:val="none"/>
                <w:lang w:val="en-US" w:eastAsia="zh-CN" w:bidi="ar-SA"/>
              </w:rPr>
            </w:pPr>
            <w:r>
              <w:rPr>
                <w:rFonts w:ascii="宋体" w:hAnsi="宋体" w:eastAsia="宋体" w:cs="宋体"/>
                <w:i w:val="0"/>
                <w:iCs w:val="0"/>
                <w:color w:val="000000"/>
                <w:kern w:val="0"/>
                <w:sz w:val="18"/>
                <w:szCs w:val="18"/>
                <w:u w:val="none"/>
                <w:lang w:val="en-US" w:eastAsia="zh-CN" w:bidi="ar"/>
              </w:rPr>
              <w:t>提高全区党建工作水平</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kern w:val="0"/>
                <w:sz w:val="18"/>
                <w:szCs w:val="18"/>
                <w:highlight w:val="none"/>
                <w:lang w:val="en-US" w:eastAsia="zh-CN" w:bidi="ar-SA"/>
              </w:rPr>
            </w:pPr>
            <w:r>
              <w:rPr>
                <w:rFonts w:ascii="宋体" w:hAnsi="宋体" w:eastAsia="宋体" w:cs="宋体"/>
                <w:i w:val="0"/>
                <w:iCs w:val="0"/>
                <w:color w:val="000000"/>
                <w:kern w:val="0"/>
                <w:sz w:val="18"/>
                <w:szCs w:val="18"/>
                <w:u w:val="none"/>
                <w:lang w:val="en-US" w:eastAsia="zh-CN" w:bidi="ar"/>
              </w:rPr>
              <w:t>显著提高</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满意度</w:t>
            </w:r>
          </w:p>
        </w:tc>
        <w:tc>
          <w:tcPr>
            <w:tcW w:w="2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kern w:val="0"/>
                <w:sz w:val="18"/>
                <w:szCs w:val="18"/>
                <w:highlight w:val="none"/>
                <w:lang w:val="en-US" w:eastAsia="zh-CN" w:bidi="ar-SA"/>
              </w:rPr>
            </w:pPr>
            <w:r>
              <w:rPr>
                <w:rFonts w:ascii="宋体" w:hAnsi="宋体" w:eastAsia="宋体" w:cs="宋体"/>
                <w:i w:val="0"/>
                <w:iCs w:val="0"/>
                <w:color w:val="000000"/>
                <w:kern w:val="0"/>
                <w:sz w:val="18"/>
                <w:szCs w:val="18"/>
                <w:u w:val="none"/>
                <w:lang w:val="en-US" w:eastAsia="zh-CN" w:bidi="ar"/>
              </w:rPr>
              <w:t>党员满意度</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kern w:val="0"/>
                <w:sz w:val="18"/>
                <w:szCs w:val="18"/>
                <w:highlight w:val="none"/>
                <w:lang w:val="en-US" w:eastAsia="zh-CN" w:bidi="ar-SA"/>
              </w:rPr>
            </w:pPr>
            <w:r>
              <w:rPr>
                <w:rFonts w:ascii="宋体" w:hAnsi="宋体" w:eastAsia="宋体" w:cs="宋体"/>
                <w:i w:val="0"/>
                <w:iCs w:val="0"/>
                <w:color w:val="000000"/>
                <w:kern w:val="0"/>
                <w:sz w:val="18"/>
                <w:szCs w:val="18"/>
                <w:u w:val="none"/>
                <w:lang w:val="en-US" w:eastAsia="zh-CN" w:bidi="ar"/>
              </w:rPr>
              <w:t>≥90%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cols w:space="720" w:num="1"/>
          <w:docGrid w:type="lines" w:linePitch="312" w:charSpace="0"/>
        </w:sectPr>
      </w:pPr>
    </w:p>
    <w:tbl>
      <w:tblPr>
        <w:tblStyle w:val="6"/>
        <w:tblW w:w="15451" w:type="dxa"/>
        <w:tblInd w:w="108" w:type="dxa"/>
        <w:tblLayout w:type="fixed"/>
        <w:tblCellMar>
          <w:top w:w="0" w:type="dxa"/>
          <w:left w:w="108" w:type="dxa"/>
          <w:bottom w:w="0" w:type="dxa"/>
          <w:right w:w="108" w:type="dxa"/>
        </w:tblCellMar>
      </w:tblPr>
      <w:tblGrid>
        <w:gridCol w:w="1283"/>
        <w:gridCol w:w="2053"/>
        <w:gridCol w:w="739"/>
        <w:gridCol w:w="778"/>
        <w:gridCol w:w="637"/>
        <w:gridCol w:w="538"/>
        <w:gridCol w:w="1189"/>
        <w:gridCol w:w="1005"/>
        <w:gridCol w:w="1791"/>
        <w:gridCol w:w="1050"/>
        <w:gridCol w:w="1128"/>
        <w:gridCol w:w="1152"/>
        <w:gridCol w:w="1258"/>
        <w:gridCol w:w="850"/>
      </w:tblGrid>
      <w:tr>
        <w:tblPrEx>
          <w:tblLayout w:type="fixed"/>
          <w:tblCellMar>
            <w:top w:w="0" w:type="dxa"/>
            <w:left w:w="108" w:type="dxa"/>
            <w:bottom w:w="0" w:type="dxa"/>
            <w:right w:w="108" w:type="dxa"/>
          </w:tblCellMar>
        </w:tblPrEx>
        <w:trPr>
          <w:trHeight w:val="285" w:hRule="atLeast"/>
        </w:trPr>
        <w:tc>
          <w:tcPr>
            <w:tcW w:w="15451"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预算12表</w:t>
            </w:r>
          </w:p>
        </w:tc>
      </w:tr>
      <w:tr>
        <w:tblPrEx>
          <w:tblLayout w:type="fixed"/>
          <w:tblCellMar>
            <w:top w:w="0" w:type="dxa"/>
            <w:left w:w="108" w:type="dxa"/>
            <w:bottom w:w="0" w:type="dxa"/>
            <w:right w:w="108" w:type="dxa"/>
          </w:tblCellMar>
        </w:tblPrEx>
        <w:trPr>
          <w:trHeight w:val="570" w:hRule="atLeast"/>
        </w:trPr>
        <w:tc>
          <w:tcPr>
            <w:tcW w:w="15451" w:type="dxa"/>
            <w:gridSpan w:val="14"/>
            <w:tcBorders>
              <w:top w:val="nil"/>
              <w:left w:val="nil"/>
              <w:bottom w:val="nil"/>
              <w:right w:val="nil"/>
            </w:tcBorders>
            <w:shd w:val="clear" w:color="auto" w:fill="auto"/>
            <w:vAlign w:val="center"/>
          </w:tcPr>
          <w:p>
            <w:pPr>
              <w:widowControl/>
              <w:jc w:val="center"/>
              <w:rPr>
                <w:rFonts w:hint="eastAsia"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年部门预算项目绩效目标</w:t>
            </w:r>
            <w:r>
              <w:rPr>
                <w:rFonts w:hint="eastAsia" w:ascii="宋体" w:hAnsi="宋体" w:cs="宋体"/>
                <w:b/>
                <w:bCs/>
                <w:kern w:val="0"/>
                <w:sz w:val="38"/>
                <w:szCs w:val="38"/>
                <w:highlight w:val="none"/>
                <w:lang w:eastAsia="zh-CN"/>
              </w:rPr>
              <w:t>汇总</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5451" w:type="dxa"/>
            <w:gridSpan w:val="14"/>
            <w:tcBorders>
              <w:top w:val="nil"/>
              <w:left w:val="nil"/>
              <w:bottom w:val="nil"/>
              <w:right w:val="nil"/>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eastAsia="宋体" w:cs="宋体"/>
                <w:i w:val="0"/>
                <w:iCs w:val="0"/>
                <w:color w:val="000000"/>
                <w:kern w:val="0"/>
                <w:sz w:val="18"/>
                <w:szCs w:val="18"/>
                <w:u w:val="none"/>
                <w:lang w:val="en-US" w:eastAsia="zh-CN" w:bidi="ar"/>
              </w:rPr>
              <w:t>中共新乡市卫滨区委区直机关工作委员会</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2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单位编码（项目编码）</w:t>
            </w:r>
          </w:p>
        </w:tc>
        <w:tc>
          <w:tcPr>
            <w:tcW w:w="20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项目单位 （项目名称）</w:t>
            </w:r>
          </w:p>
        </w:tc>
        <w:tc>
          <w:tcPr>
            <w:tcW w:w="2692"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项目金额（万元）</w:t>
            </w:r>
          </w:p>
        </w:tc>
        <w:tc>
          <w:tcPr>
            <w:tcW w:w="9423"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绩效目标</w:t>
            </w:r>
          </w:p>
        </w:tc>
      </w:tr>
      <w:tr>
        <w:tblPrEx>
          <w:tblLayout w:type="fixed"/>
          <w:tblCellMar>
            <w:top w:w="0" w:type="dxa"/>
            <w:left w:w="108" w:type="dxa"/>
            <w:bottom w:w="0" w:type="dxa"/>
            <w:right w:w="108" w:type="dxa"/>
          </w:tblCellMar>
        </w:tblPrEx>
        <w:trPr>
          <w:trHeight w:val="338" w:hRule="atLeast"/>
        </w:trPr>
        <w:tc>
          <w:tcPr>
            <w:tcW w:w="128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05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692"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19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成本指标  </w:t>
            </w:r>
          </w:p>
        </w:tc>
        <w:tc>
          <w:tcPr>
            <w:tcW w:w="284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产出指标  </w:t>
            </w:r>
          </w:p>
        </w:tc>
        <w:tc>
          <w:tcPr>
            <w:tcW w:w="228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效益指标  </w:t>
            </w:r>
          </w:p>
        </w:tc>
        <w:tc>
          <w:tcPr>
            <w:tcW w:w="2108"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满意度指标  </w:t>
            </w:r>
          </w:p>
        </w:tc>
      </w:tr>
      <w:tr>
        <w:tblPrEx>
          <w:tblLayout w:type="fixed"/>
          <w:tblCellMar>
            <w:top w:w="0" w:type="dxa"/>
            <w:left w:w="108" w:type="dxa"/>
            <w:bottom w:w="0" w:type="dxa"/>
            <w:right w:w="108" w:type="dxa"/>
          </w:tblCellMar>
        </w:tblPrEx>
        <w:trPr>
          <w:trHeight w:val="702" w:hRule="atLeast"/>
        </w:trPr>
        <w:tc>
          <w:tcPr>
            <w:tcW w:w="128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05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39"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资金总额</w:t>
            </w:r>
          </w:p>
        </w:tc>
        <w:tc>
          <w:tcPr>
            <w:tcW w:w="778"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政府预算资金</w:t>
            </w:r>
          </w:p>
        </w:tc>
        <w:tc>
          <w:tcPr>
            <w:tcW w:w="637"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538"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单位资金</w:t>
            </w:r>
          </w:p>
        </w:tc>
        <w:tc>
          <w:tcPr>
            <w:tcW w:w="1189"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1005"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1791"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1050"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1128"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1152"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1258"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850"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r>
      <w:tr>
        <w:tblPrEx>
          <w:tblLayout w:type="fixed"/>
          <w:tblCellMar>
            <w:top w:w="0" w:type="dxa"/>
            <w:left w:w="108" w:type="dxa"/>
            <w:bottom w:w="0" w:type="dxa"/>
            <w:right w:w="108" w:type="dxa"/>
          </w:tblCellMar>
        </w:tblPrEx>
        <w:trPr>
          <w:trHeight w:val="285" w:hRule="atLeast"/>
        </w:trPr>
        <w:tc>
          <w:tcPr>
            <w:tcW w:w="128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017</w:t>
            </w:r>
          </w:p>
        </w:tc>
        <w:tc>
          <w:tcPr>
            <w:tcW w:w="2053"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8"/>
                <w:szCs w:val="18"/>
                <w:highlight w:val="none"/>
              </w:rPr>
            </w:pPr>
          </w:p>
        </w:tc>
        <w:tc>
          <w:tcPr>
            <w:tcW w:w="73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4.00</w:t>
            </w:r>
          </w:p>
        </w:tc>
        <w:tc>
          <w:tcPr>
            <w:tcW w:w="77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4.00</w:t>
            </w:r>
          </w:p>
        </w:tc>
        <w:tc>
          <w:tcPr>
            <w:tcW w:w="63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53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118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00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791"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050"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12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152"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25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850"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762" w:hRule="atLeast"/>
        </w:trPr>
        <w:tc>
          <w:tcPr>
            <w:tcW w:w="128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017001</w:t>
            </w:r>
          </w:p>
        </w:tc>
        <w:tc>
          <w:tcPr>
            <w:tcW w:w="205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中共新乡市卫滨区委区直机关工作委员会本级</w:t>
            </w:r>
          </w:p>
        </w:tc>
        <w:tc>
          <w:tcPr>
            <w:tcW w:w="73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4.00</w:t>
            </w:r>
          </w:p>
        </w:tc>
        <w:tc>
          <w:tcPr>
            <w:tcW w:w="77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4.00</w:t>
            </w:r>
          </w:p>
        </w:tc>
        <w:tc>
          <w:tcPr>
            <w:tcW w:w="63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53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118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00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791"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050"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12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152"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25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850"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679" w:hRule="atLeast"/>
        </w:trPr>
        <w:tc>
          <w:tcPr>
            <w:tcW w:w="1283"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410703220000000016815</w:t>
            </w:r>
          </w:p>
        </w:tc>
        <w:tc>
          <w:tcPr>
            <w:tcW w:w="2053"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党建工作经费1</w:t>
            </w:r>
          </w:p>
        </w:tc>
        <w:tc>
          <w:tcPr>
            <w:tcW w:w="739"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77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637" w:type="dxa"/>
            <w:vMerge w:val="restart"/>
            <w:tcBorders>
              <w:top w:val="nil"/>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538" w:type="dxa"/>
            <w:vMerge w:val="restart"/>
            <w:tcBorders>
              <w:top w:val="nil"/>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118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党建工作经费总成本</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≤2万元</w:t>
            </w:r>
          </w:p>
        </w:tc>
        <w:tc>
          <w:tcPr>
            <w:tcW w:w="179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全区建成的“五星”党支部数量</w:t>
            </w:r>
          </w:p>
        </w:tc>
        <w:tc>
          <w:tcPr>
            <w:tcW w:w="10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≥5个</w:t>
            </w:r>
          </w:p>
        </w:tc>
        <w:tc>
          <w:tcPr>
            <w:tcW w:w="112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党建服务水平</w:t>
            </w:r>
          </w:p>
        </w:tc>
        <w:tc>
          <w:tcPr>
            <w:tcW w:w="115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显著提高</w:t>
            </w:r>
          </w:p>
        </w:tc>
        <w:tc>
          <w:tcPr>
            <w:tcW w:w="12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党建工作人员满意度</w:t>
            </w: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≥90%</w:t>
            </w:r>
          </w:p>
        </w:tc>
      </w:tr>
      <w:tr>
        <w:tblPrEx>
          <w:tblLayout w:type="fixed"/>
          <w:tblCellMar>
            <w:top w:w="0" w:type="dxa"/>
            <w:left w:w="108" w:type="dxa"/>
            <w:bottom w:w="0" w:type="dxa"/>
            <w:right w:w="108" w:type="dxa"/>
          </w:tblCellMar>
        </w:tblPrEx>
        <w:trPr>
          <w:trHeight w:val="522" w:hRule="atLeast"/>
        </w:trPr>
        <w:tc>
          <w:tcPr>
            <w:tcW w:w="1283"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2053"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39" w:type="dxa"/>
            <w:vMerge w:val="continue"/>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8"/>
                <w:szCs w:val="18"/>
                <w:highlight w:val="none"/>
              </w:rPr>
            </w:pPr>
          </w:p>
        </w:tc>
        <w:tc>
          <w:tcPr>
            <w:tcW w:w="778" w:type="dxa"/>
            <w:vMerge w:val="continue"/>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8"/>
                <w:szCs w:val="18"/>
                <w:highlight w:val="none"/>
              </w:rPr>
            </w:pPr>
          </w:p>
        </w:tc>
        <w:tc>
          <w:tcPr>
            <w:tcW w:w="637" w:type="dxa"/>
            <w:vMerge w:val="continue"/>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8"/>
                <w:szCs w:val="18"/>
                <w:highlight w:val="none"/>
              </w:rPr>
            </w:pPr>
          </w:p>
        </w:tc>
        <w:tc>
          <w:tcPr>
            <w:tcW w:w="538" w:type="dxa"/>
            <w:vMerge w:val="continue"/>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8"/>
                <w:szCs w:val="18"/>
                <w:highlight w:val="none"/>
              </w:rPr>
            </w:pPr>
          </w:p>
        </w:tc>
        <w:tc>
          <w:tcPr>
            <w:tcW w:w="118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00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79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卫滨区“五星”党支部创建覆盖率</w:t>
            </w:r>
          </w:p>
        </w:tc>
        <w:tc>
          <w:tcPr>
            <w:tcW w:w="10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w:t>
            </w:r>
          </w:p>
        </w:tc>
        <w:tc>
          <w:tcPr>
            <w:tcW w:w="112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152"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25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850"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522" w:hRule="atLeast"/>
        </w:trPr>
        <w:tc>
          <w:tcPr>
            <w:tcW w:w="1283"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2053"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39" w:type="dxa"/>
            <w:vMerge w:val="continue"/>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8"/>
                <w:szCs w:val="18"/>
                <w:highlight w:val="none"/>
              </w:rPr>
            </w:pPr>
          </w:p>
        </w:tc>
        <w:tc>
          <w:tcPr>
            <w:tcW w:w="778" w:type="dxa"/>
            <w:vMerge w:val="continue"/>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8"/>
                <w:szCs w:val="18"/>
                <w:highlight w:val="none"/>
              </w:rPr>
            </w:pPr>
          </w:p>
        </w:tc>
        <w:tc>
          <w:tcPr>
            <w:tcW w:w="637" w:type="dxa"/>
            <w:vMerge w:val="continue"/>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8"/>
                <w:szCs w:val="18"/>
                <w:highlight w:val="none"/>
              </w:rPr>
            </w:pPr>
          </w:p>
        </w:tc>
        <w:tc>
          <w:tcPr>
            <w:tcW w:w="538" w:type="dxa"/>
            <w:vMerge w:val="continue"/>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8"/>
                <w:szCs w:val="18"/>
                <w:highlight w:val="none"/>
              </w:rPr>
            </w:pPr>
          </w:p>
        </w:tc>
        <w:tc>
          <w:tcPr>
            <w:tcW w:w="118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00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79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创建完成时限</w:t>
            </w:r>
          </w:p>
        </w:tc>
        <w:tc>
          <w:tcPr>
            <w:tcW w:w="10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2024年12月30日</w:t>
            </w:r>
          </w:p>
        </w:tc>
        <w:tc>
          <w:tcPr>
            <w:tcW w:w="112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152"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25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850"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540" w:hRule="atLeast"/>
        </w:trPr>
        <w:tc>
          <w:tcPr>
            <w:tcW w:w="1283"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410703220000000016816</w:t>
            </w:r>
          </w:p>
        </w:tc>
        <w:tc>
          <w:tcPr>
            <w:tcW w:w="2053"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1独生子女奖励经费</w:t>
            </w:r>
          </w:p>
        </w:tc>
        <w:tc>
          <w:tcPr>
            <w:tcW w:w="739"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3.00</w:t>
            </w:r>
          </w:p>
        </w:tc>
        <w:tc>
          <w:tcPr>
            <w:tcW w:w="77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3.00</w:t>
            </w:r>
          </w:p>
        </w:tc>
        <w:tc>
          <w:tcPr>
            <w:tcW w:w="637" w:type="dxa"/>
            <w:vMerge w:val="restart"/>
            <w:tcBorders>
              <w:top w:val="nil"/>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538" w:type="dxa"/>
            <w:vMerge w:val="restart"/>
            <w:tcBorders>
              <w:top w:val="nil"/>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118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独生子女奖励金每年发放金额</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≤3万元</w:t>
            </w:r>
          </w:p>
        </w:tc>
        <w:tc>
          <w:tcPr>
            <w:tcW w:w="179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独生子女职工人数</w:t>
            </w:r>
          </w:p>
        </w:tc>
        <w:tc>
          <w:tcPr>
            <w:tcW w:w="10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≤125人</w:t>
            </w:r>
          </w:p>
        </w:tc>
        <w:tc>
          <w:tcPr>
            <w:tcW w:w="112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提高独生子女生活质量</w:t>
            </w:r>
          </w:p>
        </w:tc>
        <w:tc>
          <w:tcPr>
            <w:tcW w:w="115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显著提高</w:t>
            </w:r>
          </w:p>
        </w:tc>
        <w:tc>
          <w:tcPr>
            <w:tcW w:w="12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无享受奖励人员满意度</w:t>
            </w: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≥90%</w:t>
            </w:r>
          </w:p>
        </w:tc>
      </w:tr>
      <w:tr>
        <w:tblPrEx>
          <w:tblLayout w:type="fixed"/>
          <w:tblCellMar>
            <w:top w:w="0" w:type="dxa"/>
            <w:left w:w="108" w:type="dxa"/>
            <w:bottom w:w="0" w:type="dxa"/>
            <w:right w:w="108" w:type="dxa"/>
          </w:tblCellMar>
        </w:tblPrEx>
        <w:trPr>
          <w:trHeight w:val="285" w:hRule="atLeast"/>
        </w:trPr>
        <w:tc>
          <w:tcPr>
            <w:tcW w:w="1283"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2053"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39" w:type="dxa"/>
            <w:vMerge w:val="continue"/>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8"/>
                <w:szCs w:val="18"/>
                <w:highlight w:val="none"/>
              </w:rPr>
            </w:pPr>
          </w:p>
        </w:tc>
        <w:tc>
          <w:tcPr>
            <w:tcW w:w="778" w:type="dxa"/>
            <w:vMerge w:val="continue"/>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8"/>
                <w:szCs w:val="18"/>
                <w:highlight w:val="none"/>
              </w:rPr>
            </w:pPr>
          </w:p>
        </w:tc>
        <w:tc>
          <w:tcPr>
            <w:tcW w:w="637" w:type="dxa"/>
            <w:vMerge w:val="continue"/>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8"/>
                <w:szCs w:val="18"/>
                <w:highlight w:val="none"/>
              </w:rPr>
            </w:pPr>
          </w:p>
        </w:tc>
        <w:tc>
          <w:tcPr>
            <w:tcW w:w="538" w:type="dxa"/>
            <w:vMerge w:val="continue"/>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8"/>
                <w:szCs w:val="18"/>
                <w:highlight w:val="none"/>
              </w:rPr>
            </w:pPr>
          </w:p>
        </w:tc>
        <w:tc>
          <w:tcPr>
            <w:tcW w:w="118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00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79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独生子女奖励金发放准确率</w:t>
            </w:r>
          </w:p>
        </w:tc>
        <w:tc>
          <w:tcPr>
            <w:tcW w:w="10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100%</w:t>
            </w:r>
          </w:p>
        </w:tc>
        <w:tc>
          <w:tcPr>
            <w:tcW w:w="112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152"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25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850"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394" w:hRule="atLeast"/>
        </w:trPr>
        <w:tc>
          <w:tcPr>
            <w:tcW w:w="1283"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2053"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39" w:type="dxa"/>
            <w:vMerge w:val="continue"/>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8"/>
                <w:szCs w:val="18"/>
                <w:highlight w:val="none"/>
              </w:rPr>
            </w:pPr>
          </w:p>
        </w:tc>
        <w:tc>
          <w:tcPr>
            <w:tcW w:w="778" w:type="dxa"/>
            <w:vMerge w:val="continue"/>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8"/>
                <w:szCs w:val="18"/>
                <w:highlight w:val="none"/>
              </w:rPr>
            </w:pPr>
          </w:p>
        </w:tc>
        <w:tc>
          <w:tcPr>
            <w:tcW w:w="637" w:type="dxa"/>
            <w:vMerge w:val="continue"/>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8"/>
                <w:szCs w:val="18"/>
                <w:highlight w:val="none"/>
              </w:rPr>
            </w:pPr>
          </w:p>
        </w:tc>
        <w:tc>
          <w:tcPr>
            <w:tcW w:w="538" w:type="dxa"/>
            <w:vMerge w:val="continue"/>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8"/>
                <w:szCs w:val="18"/>
                <w:highlight w:val="none"/>
              </w:rPr>
            </w:pPr>
          </w:p>
        </w:tc>
        <w:tc>
          <w:tcPr>
            <w:tcW w:w="118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00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79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独生子女金发放时限</w:t>
            </w:r>
          </w:p>
        </w:tc>
        <w:tc>
          <w:tcPr>
            <w:tcW w:w="10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2024年12月30日</w:t>
            </w:r>
          </w:p>
        </w:tc>
        <w:tc>
          <w:tcPr>
            <w:tcW w:w="112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152"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25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850"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r>
    </w:tbl>
    <w:p>
      <w:pPr>
        <w:kinsoku w:val="0"/>
        <w:overflowPunct w:val="0"/>
        <w:adjustRightInd w:val="0"/>
        <w:snapToGrid w:val="0"/>
        <w:spacing w:line="240" w:lineRule="auto"/>
        <w:rPr>
          <w:rFonts w:hint="eastAsia" w:ascii="黑体" w:hAnsi="Times New Roman" w:eastAsia="黑体" w:cs="黑体"/>
          <w:sz w:val="32"/>
          <w:szCs w:val="32"/>
          <w:highlight w:val="none"/>
        </w:rPr>
      </w:pPr>
    </w:p>
    <w:sectPr>
      <w:pgSz w:w="16838" w:h="11906" w:orient="landscape"/>
      <w:pgMar w:top="1701" w:right="567" w:bottom="1260" w:left="56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楷体">
    <w:altName w:val="楷体_GB2312"/>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C1A4D1CB"/>
    <w:multiLevelType w:val="singleLevel"/>
    <w:tmpl w:val="C1A4D1CB"/>
    <w:lvl w:ilvl="0" w:tentative="0">
      <w:start w:val="6"/>
      <w:numFmt w:val="chineseCounting"/>
      <w:suff w:val="nothing"/>
      <w:lvlText w:val="（%1）"/>
      <w:lvlJc w:val="left"/>
      <w:rPr>
        <w:rFonts w:hint="eastAsia"/>
      </w:rPr>
    </w:lvl>
  </w:abstractNum>
  <w:abstractNum w:abstractNumId="2">
    <w:nsid w:val="10EB2E05"/>
    <w:multiLevelType w:val="multilevel"/>
    <w:tmpl w:val="10EB2E0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38F14122"/>
    <w:multiLevelType w:val="singleLevel"/>
    <w:tmpl w:val="38F14122"/>
    <w:lvl w:ilvl="0" w:tentative="0">
      <w:start w:val="3"/>
      <w:numFmt w:val="chineseCounting"/>
      <w:suff w:val="nothing"/>
      <w:lvlText w:val="（%1）"/>
      <w:lvlJc w:val="left"/>
      <w:rPr>
        <w:rFonts w:hint="eastAsi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mQ1NGE0YzA5ZWYxOWFmYjFlNWE0NjlhNWNlMjAwODEifQ=="/>
  </w:docVars>
  <w:rsids>
    <w:rsidRoot w:val="000E666A"/>
    <w:rsid w:val="000056FE"/>
    <w:rsid w:val="00007CC9"/>
    <w:rsid w:val="00015F07"/>
    <w:rsid w:val="00016ADC"/>
    <w:rsid w:val="000328AD"/>
    <w:rsid w:val="0003777B"/>
    <w:rsid w:val="000455CB"/>
    <w:rsid w:val="00046D83"/>
    <w:rsid w:val="00052730"/>
    <w:rsid w:val="00060437"/>
    <w:rsid w:val="00065B9E"/>
    <w:rsid w:val="000667EE"/>
    <w:rsid w:val="000830E3"/>
    <w:rsid w:val="00092441"/>
    <w:rsid w:val="00093C9D"/>
    <w:rsid w:val="000A07A3"/>
    <w:rsid w:val="000A18BD"/>
    <w:rsid w:val="000A1CFD"/>
    <w:rsid w:val="000A32F6"/>
    <w:rsid w:val="000A3662"/>
    <w:rsid w:val="000B2445"/>
    <w:rsid w:val="000B4262"/>
    <w:rsid w:val="000C4CC2"/>
    <w:rsid w:val="000D025C"/>
    <w:rsid w:val="000E4FFA"/>
    <w:rsid w:val="000E5387"/>
    <w:rsid w:val="000E666A"/>
    <w:rsid w:val="000E6F0D"/>
    <w:rsid w:val="000F0D3B"/>
    <w:rsid w:val="001003CC"/>
    <w:rsid w:val="0010654C"/>
    <w:rsid w:val="00120162"/>
    <w:rsid w:val="0012518F"/>
    <w:rsid w:val="001264BC"/>
    <w:rsid w:val="001316FD"/>
    <w:rsid w:val="001349FC"/>
    <w:rsid w:val="001436AF"/>
    <w:rsid w:val="00145E1A"/>
    <w:rsid w:val="00147BEE"/>
    <w:rsid w:val="00147C4E"/>
    <w:rsid w:val="0016268A"/>
    <w:rsid w:val="00166082"/>
    <w:rsid w:val="00176038"/>
    <w:rsid w:val="00177B9B"/>
    <w:rsid w:val="001847F6"/>
    <w:rsid w:val="00196982"/>
    <w:rsid w:val="001A0485"/>
    <w:rsid w:val="001A1108"/>
    <w:rsid w:val="001A15F6"/>
    <w:rsid w:val="001A45D6"/>
    <w:rsid w:val="001B4DEC"/>
    <w:rsid w:val="001C6803"/>
    <w:rsid w:val="001C7E81"/>
    <w:rsid w:val="001F24BC"/>
    <w:rsid w:val="001F64E1"/>
    <w:rsid w:val="001F657E"/>
    <w:rsid w:val="00202770"/>
    <w:rsid w:val="00204E18"/>
    <w:rsid w:val="00204F67"/>
    <w:rsid w:val="0021471A"/>
    <w:rsid w:val="002155BC"/>
    <w:rsid w:val="002155E6"/>
    <w:rsid w:val="002213D7"/>
    <w:rsid w:val="00230456"/>
    <w:rsid w:val="00236D28"/>
    <w:rsid w:val="00242997"/>
    <w:rsid w:val="00251DE8"/>
    <w:rsid w:val="00254A2A"/>
    <w:rsid w:val="002601F3"/>
    <w:rsid w:val="00267739"/>
    <w:rsid w:val="0027730D"/>
    <w:rsid w:val="002B3C2D"/>
    <w:rsid w:val="002B612E"/>
    <w:rsid w:val="002B7F7A"/>
    <w:rsid w:val="002C14D9"/>
    <w:rsid w:val="002E0122"/>
    <w:rsid w:val="002E27DE"/>
    <w:rsid w:val="002E3628"/>
    <w:rsid w:val="002E5C55"/>
    <w:rsid w:val="002E5EBE"/>
    <w:rsid w:val="002F1A34"/>
    <w:rsid w:val="002F6CC2"/>
    <w:rsid w:val="0032045B"/>
    <w:rsid w:val="00320FEA"/>
    <w:rsid w:val="00322C06"/>
    <w:rsid w:val="0032341C"/>
    <w:rsid w:val="00327A9A"/>
    <w:rsid w:val="00327ADF"/>
    <w:rsid w:val="0034481A"/>
    <w:rsid w:val="00352AD6"/>
    <w:rsid w:val="00354113"/>
    <w:rsid w:val="00356056"/>
    <w:rsid w:val="00360B9D"/>
    <w:rsid w:val="003615E5"/>
    <w:rsid w:val="00374335"/>
    <w:rsid w:val="003761B9"/>
    <w:rsid w:val="00377995"/>
    <w:rsid w:val="003B6DF2"/>
    <w:rsid w:val="003C5046"/>
    <w:rsid w:val="003C5AF1"/>
    <w:rsid w:val="003D5305"/>
    <w:rsid w:val="003E0F53"/>
    <w:rsid w:val="003E4F75"/>
    <w:rsid w:val="003F044F"/>
    <w:rsid w:val="00400480"/>
    <w:rsid w:val="00400EC6"/>
    <w:rsid w:val="004078CB"/>
    <w:rsid w:val="004119E0"/>
    <w:rsid w:val="00412872"/>
    <w:rsid w:val="00414D58"/>
    <w:rsid w:val="00417802"/>
    <w:rsid w:val="004237A3"/>
    <w:rsid w:val="00423E21"/>
    <w:rsid w:val="00424DB3"/>
    <w:rsid w:val="004256B3"/>
    <w:rsid w:val="00425DE7"/>
    <w:rsid w:val="0042656D"/>
    <w:rsid w:val="0043723E"/>
    <w:rsid w:val="0045307E"/>
    <w:rsid w:val="004566F7"/>
    <w:rsid w:val="00460D67"/>
    <w:rsid w:val="0046532A"/>
    <w:rsid w:val="00470B16"/>
    <w:rsid w:val="00470E9E"/>
    <w:rsid w:val="004738EF"/>
    <w:rsid w:val="00477172"/>
    <w:rsid w:val="004842B6"/>
    <w:rsid w:val="004842D5"/>
    <w:rsid w:val="0049768C"/>
    <w:rsid w:val="004A2735"/>
    <w:rsid w:val="004A561C"/>
    <w:rsid w:val="004B1080"/>
    <w:rsid w:val="004B1BF0"/>
    <w:rsid w:val="004C0B6C"/>
    <w:rsid w:val="004C3AD6"/>
    <w:rsid w:val="004C7BA0"/>
    <w:rsid w:val="004D069E"/>
    <w:rsid w:val="004D0CCC"/>
    <w:rsid w:val="004D2D1F"/>
    <w:rsid w:val="004F460E"/>
    <w:rsid w:val="00504D4A"/>
    <w:rsid w:val="005271CC"/>
    <w:rsid w:val="00530C66"/>
    <w:rsid w:val="00540B6A"/>
    <w:rsid w:val="00542462"/>
    <w:rsid w:val="005433FC"/>
    <w:rsid w:val="0054387D"/>
    <w:rsid w:val="00554BEE"/>
    <w:rsid w:val="00556BE7"/>
    <w:rsid w:val="00571108"/>
    <w:rsid w:val="00573E04"/>
    <w:rsid w:val="00574BEB"/>
    <w:rsid w:val="00583C97"/>
    <w:rsid w:val="00591111"/>
    <w:rsid w:val="005A7520"/>
    <w:rsid w:val="005A786C"/>
    <w:rsid w:val="005B09E4"/>
    <w:rsid w:val="005B4803"/>
    <w:rsid w:val="005B7D64"/>
    <w:rsid w:val="005C3D11"/>
    <w:rsid w:val="005C6D7D"/>
    <w:rsid w:val="005E6CB4"/>
    <w:rsid w:val="005F0E25"/>
    <w:rsid w:val="005F36D1"/>
    <w:rsid w:val="00600AAF"/>
    <w:rsid w:val="006059F4"/>
    <w:rsid w:val="00616688"/>
    <w:rsid w:val="00641E96"/>
    <w:rsid w:val="00643973"/>
    <w:rsid w:val="006463C1"/>
    <w:rsid w:val="00646934"/>
    <w:rsid w:val="006519C1"/>
    <w:rsid w:val="006533BE"/>
    <w:rsid w:val="00655CED"/>
    <w:rsid w:val="00655F9F"/>
    <w:rsid w:val="00660094"/>
    <w:rsid w:val="0066274D"/>
    <w:rsid w:val="0066604F"/>
    <w:rsid w:val="0068015A"/>
    <w:rsid w:val="006877F1"/>
    <w:rsid w:val="00691130"/>
    <w:rsid w:val="006933B5"/>
    <w:rsid w:val="006A1C28"/>
    <w:rsid w:val="006A2177"/>
    <w:rsid w:val="006A3DB9"/>
    <w:rsid w:val="006B104A"/>
    <w:rsid w:val="006B23FE"/>
    <w:rsid w:val="006B4121"/>
    <w:rsid w:val="006B4279"/>
    <w:rsid w:val="006C3AA5"/>
    <w:rsid w:val="006C4B05"/>
    <w:rsid w:val="006C6A3D"/>
    <w:rsid w:val="006C6E8C"/>
    <w:rsid w:val="006D163E"/>
    <w:rsid w:val="006D36CC"/>
    <w:rsid w:val="006F7ED2"/>
    <w:rsid w:val="0070054A"/>
    <w:rsid w:val="00705E29"/>
    <w:rsid w:val="007131C3"/>
    <w:rsid w:val="00717ABB"/>
    <w:rsid w:val="007267F5"/>
    <w:rsid w:val="00742C70"/>
    <w:rsid w:val="00754A11"/>
    <w:rsid w:val="00796560"/>
    <w:rsid w:val="007B748B"/>
    <w:rsid w:val="007C4D6A"/>
    <w:rsid w:val="007C5790"/>
    <w:rsid w:val="007C6035"/>
    <w:rsid w:val="007D582B"/>
    <w:rsid w:val="007F0C11"/>
    <w:rsid w:val="008035D5"/>
    <w:rsid w:val="00803E72"/>
    <w:rsid w:val="00811491"/>
    <w:rsid w:val="00813D8B"/>
    <w:rsid w:val="00813ECE"/>
    <w:rsid w:val="00815377"/>
    <w:rsid w:val="00817547"/>
    <w:rsid w:val="008255FC"/>
    <w:rsid w:val="00827977"/>
    <w:rsid w:val="00833376"/>
    <w:rsid w:val="008336B4"/>
    <w:rsid w:val="00836BB8"/>
    <w:rsid w:val="008413E1"/>
    <w:rsid w:val="00843659"/>
    <w:rsid w:val="00845BBD"/>
    <w:rsid w:val="00850003"/>
    <w:rsid w:val="00850526"/>
    <w:rsid w:val="00862ACE"/>
    <w:rsid w:val="008662DA"/>
    <w:rsid w:val="00871827"/>
    <w:rsid w:val="00871DCF"/>
    <w:rsid w:val="00872A52"/>
    <w:rsid w:val="00876F50"/>
    <w:rsid w:val="00880C02"/>
    <w:rsid w:val="008831B0"/>
    <w:rsid w:val="008852A0"/>
    <w:rsid w:val="008854C3"/>
    <w:rsid w:val="0089331E"/>
    <w:rsid w:val="008A07E9"/>
    <w:rsid w:val="008A6827"/>
    <w:rsid w:val="008B1E1C"/>
    <w:rsid w:val="008B22A2"/>
    <w:rsid w:val="008B29FF"/>
    <w:rsid w:val="008C1726"/>
    <w:rsid w:val="008C5433"/>
    <w:rsid w:val="008D4CC8"/>
    <w:rsid w:val="008D73FF"/>
    <w:rsid w:val="008E4192"/>
    <w:rsid w:val="008F095C"/>
    <w:rsid w:val="008F0E48"/>
    <w:rsid w:val="0090127A"/>
    <w:rsid w:val="00903AC2"/>
    <w:rsid w:val="00903B03"/>
    <w:rsid w:val="009053A0"/>
    <w:rsid w:val="00907F29"/>
    <w:rsid w:val="0091015C"/>
    <w:rsid w:val="00923715"/>
    <w:rsid w:val="00926C5B"/>
    <w:rsid w:val="00930530"/>
    <w:rsid w:val="009307BD"/>
    <w:rsid w:val="00930C3A"/>
    <w:rsid w:val="00932CBF"/>
    <w:rsid w:val="00932EE9"/>
    <w:rsid w:val="00942EB9"/>
    <w:rsid w:val="00943951"/>
    <w:rsid w:val="00947589"/>
    <w:rsid w:val="00965DD7"/>
    <w:rsid w:val="00972A21"/>
    <w:rsid w:val="00984BB7"/>
    <w:rsid w:val="0099008B"/>
    <w:rsid w:val="00997ABD"/>
    <w:rsid w:val="009A311C"/>
    <w:rsid w:val="009B779E"/>
    <w:rsid w:val="009C5886"/>
    <w:rsid w:val="009C79D8"/>
    <w:rsid w:val="009D06CC"/>
    <w:rsid w:val="009D57AB"/>
    <w:rsid w:val="009D6176"/>
    <w:rsid w:val="009E3704"/>
    <w:rsid w:val="009F5003"/>
    <w:rsid w:val="00A0219D"/>
    <w:rsid w:val="00A03886"/>
    <w:rsid w:val="00A1196B"/>
    <w:rsid w:val="00A2124E"/>
    <w:rsid w:val="00A23BB0"/>
    <w:rsid w:val="00A354EC"/>
    <w:rsid w:val="00A373A8"/>
    <w:rsid w:val="00A52BBA"/>
    <w:rsid w:val="00A55FDA"/>
    <w:rsid w:val="00A62BC3"/>
    <w:rsid w:val="00A702F0"/>
    <w:rsid w:val="00A75823"/>
    <w:rsid w:val="00A8278A"/>
    <w:rsid w:val="00A87DD7"/>
    <w:rsid w:val="00AA4E11"/>
    <w:rsid w:val="00AB18CB"/>
    <w:rsid w:val="00AB2328"/>
    <w:rsid w:val="00AB6DFB"/>
    <w:rsid w:val="00AC5410"/>
    <w:rsid w:val="00AE5C99"/>
    <w:rsid w:val="00B01857"/>
    <w:rsid w:val="00B03AAD"/>
    <w:rsid w:val="00B1453C"/>
    <w:rsid w:val="00B23D64"/>
    <w:rsid w:val="00B341FF"/>
    <w:rsid w:val="00B377C4"/>
    <w:rsid w:val="00B40914"/>
    <w:rsid w:val="00B40F74"/>
    <w:rsid w:val="00B43E66"/>
    <w:rsid w:val="00B50AE6"/>
    <w:rsid w:val="00B65C21"/>
    <w:rsid w:val="00B665C0"/>
    <w:rsid w:val="00B6705E"/>
    <w:rsid w:val="00B83046"/>
    <w:rsid w:val="00B83D04"/>
    <w:rsid w:val="00B92341"/>
    <w:rsid w:val="00B932C7"/>
    <w:rsid w:val="00B95788"/>
    <w:rsid w:val="00BA1ACD"/>
    <w:rsid w:val="00BA38DA"/>
    <w:rsid w:val="00BA5E9A"/>
    <w:rsid w:val="00BB1BED"/>
    <w:rsid w:val="00BB59DB"/>
    <w:rsid w:val="00BC7C5A"/>
    <w:rsid w:val="00BE0D16"/>
    <w:rsid w:val="00BE4D35"/>
    <w:rsid w:val="00BF0F52"/>
    <w:rsid w:val="00C0162B"/>
    <w:rsid w:val="00C03348"/>
    <w:rsid w:val="00C17E7A"/>
    <w:rsid w:val="00C21E04"/>
    <w:rsid w:val="00C23F9E"/>
    <w:rsid w:val="00C40961"/>
    <w:rsid w:val="00C4757E"/>
    <w:rsid w:val="00C562AA"/>
    <w:rsid w:val="00C63E2B"/>
    <w:rsid w:val="00C64FF5"/>
    <w:rsid w:val="00C65DCF"/>
    <w:rsid w:val="00C65E72"/>
    <w:rsid w:val="00C66F39"/>
    <w:rsid w:val="00C70F12"/>
    <w:rsid w:val="00C738E2"/>
    <w:rsid w:val="00C8160B"/>
    <w:rsid w:val="00C81BB6"/>
    <w:rsid w:val="00C934AF"/>
    <w:rsid w:val="00CA314A"/>
    <w:rsid w:val="00CA5062"/>
    <w:rsid w:val="00CB508D"/>
    <w:rsid w:val="00CC4BF6"/>
    <w:rsid w:val="00CC793C"/>
    <w:rsid w:val="00CD4C57"/>
    <w:rsid w:val="00CF458F"/>
    <w:rsid w:val="00D02658"/>
    <w:rsid w:val="00D04BF4"/>
    <w:rsid w:val="00D21C47"/>
    <w:rsid w:val="00D2375E"/>
    <w:rsid w:val="00D2537C"/>
    <w:rsid w:val="00D25951"/>
    <w:rsid w:val="00D26956"/>
    <w:rsid w:val="00D26DC2"/>
    <w:rsid w:val="00D372A9"/>
    <w:rsid w:val="00D44216"/>
    <w:rsid w:val="00D4765A"/>
    <w:rsid w:val="00D527ED"/>
    <w:rsid w:val="00D561EE"/>
    <w:rsid w:val="00D6158D"/>
    <w:rsid w:val="00D7195F"/>
    <w:rsid w:val="00D71C17"/>
    <w:rsid w:val="00D801C6"/>
    <w:rsid w:val="00D83019"/>
    <w:rsid w:val="00D8525D"/>
    <w:rsid w:val="00D92623"/>
    <w:rsid w:val="00D93A37"/>
    <w:rsid w:val="00DA0816"/>
    <w:rsid w:val="00DC5F64"/>
    <w:rsid w:val="00DC7872"/>
    <w:rsid w:val="00DD6466"/>
    <w:rsid w:val="00DD697C"/>
    <w:rsid w:val="00DE6A63"/>
    <w:rsid w:val="00DF19C8"/>
    <w:rsid w:val="00E04054"/>
    <w:rsid w:val="00E1289B"/>
    <w:rsid w:val="00E17D38"/>
    <w:rsid w:val="00E23DFD"/>
    <w:rsid w:val="00E2542E"/>
    <w:rsid w:val="00E2610B"/>
    <w:rsid w:val="00E4080C"/>
    <w:rsid w:val="00E42853"/>
    <w:rsid w:val="00E43ED0"/>
    <w:rsid w:val="00E549CB"/>
    <w:rsid w:val="00E6220D"/>
    <w:rsid w:val="00E8417A"/>
    <w:rsid w:val="00E941A6"/>
    <w:rsid w:val="00EA4AFE"/>
    <w:rsid w:val="00EB05F1"/>
    <w:rsid w:val="00EB6F57"/>
    <w:rsid w:val="00EC2C40"/>
    <w:rsid w:val="00ED7886"/>
    <w:rsid w:val="00EE05C3"/>
    <w:rsid w:val="00EE59D1"/>
    <w:rsid w:val="00F01287"/>
    <w:rsid w:val="00F1283B"/>
    <w:rsid w:val="00F25745"/>
    <w:rsid w:val="00F33362"/>
    <w:rsid w:val="00F34E65"/>
    <w:rsid w:val="00F44EC4"/>
    <w:rsid w:val="00F506ED"/>
    <w:rsid w:val="00F63CE3"/>
    <w:rsid w:val="00F649DD"/>
    <w:rsid w:val="00F903AD"/>
    <w:rsid w:val="00F93BB7"/>
    <w:rsid w:val="00F955DA"/>
    <w:rsid w:val="00FB1000"/>
    <w:rsid w:val="00FB334A"/>
    <w:rsid w:val="00FB4F52"/>
    <w:rsid w:val="00FB698F"/>
    <w:rsid w:val="00FC238F"/>
    <w:rsid w:val="00FD05B8"/>
    <w:rsid w:val="00FD493D"/>
    <w:rsid w:val="00FE0BED"/>
    <w:rsid w:val="00FE0EB5"/>
    <w:rsid w:val="00FE21B8"/>
    <w:rsid w:val="00FE3A2E"/>
    <w:rsid w:val="00FE5B62"/>
    <w:rsid w:val="00FE6833"/>
    <w:rsid w:val="00FE7E98"/>
    <w:rsid w:val="00FF37A9"/>
    <w:rsid w:val="00FF4E6F"/>
    <w:rsid w:val="00FF613C"/>
    <w:rsid w:val="00FF73A3"/>
    <w:rsid w:val="012C75C3"/>
    <w:rsid w:val="0150627C"/>
    <w:rsid w:val="01644A7E"/>
    <w:rsid w:val="01791308"/>
    <w:rsid w:val="02881E0B"/>
    <w:rsid w:val="028A08C0"/>
    <w:rsid w:val="02C80F80"/>
    <w:rsid w:val="02D06B1E"/>
    <w:rsid w:val="0325568D"/>
    <w:rsid w:val="03E833E2"/>
    <w:rsid w:val="04361A0E"/>
    <w:rsid w:val="04813434"/>
    <w:rsid w:val="04E82E5D"/>
    <w:rsid w:val="04EB0D09"/>
    <w:rsid w:val="050F139A"/>
    <w:rsid w:val="05686195"/>
    <w:rsid w:val="057B2ECA"/>
    <w:rsid w:val="0590287F"/>
    <w:rsid w:val="06C47767"/>
    <w:rsid w:val="06D27D2E"/>
    <w:rsid w:val="06E635A4"/>
    <w:rsid w:val="08EE5446"/>
    <w:rsid w:val="09E907EB"/>
    <w:rsid w:val="0A82167B"/>
    <w:rsid w:val="0CEF2B00"/>
    <w:rsid w:val="0FA90872"/>
    <w:rsid w:val="10D55943"/>
    <w:rsid w:val="1185724E"/>
    <w:rsid w:val="11A825AE"/>
    <w:rsid w:val="123705B9"/>
    <w:rsid w:val="128E5294"/>
    <w:rsid w:val="129E1AA6"/>
    <w:rsid w:val="13910C45"/>
    <w:rsid w:val="13B01BC5"/>
    <w:rsid w:val="144C05C8"/>
    <w:rsid w:val="15B925CF"/>
    <w:rsid w:val="1600381A"/>
    <w:rsid w:val="163A1270"/>
    <w:rsid w:val="167A3002"/>
    <w:rsid w:val="169267C0"/>
    <w:rsid w:val="16990354"/>
    <w:rsid w:val="16D14EBA"/>
    <w:rsid w:val="175F3CA6"/>
    <w:rsid w:val="17767D2A"/>
    <w:rsid w:val="181A136A"/>
    <w:rsid w:val="18E123E9"/>
    <w:rsid w:val="1918276A"/>
    <w:rsid w:val="19651927"/>
    <w:rsid w:val="19FB7D8E"/>
    <w:rsid w:val="1A5B6391"/>
    <w:rsid w:val="1AD126D6"/>
    <w:rsid w:val="1B9430C3"/>
    <w:rsid w:val="1C7012F4"/>
    <w:rsid w:val="1CDD0DBE"/>
    <w:rsid w:val="1D774D5E"/>
    <w:rsid w:val="1EA062D6"/>
    <w:rsid w:val="1F071E40"/>
    <w:rsid w:val="1F923279"/>
    <w:rsid w:val="209B625B"/>
    <w:rsid w:val="215B5E04"/>
    <w:rsid w:val="219D5072"/>
    <w:rsid w:val="22140AA7"/>
    <w:rsid w:val="221D378B"/>
    <w:rsid w:val="22C87E24"/>
    <w:rsid w:val="230A5C9B"/>
    <w:rsid w:val="2348576E"/>
    <w:rsid w:val="23884CE3"/>
    <w:rsid w:val="244B5CEE"/>
    <w:rsid w:val="24FB512B"/>
    <w:rsid w:val="25125918"/>
    <w:rsid w:val="25DA74AE"/>
    <w:rsid w:val="25E2722C"/>
    <w:rsid w:val="26FF0168"/>
    <w:rsid w:val="27EF0948"/>
    <w:rsid w:val="2978652E"/>
    <w:rsid w:val="29994783"/>
    <w:rsid w:val="29F44EC2"/>
    <w:rsid w:val="2A37305D"/>
    <w:rsid w:val="2AD76DF3"/>
    <w:rsid w:val="2BA845F2"/>
    <w:rsid w:val="2C1A4849"/>
    <w:rsid w:val="2CA35285"/>
    <w:rsid w:val="2D3777A9"/>
    <w:rsid w:val="2D53037F"/>
    <w:rsid w:val="2F8B2686"/>
    <w:rsid w:val="30E25BAB"/>
    <w:rsid w:val="311E62FE"/>
    <w:rsid w:val="31212764"/>
    <w:rsid w:val="316A7F1E"/>
    <w:rsid w:val="31EE77C5"/>
    <w:rsid w:val="31F50A29"/>
    <w:rsid w:val="33AE0206"/>
    <w:rsid w:val="33D338F3"/>
    <w:rsid w:val="33ED7470"/>
    <w:rsid w:val="343D3BEB"/>
    <w:rsid w:val="3440083C"/>
    <w:rsid w:val="3469735D"/>
    <w:rsid w:val="34D04D80"/>
    <w:rsid w:val="35366425"/>
    <w:rsid w:val="35421935"/>
    <w:rsid w:val="35586B6B"/>
    <w:rsid w:val="35C876A5"/>
    <w:rsid w:val="35D03DB1"/>
    <w:rsid w:val="360F6D00"/>
    <w:rsid w:val="365B3B1A"/>
    <w:rsid w:val="368469FD"/>
    <w:rsid w:val="371971AE"/>
    <w:rsid w:val="375170C8"/>
    <w:rsid w:val="39063762"/>
    <w:rsid w:val="394A718C"/>
    <w:rsid w:val="39745863"/>
    <w:rsid w:val="399C7E17"/>
    <w:rsid w:val="39D70A86"/>
    <w:rsid w:val="39D92970"/>
    <w:rsid w:val="39FB1897"/>
    <w:rsid w:val="39FE093D"/>
    <w:rsid w:val="3A523362"/>
    <w:rsid w:val="3B1D432A"/>
    <w:rsid w:val="3BBE24E2"/>
    <w:rsid w:val="3BD07B55"/>
    <w:rsid w:val="3C563E22"/>
    <w:rsid w:val="3D440195"/>
    <w:rsid w:val="3D8711AA"/>
    <w:rsid w:val="3DB40624"/>
    <w:rsid w:val="3E413ED1"/>
    <w:rsid w:val="3FA271E3"/>
    <w:rsid w:val="3FA27361"/>
    <w:rsid w:val="3FAE2155"/>
    <w:rsid w:val="406665E0"/>
    <w:rsid w:val="407623F3"/>
    <w:rsid w:val="40EC3D9F"/>
    <w:rsid w:val="421F2EEA"/>
    <w:rsid w:val="42A52E7A"/>
    <w:rsid w:val="4496246A"/>
    <w:rsid w:val="45312A19"/>
    <w:rsid w:val="45DB3C2D"/>
    <w:rsid w:val="45FB1E0A"/>
    <w:rsid w:val="46365B58"/>
    <w:rsid w:val="466510E8"/>
    <w:rsid w:val="470C1EA0"/>
    <w:rsid w:val="47B00E49"/>
    <w:rsid w:val="47D755C8"/>
    <w:rsid w:val="480E1D32"/>
    <w:rsid w:val="48B003D0"/>
    <w:rsid w:val="4A99572F"/>
    <w:rsid w:val="4B8C02B4"/>
    <w:rsid w:val="4BAC1AC0"/>
    <w:rsid w:val="4C1D7ACE"/>
    <w:rsid w:val="4C7813AD"/>
    <w:rsid w:val="4CAF0EB6"/>
    <w:rsid w:val="4CDA2801"/>
    <w:rsid w:val="4E275F1E"/>
    <w:rsid w:val="4F917FC6"/>
    <w:rsid w:val="501B68C6"/>
    <w:rsid w:val="508D27A6"/>
    <w:rsid w:val="510D0E91"/>
    <w:rsid w:val="5115798C"/>
    <w:rsid w:val="512117E2"/>
    <w:rsid w:val="51413B07"/>
    <w:rsid w:val="51AF7243"/>
    <w:rsid w:val="51C51D65"/>
    <w:rsid w:val="51C65ED7"/>
    <w:rsid w:val="5236524B"/>
    <w:rsid w:val="533956EC"/>
    <w:rsid w:val="55381AB4"/>
    <w:rsid w:val="55ED14B2"/>
    <w:rsid w:val="56225567"/>
    <w:rsid w:val="56B04FAC"/>
    <w:rsid w:val="57334510"/>
    <w:rsid w:val="579D29FC"/>
    <w:rsid w:val="57C60097"/>
    <w:rsid w:val="57D5663C"/>
    <w:rsid w:val="59156B87"/>
    <w:rsid w:val="59642F2F"/>
    <w:rsid w:val="59AA14E0"/>
    <w:rsid w:val="59E12472"/>
    <w:rsid w:val="59E52906"/>
    <w:rsid w:val="5A155A44"/>
    <w:rsid w:val="5AF554D4"/>
    <w:rsid w:val="5B661732"/>
    <w:rsid w:val="5C2F77C1"/>
    <w:rsid w:val="5C3B15B1"/>
    <w:rsid w:val="5C461FB7"/>
    <w:rsid w:val="5CB70498"/>
    <w:rsid w:val="5D1412C6"/>
    <w:rsid w:val="5D4E247E"/>
    <w:rsid w:val="5D7D1EFE"/>
    <w:rsid w:val="5E211941"/>
    <w:rsid w:val="5E3E0586"/>
    <w:rsid w:val="5EA9695E"/>
    <w:rsid w:val="5ED512CA"/>
    <w:rsid w:val="5FDE4127"/>
    <w:rsid w:val="600E40C9"/>
    <w:rsid w:val="604E3D2F"/>
    <w:rsid w:val="609C1393"/>
    <w:rsid w:val="62200402"/>
    <w:rsid w:val="62A42AE3"/>
    <w:rsid w:val="62A55CA5"/>
    <w:rsid w:val="62CC4571"/>
    <w:rsid w:val="631669F1"/>
    <w:rsid w:val="63277E71"/>
    <w:rsid w:val="64436E1E"/>
    <w:rsid w:val="6468013A"/>
    <w:rsid w:val="649C46F2"/>
    <w:rsid w:val="64B32C06"/>
    <w:rsid w:val="663F0599"/>
    <w:rsid w:val="6643017F"/>
    <w:rsid w:val="67CC6DC1"/>
    <w:rsid w:val="68B32ADB"/>
    <w:rsid w:val="69313460"/>
    <w:rsid w:val="69C064B2"/>
    <w:rsid w:val="69CD2AD0"/>
    <w:rsid w:val="6B14138E"/>
    <w:rsid w:val="6B1C6BC9"/>
    <w:rsid w:val="6B2564B4"/>
    <w:rsid w:val="6B3B3325"/>
    <w:rsid w:val="6B3D3082"/>
    <w:rsid w:val="6B855CBC"/>
    <w:rsid w:val="6BCB5C9D"/>
    <w:rsid w:val="6D811100"/>
    <w:rsid w:val="6D8A0C8A"/>
    <w:rsid w:val="6E60246A"/>
    <w:rsid w:val="6F1766EF"/>
    <w:rsid w:val="6F1C4E14"/>
    <w:rsid w:val="70137154"/>
    <w:rsid w:val="70B24544"/>
    <w:rsid w:val="711C5429"/>
    <w:rsid w:val="714C3197"/>
    <w:rsid w:val="7166357E"/>
    <w:rsid w:val="71A9298B"/>
    <w:rsid w:val="71D57C23"/>
    <w:rsid w:val="71EE5B0E"/>
    <w:rsid w:val="72115B75"/>
    <w:rsid w:val="72BD29C0"/>
    <w:rsid w:val="736563C5"/>
    <w:rsid w:val="73CB561A"/>
    <w:rsid w:val="7462070D"/>
    <w:rsid w:val="748B06D6"/>
    <w:rsid w:val="74F57957"/>
    <w:rsid w:val="75AD3069"/>
    <w:rsid w:val="762A388D"/>
    <w:rsid w:val="767307C7"/>
    <w:rsid w:val="768B4C77"/>
    <w:rsid w:val="771E7C0A"/>
    <w:rsid w:val="7789230E"/>
    <w:rsid w:val="779C1699"/>
    <w:rsid w:val="783C3AEF"/>
    <w:rsid w:val="796919ED"/>
    <w:rsid w:val="797F6F0E"/>
    <w:rsid w:val="79863882"/>
    <w:rsid w:val="79DC6ADA"/>
    <w:rsid w:val="79EE2F80"/>
    <w:rsid w:val="79EE788A"/>
    <w:rsid w:val="79FC526A"/>
    <w:rsid w:val="7A2949F7"/>
    <w:rsid w:val="7B0E49A9"/>
    <w:rsid w:val="7BED06EF"/>
    <w:rsid w:val="7C0A6C4A"/>
    <w:rsid w:val="7C795EBB"/>
    <w:rsid w:val="7D1D18E6"/>
    <w:rsid w:val="7D4E40A8"/>
    <w:rsid w:val="7DC47EB1"/>
    <w:rsid w:val="7E485327"/>
    <w:rsid w:val="7ED75D34"/>
    <w:rsid w:val="7F482A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样式3"/>
    <w:basedOn w:val="1"/>
    <w:link w:val="8"/>
    <w:qFormat/>
    <w:uiPriority w:val="99"/>
    <w:pPr>
      <w:jc w:val="center"/>
    </w:pPr>
    <w:rPr>
      <w:rFonts w:ascii="方正小标宋简体" w:hAnsi="方正小标宋简体" w:eastAsia="仿宋" w:cs="方正小标宋简体"/>
      <w:sz w:val="28"/>
      <w:szCs w:val="52"/>
    </w:rPr>
  </w:style>
  <w:style w:type="character" w:customStyle="1" w:styleId="8">
    <w:name w:val="样式3 Char"/>
    <w:basedOn w:val="5"/>
    <w:link w:val="7"/>
    <w:qFormat/>
    <w:locked/>
    <w:uiPriority w:val="99"/>
    <w:rPr>
      <w:rFonts w:ascii="方正小标宋简体" w:hAnsi="方正小标宋简体" w:eastAsia="仿宋" w:cs="方正小标宋简体"/>
      <w:kern w:val="2"/>
      <w:sz w:val="28"/>
      <w:szCs w:val="52"/>
    </w:rPr>
  </w:style>
  <w:style w:type="character" w:customStyle="1" w:styleId="9">
    <w:name w:val="页脚 字符"/>
    <w:basedOn w:val="5"/>
    <w:link w:val="3"/>
    <w:qFormat/>
    <w:uiPriority w:val="0"/>
    <w:rPr>
      <w:rFonts w:ascii="Calibri" w:hAnsi="Calibri"/>
      <w:kern w:val="2"/>
      <w:sz w:val="18"/>
      <w:szCs w:val="18"/>
    </w:rPr>
  </w:style>
  <w:style w:type="character" w:customStyle="1" w:styleId="10">
    <w:name w:val="页眉 字符"/>
    <w:basedOn w:val="5"/>
    <w:link w:val="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30</Pages>
  <Words>11146</Words>
  <Characters>13017</Characters>
  <Lines>117</Lines>
  <Paragraphs>32</Paragraphs>
  <TotalTime>0</TotalTime>
  <ScaleCrop>false</ScaleCrop>
  <LinksUpToDate>false</LinksUpToDate>
  <CharactersWithSpaces>14413</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2018-02-02T06:39:00Z</dcterms:created>
  <dc:creator>谢斐</dc:creator>
  <cp:lastModifiedBy>Administrator</cp:lastModifiedBy>
  <cp:lastPrinted>2023-05-12T02:43:00Z</cp:lastPrinted>
  <dcterms:modified xsi:type="dcterms:W3CDTF">2024-03-21T01:34:32Z</dcterms:modified>
  <dc:title>2017年度省级部门预算公开参考格式</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C6D45140CB9C40BA8885CAA2EB2A15FF</vt:lpwstr>
  </property>
</Properties>
</file>