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8364"/>
        </w:tabs>
        <w:kinsoku w:val="0"/>
        <w:overflowPunct w:val="0"/>
        <w:adjustRightInd w:val="0"/>
        <w:snapToGrid w:val="0"/>
        <w:spacing w:line="360" w:lineRule="auto"/>
        <w:ind w:left="101" w:right="42" w:firstLine="1040" w:firstLineChars="200"/>
        <w:jc w:val="center"/>
        <w:rPr>
          <w:rFonts w:hint="eastAsia" w:ascii="黑体" w:hAnsi="黑体" w:eastAsia="黑体"/>
          <w:sz w:val="52"/>
          <w:szCs w:val="52"/>
          <w:highlight w:val="none"/>
        </w:rPr>
      </w:pPr>
    </w:p>
    <w:p>
      <w:pPr>
        <w:tabs>
          <w:tab w:val="left" w:pos="8364"/>
        </w:tabs>
        <w:kinsoku w:val="0"/>
        <w:overflowPunct w:val="0"/>
        <w:adjustRightInd w:val="0"/>
        <w:snapToGrid w:val="0"/>
        <w:spacing w:line="360" w:lineRule="auto"/>
        <w:ind w:left="101" w:right="42" w:firstLine="1040" w:firstLineChars="200"/>
        <w:jc w:val="center"/>
        <w:rPr>
          <w:rFonts w:ascii="黑体" w:hAnsi="黑体" w:eastAsia="黑体"/>
          <w:sz w:val="52"/>
          <w:szCs w:val="52"/>
          <w:highlight w:val="none"/>
        </w:rPr>
      </w:pPr>
    </w:p>
    <w:p>
      <w:pPr>
        <w:tabs>
          <w:tab w:val="left" w:pos="8364"/>
        </w:tabs>
        <w:kinsoku w:val="0"/>
        <w:overflowPunct w:val="0"/>
        <w:adjustRightInd w:val="0"/>
        <w:snapToGrid w:val="0"/>
        <w:spacing w:line="560" w:lineRule="exact"/>
        <w:ind w:left="101" w:right="42" w:firstLine="1040" w:firstLineChars="200"/>
        <w:jc w:val="center"/>
        <w:rPr>
          <w:rFonts w:ascii="黑体" w:hAnsi="黑体" w:eastAsia="黑体"/>
          <w:sz w:val="52"/>
          <w:szCs w:val="52"/>
          <w:highlight w:val="none"/>
        </w:rPr>
      </w:pPr>
    </w:p>
    <w:p>
      <w:pPr>
        <w:jc w:val="center"/>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lang w:eastAsia="zh-CN"/>
        </w:rPr>
        <w:t>中共新乡市卫滨区委组织部</w:t>
      </w:r>
    </w:p>
    <w:p>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w:t>
      </w: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仿宋_GB2312" w:cs="黑体"/>
          <w:sz w:val="56"/>
          <w:szCs w:val="56"/>
          <w:lang w:val="en-US" w:eastAsia="zh-CN"/>
        </w:rPr>
      </w:pPr>
    </w:p>
    <w:p>
      <w:pPr>
        <w:kinsoku w:val="0"/>
        <w:overflowPunct w:val="0"/>
        <w:adjustRightInd w:val="0"/>
        <w:snapToGrid w:val="0"/>
        <w:spacing w:line="560" w:lineRule="exact"/>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p>
    <w:p>
      <w:pPr>
        <w:jc w:val="center"/>
        <w:rPr>
          <w:rFonts w:hint="eastAsia" w:ascii="方正小标宋简体" w:hAnsi="方正小标宋简体" w:eastAsia="方正小标宋简体" w:cs="方正小标宋简体"/>
          <w:sz w:val="44"/>
          <w:szCs w:val="44"/>
          <w:highlight w:val="red"/>
          <w:lang w:val="en" w:eastAsia="zh-CN"/>
        </w:rPr>
      </w:pPr>
      <w:r>
        <w:rPr>
          <w:rFonts w:hint="eastAsia" w:ascii="方正小标宋简体" w:hAnsi="方正小标宋简体" w:eastAsia="方正小标宋简体" w:cs="方正小标宋简体"/>
          <w:sz w:val="44"/>
          <w:szCs w:val="44"/>
          <w:highlight w:val="none"/>
          <w:lang w:val="en" w:eastAsia="zh-CN"/>
        </w:rPr>
        <w:t>二〇二四年三月</w:t>
      </w: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eepNext w:val="0"/>
        <w:keepLines w:val="0"/>
        <w:pageBreakBefore w:val="0"/>
        <w:widowControl w:val="0"/>
        <w:wordWrap/>
        <w:topLinePunct w:val="0"/>
        <w:bidi w:val="0"/>
        <w:spacing w:line="360" w:lineRule="auto"/>
        <w:textAlignment w:val="auto"/>
        <w:rPr>
          <w:rFonts w:hint="eastAsia" w:ascii="仿宋_GB2312" w:hAnsi="黑体" w:eastAsia="仿宋_GB2312"/>
          <w:sz w:val="32"/>
          <w:szCs w:val="32"/>
          <w:highlight w:val="red"/>
        </w:rPr>
      </w:pPr>
    </w:p>
    <w:p>
      <w:pPr>
        <w:kinsoku w:val="0"/>
        <w:overflowPunct w:val="0"/>
        <w:adjustRightInd w:val="0"/>
        <w:snapToGrid w:val="0"/>
        <w:spacing w:line="360" w:lineRule="auto"/>
        <w:ind w:left="-142" w:right="51" w:firstLine="39" w:firstLineChars="7"/>
        <w:jc w:val="center"/>
        <w:rPr>
          <w:rFonts w:hint="eastAsia" w:ascii="黑体" w:hAnsi="Times New Roman" w:eastAsia="黑体" w:cs="黑体"/>
          <w:sz w:val="56"/>
          <w:szCs w:val="56"/>
        </w:rPr>
      </w:pPr>
      <w:r>
        <w:rPr>
          <w:rFonts w:hint="eastAsia" w:ascii="黑体" w:hAnsi="Times New Roman" w:eastAsia="黑体" w:cs="黑体"/>
          <w:sz w:val="56"/>
          <w:szCs w:val="56"/>
        </w:rPr>
        <w:t>目 录</w:t>
      </w:r>
    </w:p>
    <w:p>
      <w:pPr>
        <w:kinsoku w:val="0"/>
        <w:overflowPunct w:val="0"/>
        <w:adjustRightInd w:val="0"/>
        <w:snapToGrid w:val="0"/>
        <w:spacing w:line="560" w:lineRule="exact"/>
        <w:ind w:right="51" w:firstLine="3360" w:firstLineChars="600"/>
        <w:rPr>
          <w:rFonts w:ascii="黑体" w:hAnsi="Times New Roman" w:eastAsia="黑体" w:cs="黑体"/>
          <w:sz w:val="56"/>
          <w:szCs w:val="56"/>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rPr>
      </w:pPr>
      <w:r>
        <w:rPr>
          <w:rFonts w:hint="eastAsia" w:ascii="黑体" w:hAnsi="黑体" w:eastAsia="黑体" w:cs="黑体"/>
          <w:sz w:val="32"/>
          <w:szCs w:val="32"/>
        </w:rPr>
        <w:t xml:space="preserve">第一部分 </w:t>
      </w:r>
      <w:r>
        <w:rPr>
          <w:rFonts w:hint="eastAsia" w:ascii="黑体" w:hAnsi="黑体" w:eastAsia="黑体" w:cs="黑体"/>
          <w:sz w:val="32"/>
          <w:szCs w:val="32"/>
          <w:lang w:eastAsia="zh-CN"/>
        </w:rPr>
        <w:t>中共</w:t>
      </w:r>
      <w:r>
        <w:rPr>
          <w:rFonts w:hint="eastAsia" w:ascii="黑体" w:hAnsi="黑体" w:eastAsia="黑体" w:cs="黑体"/>
          <w:sz w:val="32"/>
          <w:szCs w:val="32"/>
        </w:rPr>
        <w:t>新乡市卫滨区</w:t>
      </w:r>
      <w:r>
        <w:rPr>
          <w:rFonts w:hint="eastAsia" w:ascii="黑体" w:hAnsi="黑体" w:eastAsia="黑体" w:cs="黑体"/>
          <w:sz w:val="32"/>
          <w:szCs w:val="32"/>
          <w:lang w:eastAsia="zh-CN"/>
        </w:rPr>
        <w:t>委组织部</w:t>
      </w:r>
      <w:r>
        <w:rPr>
          <w:rFonts w:hint="eastAsia" w:ascii="黑体" w:hAnsi="黑体" w:eastAsia="黑体" w:cs="黑体"/>
          <w:sz w:val="32"/>
          <w:szCs w:val="32"/>
        </w:rPr>
        <w:t>概况</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一、主要职能</w:t>
      </w:r>
    </w:p>
    <w:p>
      <w:pPr>
        <w:keepNext w:val="0"/>
        <w:keepLines w:val="0"/>
        <w:pageBreakBefore w:val="0"/>
        <w:widowControl w:val="0"/>
        <w:kinsoku w:val="0"/>
        <w:wordWrap/>
        <w:overflowPunct w:val="0"/>
        <w:topLinePunct w:val="0"/>
        <w:bidi w:val="0"/>
        <w:adjustRightInd w:val="0"/>
        <w:snapToGrid w:val="0"/>
        <w:spacing w:line="360" w:lineRule="auto"/>
        <w:ind w:right="3566" w:firstLine="640" w:firstLineChars="200"/>
        <w:jc w:val="left"/>
        <w:textAlignment w:val="auto"/>
        <w:rPr>
          <w:rFonts w:ascii="仿宋_GB2312" w:hAnsi="Times New Roman" w:eastAsia="仿宋_GB2312" w:cs="仿宋_GB2312"/>
          <w:sz w:val="32"/>
          <w:szCs w:val="32"/>
        </w:rPr>
      </w:pPr>
      <w:r>
        <w:rPr>
          <w:rFonts w:hint="eastAsia" w:ascii="仿宋_GB2312" w:hAnsi="Times New Roman" w:eastAsia="仿宋_GB2312" w:cs="仿宋_GB2312"/>
          <w:sz w:val="32"/>
          <w:szCs w:val="32"/>
        </w:rPr>
        <w:t>二、</w:t>
      </w:r>
      <w:r>
        <w:rPr>
          <w:rFonts w:ascii="仿宋_GB2312" w:hAnsi="Times New Roman" w:eastAsia="仿宋_GB2312" w:cs="仿宋_GB2312"/>
          <w:sz w:val="32"/>
          <w:szCs w:val="32"/>
        </w:rPr>
        <w:t>部门</w:t>
      </w:r>
      <w:r>
        <w:rPr>
          <w:rFonts w:hint="eastAsia" w:ascii="仿宋_GB2312" w:hAnsi="Times New Roman" w:eastAsia="仿宋_GB2312" w:cs="仿宋_GB2312"/>
          <w:sz w:val="32"/>
          <w:szCs w:val="32"/>
        </w:rPr>
        <w:t>所属</w:t>
      </w:r>
      <w:r>
        <w:rPr>
          <w:rFonts w:ascii="仿宋_GB2312" w:hAnsi="Times New Roman" w:eastAsia="仿宋_GB2312" w:cs="仿宋_GB2312"/>
          <w:sz w:val="32"/>
          <w:szCs w:val="32"/>
        </w:rPr>
        <w:t>预算单位</w:t>
      </w:r>
      <w:r>
        <w:rPr>
          <w:rFonts w:hint="eastAsia" w:ascii="仿宋_GB2312" w:hAnsi="Times New Roman" w:eastAsia="仿宋_GB2312" w:cs="仿宋_GB2312"/>
          <w:sz w:val="32"/>
          <w:szCs w:val="32"/>
        </w:rPr>
        <w:t>构成情况</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黑体" w:hAnsi="Times New Roman" w:eastAsia="黑体" w:cs="黑体"/>
          <w:sz w:val="32"/>
          <w:szCs w:val="32"/>
        </w:rPr>
        <w:t xml:space="preserve">第二部分 </w:t>
      </w:r>
      <w:r>
        <w:rPr>
          <w:rFonts w:hint="eastAsia" w:ascii="黑体" w:hAnsi="Times New Roman" w:eastAsia="黑体" w:cs="黑体"/>
          <w:sz w:val="32"/>
          <w:szCs w:val="32"/>
          <w:lang w:eastAsia="zh-CN"/>
        </w:rPr>
        <w:t>中共</w:t>
      </w: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委组织部</w:t>
      </w:r>
      <w:r>
        <w:rPr>
          <w:rFonts w:hint="default" w:ascii="Times New Roman" w:hAnsi="Times New Roman" w:eastAsia="黑体" w:cs="Times New Roman"/>
          <w:spacing w:val="-119"/>
          <w:sz w:val="32"/>
          <w:szCs w:val="32"/>
        </w:rPr>
        <w:t xml:space="preserve"> </w:t>
      </w:r>
      <w:r>
        <w:rPr>
          <w:rFonts w:hint="default" w:ascii="黑体" w:hAnsi="Times New Roman" w:eastAsia="黑体" w:cs="黑体"/>
          <w:sz w:val="32"/>
          <w:szCs w:val="32"/>
        </w:rPr>
        <w:t>202</w:t>
      </w:r>
      <w:r>
        <w:rPr>
          <w:rFonts w:hint="eastAsia" w:ascii="黑体" w:hAnsi="Times New Roman" w:eastAsia="黑体" w:cs="黑体"/>
          <w:sz w:val="32"/>
          <w:szCs w:val="32"/>
          <w:lang w:val="en-US" w:eastAsia="zh-CN"/>
        </w:rPr>
        <w:t>4</w:t>
      </w:r>
      <w:r>
        <w:rPr>
          <w:rFonts w:hint="eastAsia" w:ascii="黑体" w:hAnsi="Times New Roman" w:eastAsia="黑体" w:cs="黑体"/>
          <w:sz w:val="32"/>
          <w:szCs w:val="32"/>
        </w:rPr>
        <w:t>年度部门预算情况说明</w:t>
      </w:r>
      <w:r>
        <w:rPr>
          <w:rFonts w:ascii="黑体" w:hAnsi="Times New Roman" w:eastAsia="黑体" w:cs="黑体"/>
          <w:w w:val="99"/>
          <w:sz w:val="32"/>
          <w:szCs w:val="32"/>
        </w:rPr>
        <w:t xml:space="preserve"> </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hint="eastAsia" w:ascii="黑体" w:hAnsi="Times New Roman" w:eastAsia="黑体" w:cs="黑体"/>
          <w:w w:val="99"/>
          <w:sz w:val="32"/>
          <w:szCs w:val="32"/>
        </w:rPr>
      </w:pPr>
      <w:r>
        <w:rPr>
          <w:rFonts w:hint="eastAsia" w:ascii="仿宋_GB2312" w:hAnsi="黑体" w:eastAsia="仿宋_GB2312"/>
          <w:sz w:val="32"/>
          <w:szCs w:val="32"/>
        </w:rPr>
        <w:t>一、收入支出预算总体情况说明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仿宋_GB2312" w:hAnsi="黑体" w:eastAsia="仿宋_GB2312"/>
          <w:sz w:val="32"/>
          <w:szCs w:val="32"/>
        </w:rPr>
        <w:t>四、财政拨款收入支出预算总体情况说明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黑体" w:eastAsia="仿宋_GB2312"/>
          <w:sz w:val="32"/>
          <w:szCs w:val="32"/>
        </w:rPr>
        <w:t>五、一般公共预算支出预算情况说明</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六、一般公共预算基本和项目支出预算情况说明</w:t>
      </w:r>
    </w:p>
    <w:p>
      <w:pPr>
        <w:keepNext w:val="0"/>
        <w:keepLines w:val="0"/>
        <w:pageBreakBefore w:val="0"/>
        <w:widowControl w:val="0"/>
        <w:wordWrap/>
        <w:topLinePunct w:val="0"/>
        <w:autoSpaceDE/>
        <w:autoSpaceDN/>
        <w:bidi w:val="0"/>
        <w:spacing w:line="360" w:lineRule="auto"/>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hAnsi="Times New Roman" w:eastAsia="仿宋_GB2312" w:cs="黑体"/>
          <w:kern w:val="0"/>
          <w:sz w:val="32"/>
          <w:szCs w:val="32"/>
        </w:rPr>
        <w:t>七、政府性基金预算支出预算情况说明</w:t>
      </w:r>
    </w:p>
    <w:p>
      <w:pPr>
        <w:keepNext w:val="0"/>
        <w:keepLines w:val="0"/>
        <w:pageBreakBefore w:val="0"/>
        <w:widowControl w:val="0"/>
        <w:kinsoku w:val="0"/>
        <w:wordWrap/>
        <w:overflowPunct w:val="0"/>
        <w:topLinePunct w:val="0"/>
        <w:autoSpaceDE/>
        <w:autoSpaceDN/>
        <w:bidi w:val="0"/>
        <w:adjustRightInd w:val="0"/>
        <w:snapToGrid w:val="0"/>
        <w:spacing w:line="360" w:lineRule="auto"/>
        <w:ind w:left="0" w:leftChars="0" w:right="0" w:rightChars="0" w:firstLine="640" w:firstLineChars="200"/>
        <w:jc w:val="both"/>
        <w:textAlignment w:val="auto"/>
        <w:outlineLvl w:val="9"/>
        <w:rPr>
          <w:rFonts w:hint="eastAsia" w:ascii="仿宋_GB2312" w:hAnsi="Times New Roman" w:eastAsia="仿宋_GB2312" w:cs="黑体"/>
          <w:w w:val="99"/>
          <w:sz w:val="32"/>
          <w:szCs w:val="32"/>
        </w:rPr>
      </w:pPr>
      <w:r>
        <w:rPr>
          <w:rFonts w:hint="eastAsia" w:ascii="仿宋_GB2312" w:hAnsi="Times New Roman" w:eastAsia="仿宋_GB2312" w:cs="黑体"/>
          <w:kern w:val="0"/>
          <w:sz w:val="32"/>
          <w:szCs w:val="32"/>
        </w:rPr>
        <w:t>八、“三公”经费支出预算情况说明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仿宋_GB2312" w:hAnsi="Times New Roman" w:eastAsia="仿宋_GB2312" w:cs="黑体"/>
          <w:spacing w:val="-1"/>
          <w:kern w:val="0"/>
          <w:sz w:val="32"/>
          <w:szCs w:val="32"/>
        </w:rPr>
        <w:t>九、其他重要事项的情况说明</w:t>
      </w:r>
    </w:p>
    <w:p>
      <w:pPr>
        <w:keepNext w:val="0"/>
        <w:keepLines w:val="0"/>
        <w:pageBreakBefore w:val="0"/>
        <w:widowControl w:val="0"/>
        <w:kinsoku w:val="0"/>
        <w:wordWrap/>
        <w:overflowPunct w:val="0"/>
        <w:topLinePunct w:val="0"/>
        <w:bidi w:val="0"/>
        <w:adjustRightInd w:val="0"/>
        <w:snapToGrid w:val="0"/>
        <w:spacing w:line="360" w:lineRule="auto"/>
        <w:ind w:right="521" w:firstLine="640" w:firstLineChars="200"/>
        <w:textAlignment w:val="auto"/>
        <w:rPr>
          <w:rFonts w:ascii="黑体" w:hAnsi="Times New Roman" w:eastAsia="黑体" w:cs="黑体"/>
          <w:sz w:val="32"/>
          <w:szCs w:val="32"/>
        </w:rPr>
      </w:pPr>
      <w:r>
        <w:rPr>
          <w:rFonts w:hint="eastAsia" w:ascii="黑体" w:hAnsi="Times New Roman" w:eastAsia="黑体" w:cs="黑体"/>
          <w:sz w:val="32"/>
          <w:szCs w:val="32"/>
        </w:rPr>
        <w:t xml:space="preserve">第三部分 </w:t>
      </w:r>
      <w:r>
        <w:rPr>
          <w:rFonts w:ascii="黑体" w:hAnsi="Times New Roman" w:eastAsia="黑体" w:cs="黑体"/>
          <w:spacing w:val="-32"/>
          <w:sz w:val="32"/>
          <w:szCs w:val="32"/>
        </w:rPr>
        <w:t xml:space="preserve"> </w:t>
      </w:r>
      <w:r>
        <w:rPr>
          <w:rFonts w:hint="eastAsia" w:ascii="黑体" w:hAnsi="Times New Roman" w:eastAsia="黑体" w:cs="黑体"/>
          <w:sz w:val="32"/>
          <w:szCs w:val="32"/>
        </w:rPr>
        <w:t>名词解释</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r>
        <w:rPr>
          <w:rFonts w:hint="eastAsia" w:ascii="黑体" w:hAnsi="Times New Roman" w:eastAsia="黑体" w:cs="黑体"/>
          <w:sz w:val="32"/>
          <w:szCs w:val="32"/>
          <w:lang w:eastAsia="zh-CN"/>
        </w:rPr>
        <w:t>中共</w:t>
      </w:r>
      <w:r>
        <w:rPr>
          <w:rFonts w:hint="eastAsia" w:ascii="黑体" w:hAnsi="Times New Roman" w:eastAsia="黑体" w:cs="黑体"/>
          <w:sz w:val="32"/>
          <w:szCs w:val="32"/>
        </w:rPr>
        <w:t>新乡市卫滨区</w:t>
      </w:r>
      <w:r>
        <w:rPr>
          <w:rFonts w:hint="eastAsia" w:ascii="黑体" w:hAnsi="Times New Roman" w:eastAsia="黑体" w:cs="黑体"/>
          <w:sz w:val="32"/>
          <w:szCs w:val="32"/>
          <w:lang w:eastAsia="zh-CN"/>
        </w:rPr>
        <w:t>委组织部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w:t>
      </w:r>
      <w:r>
        <w:rPr>
          <w:rFonts w:hint="default" w:ascii="Times New Roman" w:hAnsi="Times New Roman" w:eastAsia="仿宋_GB2312" w:cs="Times New Roman"/>
          <w:sz w:val="32"/>
          <w:szCs w:val="32"/>
          <w:lang w:val="en-US" w:eastAsia="zh-CN"/>
        </w:rPr>
        <w:t>2024年部门收支总体情况表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年部门收入</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年部门支出</w:t>
      </w:r>
      <w:r>
        <w:rPr>
          <w:rFonts w:hint="default" w:ascii="Times New Roman" w:hAnsi="Times New Roman" w:eastAsia="仿宋_GB2312" w:cs="Times New Roman"/>
          <w:sz w:val="32"/>
          <w:szCs w:val="32"/>
          <w:lang w:val="en-US" w:eastAsia="zh-CN"/>
        </w:rPr>
        <w:t>总体情况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年财政拨款收支总体情况表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年一般公共预算支出</w:t>
      </w:r>
      <w:r>
        <w:rPr>
          <w:rFonts w:hint="default" w:ascii="Times New Roman" w:hAnsi="Times New Roman" w:eastAsia="仿宋_GB2312" w:cs="Times New Roman"/>
          <w:sz w:val="32"/>
          <w:szCs w:val="32"/>
          <w:lang w:val="en-US" w:eastAsia="zh-CN"/>
        </w:rPr>
        <w:t>情况</w:t>
      </w:r>
      <w:r>
        <w:rPr>
          <w:rFonts w:hint="default" w:ascii="Times New Roman" w:hAnsi="Times New Roman" w:eastAsia="仿宋_GB2312" w:cs="Times New Roman"/>
          <w:sz w:val="32"/>
          <w:szCs w:val="32"/>
        </w:rPr>
        <w:t>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2024年</w:t>
      </w:r>
      <w:r>
        <w:rPr>
          <w:rFonts w:hint="default" w:ascii="Times New Roman" w:hAnsi="Times New Roman" w:eastAsia="仿宋_GB2312" w:cs="Times New Roman"/>
          <w:sz w:val="32"/>
          <w:szCs w:val="32"/>
        </w:rPr>
        <w:t>一般公共预算基本支出表</w:t>
      </w:r>
    </w:p>
    <w:p>
      <w:pPr>
        <w:keepNext w:val="0"/>
        <w:keepLines w:val="0"/>
        <w:pageBreakBefore w:val="0"/>
        <w:widowControl w:val="0"/>
        <w:numPr>
          <w:ilvl w:val="0"/>
          <w:numId w:val="1"/>
        </w:numPr>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年支出经济分类汇总表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八、202</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年一般公共预算“三公”经费</w:t>
      </w:r>
      <w:r>
        <w:rPr>
          <w:rFonts w:hint="default" w:ascii="Times New Roman" w:hAnsi="Times New Roman" w:eastAsia="仿宋_GB2312" w:cs="Times New Roman"/>
          <w:sz w:val="32"/>
          <w:szCs w:val="32"/>
          <w:lang w:eastAsia="zh-CN"/>
        </w:rPr>
        <w:t>支出情况</w:t>
      </w:r>
      <w:r>
        <w:rPr>
          <w:rFonts w:hint="default" w:ascii="Times New Roman" w:hAnsi="Times New Roman" w:eastAsia="仿宋_GB2312" w:cs="Times New Roman"/>
          <w:sz w:val="32"/>
          <w:szCs w:val="32"/>
        </w:rPr>
        <w:t>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九、202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年政府性基金预算支出情况表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十、</w:t>
      </w:r>
      <w:r>
        <w:rPr>
          <w:rFonts w:hint="default" w:ascii="Times New Roman" w:hAnsi="Times New Roman" w:eastAsia="仿宋_GB2312" w:cs="Times New Roman"/>
          <w:sz w:val="32"/>
          <w:szCs w:val="32"/>
          <w:highlight w:val="none"/>
          <w:lang w:val="en-US" w:eastAsia="zh-CN"/>
        </w:rPr>
        <w:t>2024年</w:t>
      </w:r>
      <w:r>
        <w:rPr>
          <w:rFonts w:hint="default" w:ascii="Times New Roman" w:hAnsi="Times New Roman" w:eastAsia="仿宋_GB2312" w:cs="Times New Roman"/>
          <w:sz w:val="32"/>
          <w:szCs w:val="32"/>
          <w:highlight w:val="none"/>
          <w:lang w:eastAsia="zh-CN"/>
        </w:rPr>
        <w:t>项目支出表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十一、部门整体绩效目标表</w:t>
      </w:r>
    </w:p>
    <w:p>
      <w:pPr>
        <w:keepNext w:val="0"/>
        <w:keepLines w:val="0"/>
        <w:pageBreakBefore w:val="0"/>
        <w:widowControl w:val="0"/>
        <w:kinsoku w:val="0"/>
        <w:wordWrap/>
        <w:overflowPunct w:val="0"/>
        <w:topLinePunct w:val="0"/>
        <w:bidi w:val="0"/>
        <w:adjustRightInd w:val="0"/>
        <w:snapToGrid w:val="0"/>
        <w:spacing w:line="360" w:lineRule="auto"/>
        <w:ind w:right="51" w:firstLine="640" w:firstLineChars="200"/>
        <w:jc w:val="left"/>
        <w:textAlignment w:val="auto"/>
        <w:rPr>
          <w:rFonts w:hint="default" w:ascii="Times New Roman" w:hAnsi="Times New Roman" w:eastAsia="仿宋_GB2312" w:cs="Times New Roman"/>
          <w:sz w:val="32"/>
          <w:szCs w:val="32"/>
          <w:highlight w:val="red"/>
        </w:rPr>
      </w:pPr>
      <w:r>
        <w:rPr>
          <w:rFonts w:hint="default" w:ascii="Times New Roman" w:hAnsi="Times New Roman" w:eastAsia="仿宋_GB2312" w:cs="Times New Roman"/>
          <w:sz w:val="32"/>
          <w:szCs w:val="32"/>
          <w:highlight w:val="none"/>
        </w:rPr>
        <w:t>十二、202</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年部门预算项目绩效目标汇总表</w:t>
      </w:r>
    </w:p>
    <w:p>
      <w:pPr>
        <w:keepNext w:val="0"/>
        <w:keepLines w:val="0"/>
        <w:pageBreakBefore w:val="0"/>
        <w:widowControl w:val="0"/>
        <w:wordWrap/>
        <w:topLinePunct w:val="0"/>
        <w:bidi w:val="0"/>
        <w:adjustRightInd w:val="0"/>
        <w:snapToGrid w:val="0"/>
        <w:spacing w:line="360" w:lineRule="auto"/>
        <w:ind w:firstLine="1120" w:firstLineChars="35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 xml:space="preserve"> </w:t>
      </w: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方正小标宋简体" w:hAnsi="方正小标宋简体" w:eastAsia="方正小标宋简体" w:cs="方正小标宋简体"/>
          <w:sz w:val="36"/>
          <w:szCs w:val="36"/>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第一部分</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方正小标宋简体" w:hAnsi="方正小标宋简体" w:eastAsia="方正小标宋简体" w:cs="方正小标宋简体"/>
          <w:sz w:val="36"/>
          <w:szCs w:val="36"/>
          <w:lang w:eastAsia="zh-CN"/>
        </w:rPr>
        <w:t>中共</w:t>
      </w:r>
      <w:r>
        <w:rPr>
          <w:rFonts w:hint="eastAsia" w:ascii="方正小标宋简体" w:hAnsi="方正小标宋简体" w:eastAsia="方正小标宋简体" w:cs="方正小标宋简体"/>
          <w:sz w:val="36"/>
          <w:szCs w:val="36"/>
        </w:rPr>
        <w:t>新乡市卫滨区</w:t>
      </w:r>
      <w:r>
        <w:rPr>
          <w:rFonts w:hint="eastAsia" w:ascii="方正小标宋简体" w:hAnsi="方正小标宋简体" w:eastAsia="方正小标宋简体" w:cs="方正小标宋简体"/>
          <w:sz w:val="36"/>
          <w:szCs w:val="36"/>
          <w:lang w:eastAsia="zh-CN"/>
        </w:rPr>
        <w:t>委组织部</w:t>
      </w:r>
      <w:r>
        <w:rPr>
          <w:rFonts w:hint="eastAsia" w:ascii="方正小标宋简体" w:hAnsi="方正小标宋简体" w:eastAsia="方正小标宋简体" w:cs="方正小标宋简体"/>
          <w:sz w:val="36"/>
          <w:szCs w:val="36"/>
        </w:rPr>
        <w:t>概况</w:t>
      </w:r>
    </w:p>
    <w:p>
      <w:pPr>
        <w:keepNext w:val="0"/>
        <w:keepLines w:val="0"/>
        <w:pageBreakBefore w:val="0"/>
        <w:widowControl w:val="0"/>
        <w:numPr>
          <w:ilvl w:val="0"/>
          <w:numId w:val="2"/>
        </w:numPr>
        <w:wordWrap/>
        <w:topLinePunct w:val="0"/>
        <w:bidi w:val="0"/>
        <w:adjustRightInd w:val="0"/>
        <w:snapToGrid w:val="0"/>
        <w:spacing w:line="360" w:lineRule="auto"/>
        <w:textAlignment w:val="auto"/>
        <w:rPr>
          <w:rFonts w:hint="eastAsia" w:ascii="黑体" w:hAnsi="黑体" w:eastAsia="黑体"/>
          <w:sz w:val="32"/>
          <w:szCs w:val="32"/>
        </w:rPr>
      </w:pPr>
      <w:r>
        <w:rPr>
          <w:rFonts w:hint="eastAsia" w:ascii="黑体" w:hAnsi="Times New Roman" w:eastAsia="黑体" w:cs="黑体"/>
          <w:sz w:val="32"/>
          <w:szCs w:val="32"/>
          <w:lang w:eastAsia="zh-CN"/>
        </w:rPr>
        <w:t>中共</w:t>
      </w: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委组织部</w:t>
      </w:r>
      <w:r>
        <w:rPr>
          <w:rFonts w:hint="eastAsia" w:ascii="黑体" w:hAnsi="黑体" w:eastAsia="黑体"/>
          <w:sz w:val="32"/>
          <w:szCs w:val="32"/>
        </w:rPr>
        <w:t>主要职责</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hAnsi="仿宋_GB2312" w:eastAsia="仿宋_GB2312"/>
          <w:sz w:val="32"/>
          <w:szCs w:val="32"/>
        </w:rPr>
      </w:pPr>
      <w:r>
        <w:rPr>
          <w:rFonts w:hint="eastAsia" w:hAnsi="仿宋_GB2312" w:eastAsia="仿宋_GB2312"/>
          <w:sz w:val="32"/>
          <w:szCs w:val="32"/>
        </w:rPr>
        <w:t>中共</w:t>
      </w:r>
      <w:r>
        <w:rPr>
          <w:rFonts w:hint="eastAsia" w:hAnsi="仿宋_GB2312" w:eastAsia="仿宋_GB2312"/>
          <w:sz w:val="32"/>
          <w:szCs w:val="32"/>
          <w:lang w:eastAsia="zh-CN"/>
        </w:rPr>
        <w:t>新乡市</w:t>
      </w:r>
      <w:r>
        <w:rPr>
          <w:rFonts w:hint="eastAsia" w:hAnsi="仿宋_GB2312" w:eastAsia="仿宋_GB2312"/>
          <w:sz w:val="32"/>
          <w:szCs w:val="32"/>
        </w:rPr>
        <w:t>卫滨</w:t>
      </w:r>
      <w:r>
        <w:rPr>
          <w:rFonts w:hAnsi="仿宋_GB2312" w:eastAsia="仿宋_GB2312"/>
          <w:sz w:val="32"/>
          <w:szCs w:val="32"/>
        </w:rPr>
        <w:t>区委组织部</w:t>
      </w:r>
      <w:r>
        <w:rPr>
          <w:rFonts w:hint="eastAsia" w:hAnsi="仿宋_GB2312" w:eastAsia="仿宋_GB2312"/>
          <w:sz w:val="32"/>
          <w:szCs w:val="32"/>
        </w:rPr>
        <w:t>（以下简称区委组织部）</w:t>
      </w:r>
      <w:r>
        <w:rPr>
          <w:rFonts w:hAnsi="仿宋_GB2312" w:eastAsia="仿宋_GB2312"/>
          <w:sz w:val="32"/>
          <w:szCs w:val="32"/>
        </w:rPr>
        <w:t>是区委工作机关，</w:t>
      </w:r>
      <w:r>
        <w:rPr>
          <w:rFonts w:hint="eastAsia" w:hAnsi="仿宋_GB2312" w:eastAsia="仿宋_GB2312"/>
          <w:sz w:val="32"/>
          <w:szCs w:val="32"/>
        </w:rPr>
        <w:t>为正科级，</w:t>
      </w:r>
      <w:r>
        <w:rPr>
          <w:rFonts w:hAnsi="仿宋_GB2312" w:eastAsia="仿宋_GB2312"/>
          <w:sz w:val="32"/>
          <w:szCs w:val="32"/>
        </w:rPr>
        <w:t>统一领导组织部、机构编制委员会办公室，挂区委老干部局、区公务员局牌子。</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eastAsia="仿宋_GB2312"/>
          <w:sz w:val="32"/>
          <w:szCs w:val="32"/>
        </w:rPr>
      </w:pPr>
      <w:r>
        <w:rPr>
          <w:rFonts w:hint="eastAsia" w:ascii="楷体_GB2312" w:hAnsi="楷体_GB2312" w:eastAsia="楷体_GB2312" w:cs="楷体_GB2312"/>
          <w:sz w:val="32"/>
          <w:szCs w:val="32"/>
        </w:rPr>
        <w:t>（一）研究和指导全区党的组织建设工作，</w:t>
      </w:r>
      <w:r>
        <w:rPr>
          <w:rFonts w:hint="eastAsia" w:eastAsia="仿宋_GB2312"/>
          <w:sz w:val="32"/>
          <w:szCs w:val="32"/>
        </w:rPr>
        <w:t>突出加强对各领域</w:t>
      </w:r>
      <w:r>
        <w:rPr>
          <w:rFonts w:eastAsia="仿宋_GB2312"/>
          <w:sz w:val="32"/>
          <w:szCs w:val="32"/>
        </w:rPr>
        <w:t>党的基层组织建设</w:t>
      </w:r>
      <w:r>
        <w:rPr>
          <w:rFonts w:hint="eastAsia" w:eastAsia="仿宋_GB2312"/>
          <w:sz w:val="32"/>
          <w:szCs w:val="32"/>
        </w:rPr>
        <w:t>的指导；</w:t>
      </w:r>
      <w:r>
        <w:rPr>
          <w:rFonts w:eastAsia="仿宋_GB2312"/>
          <w:sz w:val="32"/>
          <w:szCs w:val="32"/>
        </w:rPr>
        <w:t>协调、</w:t>
      </w:r>
      <w:r>
        <w:rPr>
          <w:rFonts w:hint="eastAsia" w:eastAsia="仿宋_GB2312"/>
          <w:sz w:val="32"/>
          <w:szCs w:val="32"/>
        </w:rPr>
        <w:t>规划、</w:t>
      </w:r>
      <w:r>
        <w:rPr>
          <w:rFonts w:eastAsia="仿宋_GB2312"/>
          <w:sz w:val="32"/>
          <w:szCs w:val="32"/>
        </w:rPr>
        <w:t>指导全区党员教育工作</w:t>
      </w:r>
      <w:r>
        <w:rPr>
          <w:rFonts w:hint="eastAsia" w:eastAsia="仿宋_GB2312"/>
          <w:sz w:val="32"/>
          <w:szCs w:val="32"/>
        </w:rPr>
        <w:t>；</w:t>
      </w:r>
      <w:r>
        <w:rPr>
          <w:rFonts w:eastAsia="仿宋_GB2312"/>
          <w:sz w:val="32"/>
          <w:szCs w:val="32"/>
        </w:rPr>
        <w:t>主管党员的管理和发展工作；指导和组织新</w:t>
      </w:r>
      <w:r>
        <w:rPr>
          <w:rFonts w:hint="eastAsia" w:eastAsia="仿宋_GB2312"/>
          <w:sz w:val="32"/>
          <w:szCs w:val="32"/>
        </w:rPr>
        <w:t>时代</w:t>
      </w:r>
      <w:r>
        <w:rPr>
          <w:rFonts w:eastAsia="仿宋_GB2312"/>
          <w:sz w:val="32"/>
          <w:szCs w:val="32"/>
        </w:rPr>
        <w:t>党的建设理论研究</w:t>
      </w:r>
      <w:r>
        <w:rPr>
          <w:rFonts w:hint="eastAsia" w:eastAsia="仿宋_GB2312"/>
          <w:sz w:val="32"/>
          <w:szCs w:val="32"/>
        </w:rPr>
        <w:t>和阐释</w:t>
      </w:r>
      <w:r>
        <w:rPr>
          <w:rFonts w:eastAsia="仿宋_GB2312"/>
          <w:sz w:val="32"/>
          <w:szCs w:val="32"/>
        </w:rPr>
        <w:t>。</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eastAsia="仿宋_GB2312"/>
          <w:sz w:val="32"/>
          <w:szCs w:val="32"/>
        </w:rPr>
      </w:pPr>
      <w:r>
        <w:rPr>
          <w:rFonts w:hint="eastAsia" w:ascii="楷体_GB2312" w:hAnsi="楷体_GB2312" w:eastAsia="楷体_GB2312" w:cs="楷体_GB2312"/>
          <w:sz w:val="32"/>
          <w:szCs w:val="32"/>
        </w:rPr>
        <w:t>（二）贯彻执行中央、省委、市委关于干部队伍建设的方针、政策，加强领导班子和干部队伍建设，</w:t>
      </w:r>
      <w:r>
        <w:rPr>
          <w:rFonts w:hint="eastAsia" w:eastAsia="仿宋_GB2312"/>
          <w:sz w:val="32"/>
          <w:szCs w:val="32"/>
        </w:rPr>
        <w:t>指导领导班子的思想政治和作风建设，</w:t>
      </w:r>
      <w:r>
        <w:rPr>
          <w:rFonts w:eastAsia="仿宋_GB2312"/>
          <w:sz w:val="32"/>
          <w:szCs w:val="32"/>
        </w:rPr>
        <w:t>组织落实培养选拔优秀年轻干部工作。</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eastAsia="仿宋_GB2312"/>
          <w:sz w:val="32"/>
          <w:szCs w:val="32"/>
        </w:rPr>
      </w:pPr>
      <w:r>
        <w:rPr>
          <w:rFonts w:hint="eastAsia" w:ascii="楷体_GB2312" w:hAnsi="楷体_GB2312" w:eastAsia="楷体_GB2312" w:cs="楷体_GB2312"/>
          <w:sz w:val="32"/>
          <w:szCs w:val="32"/>
        </w:rPr>
        <w:t>（三）提出乡镇（街道）、区直各单位以及其他列入区委管理的领导班子和领导干部调整、配备的意见和建议；</w:t>
      </w:r>
      <w:r>
        <w:rPr>
          <w:rFonts w:eastAsia="仿宋_GB2312"/>
          <w:sz w:val="32"/>
          <w:szCs w:val="32"/>
        </w:rPr>
        <w:t>负责区委管理干部的考察</w:t>
      </w:r>
      <w:r>
        <w:rPr>
          <w:rFonts w:hint="eastAsia" w:eastAsia="仿宋_GB2312"/>
          <w:sz w:val="32"/>
          <w:szCs w:val="32"/>
        </w:rPr>
        <w:t>、考核</w:t>
      </w:r>
      <w:r>
        <w:rPr>
          <w:rFonts w:eastAsia="仿宋_GB2312"/>
          <w:sz w:val="32"/>
          <w:szCs w:val="32"/>
        </w:rPr>
        <w:t>和办理任免</w:t>
      </w:r>
      <w:r>
        <w:rPr>
          <w:rFonts w:hint="eastAsia" w:eastAsia="仿宋_GB2312"/>
          <w:sz w:val="32"/>
          <w:szCs w:val="32"/>
        </w:rPr>
        <w:t>、工资、待遇、退休、兼职</w:t>
      </w:r>
      <w:r>
        <w:rPr>
          <w:rFonts w:eastAsia="仿宋_GB2312"/>
          <w:sz w:val="32"/>
          <w:szCs w:val="32"/>
        </w:rPr>
        <w:t>等工作</w:t>
      </w:r>
      <w:r>
        <w:rPr>
          <w:rFonts w:hint="eastAsia" w:eastAsia="仿宋_GB2312"/>
          <w:sz w:val="32"/>
          <w:szCs w:val="32"/>
        </w:rPr>
        <w:t>；负责全区科级单位中层以上干部的备案审核、宏观管理；</w:t>
      </w:r>
      <w:r>
        <w:rPr>
          <w:rFonts w:eastAsia="仿宋_GB2312"/>
          <w:sz w:val="32"/>
          <w:szCs w:val="32"/>
        </w:rPr>
        <w:t>根据授权承办区委协助市委管理干部的任免、工资、侍遇、离（退）休等有关具体工作</w:t>
      </w:r>
      <w:r>
        <w:rPr>
          <w:rFonts w:hint="eastAsia" w:eastAsia="仿宋_GB2312"/>
          <w:sz w:val="32"/>
          <w:szCs w:val="32"/>
        </w:rPr>
        <w:t>；</w:t>
      </w:r>
      <w:r>
        <w:rPr>
          <w:rFonts w:eastAsia="仿宋_GB2312"/>
          <w:sz w:val="32"/>
          <w:szCs w:val="32"/>
        </w:rPr>
        <w:t>指导领导班子的思想作风建设</w:t>
      </w:r>
      <w:r>
        <w:rPr>
          <w:rFonts w:hint="eastAsia" w:eastAsia="仿宋_GB2312"/>
          <w:sz w:val="32"/>
          <w:szCs w:val="32"/>
        </w:rPr>
        <w:t>；</w:t>
      </w:r>
      <w:r>
        <w:rPr>
          <w:rFonts w:eastAsia="仿宋_GB2312"/>
          <w:sz w:val="32"/>
          <w:szCs w:val="32"/>
        </w:rPr>
        <w:t>承办</w:t>
      </w:r>
      <w:r>
        <w:rPr>
          <w:rFonts w:hint="eastAsia" w:eastAsia="仿宋_GB2312"/>
          <w:sz w:val="32"/>
          <w:szCs w:val="32"/>
        </w:rPr>
        <w:t>区委管理</w:t>
      </w:r>
      <w:r>
        <w:rPr>
          <w:rFonts w:eastAsia="仿宋_GB2312"/>
          <w:sz w:val="32"/>
          <w:szCs w:val="32"/>
        </w:rPr>
        <w:t>干部</w:t>
      </w:r>
      <w:r>
        <w:rPr>
          <w:rFonts w:hint="eastAsia" w:eastAsia="仿宋_GB2312"/>
          <w:sz w:val="32"/>
          <w:szCs w:val="32"/>
        </w:rPr>
        <w:t>和其他部分干部</w:t>
      </w:r>
      <w:r>
        <w:rPr>
          <w:rFonts w:eastAsia="仿宋_GB2312"/>
          <w:sz w:val="32"/>
          <w:szCs w:val="32"/>
        </w:rPr>
        <w:t>的调配、交流、安置</w:t>
      </w:r>
      <w:r>
        <w:rPr>
          <w:rFonts w:hint="eastAsia" w:eastAsia="仿宋_GB2312"/>
          <w:sz w:val="32"/>
          <w:szCs w:val="32"/>
        </w:rPr>
        <w:t>、</w:t>
      </w:r>
      <w:r>
        <w:rPr>
          <w:rFonts w:eastAsia="仿宋_GB2312"/>
          <w:sz w:val="32"/>
          <w:szCs w:val="32"/>
        </w:rPr>
        <w:t>出国（境）事宜</w:t>
      </w:r>
      <w:r>
        <w:rPr>
          <w:rFonts w:hint="eastAsia" w:eastAsia="仿宋_GB2312"/>
          <w:sz w:val="32"/>
          <w:szCs w:val="32"/>
        </w:rPr>
        <w:t>；负责对全区事业单位领导人员的宏观管理。</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eastAsia="仿宋_GB2312"/>
          <w:sz w:val="32"/>
          <w:szCs w:val="32"/>
        </w:rPr>
      </w:pPr>
      <w:r>
        <w:rPr>
          <w:rFonts w:hint="eastAsia" w:ascii="楷体_GB2312" w:hAnsi="楷体_GB2312" w:eastAsia="楷体_GB2312" w:cs="楷体_GB2312"/>
          <w:sz w:val="32"/>
          <w:szCs w:val="32"/>
        </w:rPr>
        <w:t>（四）研究和指导全区党的组织制度和干部人事制度改革，</w:t>
      </w:r>
      <w:r>
        <w:rPr>
          <w:rFonts w:eastAsia="仿宋_GB2312"/>
          <w:sz w:val="32"/>
          <w:szCs w:val="32"/>
        </w:rPr>
        <w:t>制订或参与制订全区组织、干部、人事工作的有关政策和制度。</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eastAsia="仿宋_GB2312"/>
          <w:sz w:val="32"/>
          <w:szCs w:val="32"/>
        </w:rPr>
      </w:pPr>
      <w:r>
        <w:rPr>
          <w:rFonts w:hint="eastAsia" w:ascii="楷体_GB2312" w:hAnsi="楷体_GB2312" w:eastAsia="楷体_GB2312" w:cs="楷体_GB2312"/>
          <w:sz w:val="32"/>
          <w:szCs w:val="32"/>
        </w:rPr>
        <w:t>（五）负责全区组织工作和干部工作的检查落实；</w:t>
      </w:r>
      <w:r>
        <w:rPr>
          <w:rFonts w:eastAsia="仿宋_GB2312"/>
          <w:sz w:val="32"/>
          <w:szCs w:val="32"/>
        </w:rPr>
        <w:t>加强对全区选拔任用干部工作和</w:t>
      </w:r>
      <w:r>
        <w:rPr>
          <w:rFonts w:hint="eastAsia" w:eastAsia="仿宋_GB2312"/>
          <w:sz w:val="32"/>
          <w:szCs w:val="32"/>
        </w:rPr>
        <w:t>公务员、</w:t>
      </w:r>
      <w:r>
        <w:rPr>
          <w:rFonts w:eastAsia="仿宋_GB2312"/>
          <w:sz w:val="32"/>
          <w:szCs w:val="32"/>
        </w:rPr>
        <w:t>科级以上</w:t>
      </w:r>
      <w:r>
        <w:rPr>
          <w:rFonts w:hint="eastAsia" w:eastAsia="仿宋_GB2312"/>
          <w:sz w:val="32"/>
          <w:szCs w:val="32"/>
        </w:rPr>
        <w:t>领导</w:t>
      </w:r>
      <w:r>
        <w:rPr>
          <w:rFonts w:eastAsia="仿宋_GB2312"/>
          <w:sz w:val="32"/>
          <w:szCs w:val="32"/>
        </w:rPr>
        <w:t>干部的监督，及时向区委反映</w:t>
      </w:r>
      <w:r>
        <w:rPr>
          <w:rFonts w:hint="eastAsia" w:eastAsia="仿宋_GB2312"/>
          <w:sz w:val="32"/>
          <w:szCs w:val="32"/>
        </w:rPr>
        <w:t>有关</w:t>
      </w:r>
      <w:r>
        <w:rPr>
          <w:rFonts w:eastAsia="仿宋_GB2312"/>
          <w:sz w:val="32"/>
          <w:szCs w:val="32"/>
        </w:rPr>
        <w:t>重要情况</w:t>
      </w:r>
      <w:r>
        <w:rPr>
          <w:rFonts w:hint="eastAsia" w:eastAsia="仿宋_GB2312"/>
          <w:sz w:val="32"/>
          <w:szCs w:val="32"/>
        </w:rPr>
        <w:t>、</w:t>
      </w:r>
      <w:r>
        <w:rPr>
          <w:rFonts w:eastAsia="仿宋_GB2312"/>
          <w:sz w:val="32"/>
          <w:szCs w:val="32"/>
        </w:rPr>
        <w:t>提出建议。</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eastAsia="仿宋_GB2312"/>
          <w:sz w:val="32"/>
          <w:szCs w:val="32"/>
        </w:rPr>
      </w:pPr>
      <w:r>
        <w:rPr>
          <w:rFonts w:hint="eastAsia" w:ascii="楷体_GB2312" w:hAnsi="楷体_GB2312" w:eastAsia="楷体_GB2312" w:cs="楷体_GB2312"/>
          <w:sz w:val="32"/>
          <w:szCs w:val="32"/>
        </w:rPr>
        <w:t>（六）主管全区干部教育工作，</w:t>
      </w:r>
      <w:r>
        <w:rPr>
          <w:rFonts w:hint="eastAsia" w:eastAsia="仿宋_GB2312"/>
          <w:sz w:val="32"/>
          <w:szCs w:val="32"/>
        </w:rPr>
        <w:t>贯彻中央、省委、市委关于干部教育工作的方针、政策，负责干部教育工作的整体规划、制度建设、宏观指导和督促检查。</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eastAsia="仿宋_GB2312"/>
          <w:sz w:val="32"/>
          <w:szCs w:val="32"/>
        </w:rPr>
      </w:pPr>
      <w:r>
        <w:rPr>
          <w:rFonts w:hint="eastAsia" w:ascii="楷体_GB2312" w:hAnsi="楷体_GB2312" w:eastAsia="楷体_GB2312" w:cs="楷体_GB2312"/>
          <w:sz w:val="32"/>
          <w:szCs w:val="32"/>
        </w:rPr>
        <w:t>（七）统一管理全区公务员录用调配、考核奖励、培训和工资福利等事务，</w:t>
      </w:r>
      <w:r>
        <w:rPr>
          <w:rFonts w:hint="eastAsia" w:eastAsia="仿宋_GB2312"/>
          <w:sz w:val="32"/>
          <w:szCs w:val="32"/>
        </w:rPr>
        <w:t>贯彻执行中央、国家、省、市关于公务员管理的法律和政策法规，指导全区公务员队伍建设和绩效管理，负责全区公务员管理工作对外交流合作等。</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eastAsia="仿宋_GB2312"/>
          <w:sz w:val="32"/>
          <w:szCs w:val="32"/>
        </w:rPr>
      </w:pPr>
      <w:r>
        <w:rPr>
          <w:rFonts w:hint="eastAsia" w:ascii="楷体_GB2312" w:hAnsi="楷体_GB2312" w:eastAsia="楷体_GB2312" w:cs="楷体_GB2312"/>
          <w:sz w:val="32"/>
          <w:szCs w:val="32"/>
        </w:rPr>
        <w:t>（八）负责全区老干部有关工作，</w:t>
      </w:r>
      <w:r>
        <w:rPr>
          <w:rFonts w:hint="eastAsia" w:eastAsia="仿宋_GB2312"/>
          <w:sz w:val="32"/>
          <w:szCs w:val="32"/>
        </w:rPr>
        <w:t>贯彻落实党中央、国务院、省委、省政府、市委、市政府关于老干部工作的方针、政策以及区委、区政府有关文件规定，会同有关部门研究制定全区老干部工作的相关政策、规定，指导全区老干部</w:t>
      </w:r>
      <w:r>
        <w:rPr>
          <w:rFonts w:eastAsia="仿宋_GB2312"/>
          <w:sz w:val="32"/>
          <w:szCs w:val="32"/>
        </w:rPr>
        <w:t>关心</w:t>
      </w:r>
      <w:r>
        <w:rPr>
          <w:rFonts w:hint="eastAsia" w:eastAsia="仿宋_GB2312"/>
          <w:sz w:val="32"/>
          <w:szCs w:val="32"/>
        </w:rPr>
        <w:t>教育</w:t>
      </w:r>
      <w:r>
        <w:rPr>
          <w:rFonts w:eastAsia="仿宋_GB2312"/>
          <w:sz w:val="32"/>
          <w:szCs w:val="32"/>
        </w:rPr>
        <w:t>下一代有关工作。</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（九）承担区委党的建设工作领导小组办公室的具体工作。</w:t>
      </w:r>
    </w:p>
    <w:p>
      <w:pPr>
        <w:keepNext w:val="0"/>
        <w:keepLines w:val="0"/>
        <w:pageBreakBefore w:val="0"/>
        <w:widowControl w:val="0"/>
        <w:kinsoku/>
        <w:wordWrap/>
        <w:overflowPunct/>
        <w:topLinePunct w:val="0"/>
        <w:autoSpaceDE/>
        <w:autoSpaceDN/>
        <w:bidi w:val="0"/>
        <w:snapToGrid w:val="0"/>
        <w:spacing w:line="360" w:lineRule="auto"/>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（十）管理区委机构编制委员会办公室。</w:t>
      </w:r>
    </w:p>
    <w:p>
      <w:pPr>
        <w:pStyle w:val="9"/>
        <w:keepNext w:val="0"/>
        <w:keepLines w:val="0"/>
        <w:pageBreakBefore w:val="0"/>
        <w:widowControl w:val="0"/>
        <w:wordWrap/>
        <w:topLinePunct w:val="0"/>
        <w:bidi w:val="0"/>
        <w:spacing w:line="360" w:lineRule="auto"/>
        <w:ind w:firstLine="640" w:firstLineChars="200"/>
        <w:jc w:val="both"/>
        <w:textAlignment w:val="auto"/>
        <w:rPr>
          <w:rFonts w:ascii="仿宋_GB2312" w:hAnsi="仿宋_GB2312" w:eastAsia="仿宋_GB2312" w:cs="仿宋_GB2312"/>
          <w:sz w:val="32"/>
          <w:szCs w:val="32"/>
        </w:rPr>
      </w:pPr>
      <w:r>
        <w:rPr>
          <w:rFonts w:hint="eastAsia" w:ascii="楷体_GB2312" w:hAnsi="楷体_GB2312" w:eastAsia="楷体_GB2312" w:cs="楷体_GB2312"/>
          <w:sz w:val="32"/>
          <w:szCs w:val="32"/>
        </w:rPr>
        <w:t>（十一）完成区委交办的其他工作。</w:t>
      </w:r>
    </w:p>
    <w:p>
      <w:pPr>
        <w:pStyle w:val="9"/>
        <w:keepNext w:val="0"/>
        <w:keepLines w:val="0"/>
        <w:pageBreakBefore w:val="0"/>
        <w:widowControl w:val="0"/>
        <w:wordWrap/>
        <w:topLinePunct w:val="0"/>
        <w:bidi w:val="0"/>
        <w:spacing w:line="360" w:lineRule="auto"/>
        <w:ind w:firstLine="640" w:firstLineChars="200"/>
        <w:jc w:val="both"/>
        <w:textAlignment w:val="auto"/>
        <w:rPr>
          <w:rFonts w:hint="eastAsia" w:ascii="黑体" w:hAnsi="黑体" w:eastAsia="黑体" w:cs="黑体"/>
          <w:sz w:val="32"/>
          <w:szCs w:val="32"/>
          <w:highlight w:val="red"/>
          <w:lang w:eastAsia="zh-CN"/>
        </w:rPr>
      </w:pPr>
      <w:r>
        <w:rPr>
          <w:rFonts w:hint="eastAsia" w:ascii="仿宋_GB2312" w:hAnsi="宋体" w:eastAsia="仿宋_GB2312" w:cs="Courier New"/>
          <w:sz w:val="32"/>
          <w:szCs w:val="32"/>
        </w:rPr>
        <w:t xml:space="preserve"> </w:t>
      </w:r>
      <w:r>
        <w:rPr>
          <w:rFonts w:hint="eastAsia" w:ascii="黑体" w:hAnsi="黑体" w:eastAsia="黑体" w:cs="黑体"/>
          <w:sz w:val="32"/>
          <w:szCs w:val="32"/>
          <w:highlight w:val="none"/>
          <w:lang w:eastAsia="zh-CN"/>
        </w:rPr>
        <w:t>二、中共</w:t>
      </w:r>
      <w:r>
        <w:rPr>
          <w:rFonts w:hint="eastAsia" w:ascii="黑体" w:hAnsi="Times New Roman" w:eastAsia="黑体" w:cs="黑体"/>
          <w:sz w:val="32"/>
          <w:szCs w:val="32"/>
        </w:rPr>
        <w:t>新乡市</w:t>
      </w:r>
      <w:r>
        <w:rPr>
          <w:rFonts w:hint="eastAsia" w:ascii="黑体" w:hAnsi="黑体" w:eastAsia="黑体" w:cs="黑体"/>
          <w:sz w:val="32"/>
          <w:szCs w:val="32"/>
          <w:highlight w:val="none"/>
        </w:rPr>
        <w:t>卫滨区</w:t>
      </w:r>
      <w:r>
        <w:rPr>
          <w:rFonts w:hint="eastAsia" w:ascii="黑体" w:hAnsi="黑体" w:eastAsia="黑体" w:cs="黑体"/>
          <w:sz w:val="32"/>
          <w:szCs w:val="32"/>
          <w:highlight w:val="none"/>
          <w:lang w:eastAsia="zh-CN"/>
        </w:rPr>
        <w:t>委组织部部门</w:t>
      </w:r>
      <w:r>
        <w:rPr>
          <w:rFonts w:hint="eastAsia" w:ascii="黑体" w:hAnsi="黑体" w:eastAsia="黑体"/>
          <w:sz w:val="32"/>
          <w:szCs w:val="32"/>
          <w:highlight w:val="none"/>
        </w:rPr>
        <w:t>构成</w:t>
      </w:r>
    </w:p>
    <w:p>
      <w:pPr>
        <w:keepNext w:val="0"/>
        <w:keepLines w:val="0"/>
        <w:pageBreakBefore w:val="0"/>
        <w:wordWrap/>
        <w:topLinePunct w:val="0"/>
        <w:bidi w:val="0"/>
        <w:spacing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中共新乡市</w:t>
      </w:r>
      <w:r>
        <w:rPr>
          <w:rFonts w:hint="eastAsia" w:ascii="仿宋_GB2312" w:hAnsi="仿宋_GB2312" w:eastAsia="仿宋_GB2312" w:cs="仿宋_GB2312"/>
          <w:sz w:val="32"/>
          <w:szCs w:val="32"/>
        </w:rPr>
        <w:t>卫滨区</w:t>
      </w:r>
      <w:r>
        <w:rPr>
          <w:rFonts w:hint="eastAsia" w:ascii="仿宋_GB2312" w:hAnsi="仿宋_GB2312" w:eastAsia="仿宋_GB2312" w:cs="仿宋_GB2312"/>
          <w:sz w:val="32"/>
          <w:szCs w:val="32"/>
          <w:lang w:eastAsia="zh-CN"/>
        </w:rPr>
        <w:t>委组织部</w:t>
      </w:r>
      <w:r>
        <w:rPr>
          <w:rFonts w:ascii="Times New Roman" w:hAnsi="Times New Roman" w:eastAsia="仿宋_GB2312"/>
          <w:sz w:val="32"/>
          <w:szCs w:val="32"/>
        </w:rPr>
        <w:t>202</w:t>
      </w:r>
      <w:r>
        <w:rPr>
          <w:rFonts w:hint="eastAsia" w:ascii="Times New Roman" w:hAnsi="Times New Roman" w:eastAsia="仿宋_GB2312"/>
          <w:sz w:val="32"/>
          <w:szCs w:val="32"/>
          <w:lang w:val="en-US" w:eastAsia="zh-CN"/>
        </w:rPr>
        <w:t>4</w:t>
      </w:r>
      <w:r>
        <w:rPr>
          <w:rFonts w:hint="eastAsia" w:ascii="仿宋_GB2312" w:hAnsi="仿宋_GB2312" w:eastAsia="仿宋_GB2312" w:cs="仿宋_GB2312"/>
          <w:sz w:val="32"/>
          <w:szCs w:val="32"/>
        </w:rPr>
        <w:t>年度部门预算</w:t>
      </w:r>
      <w:r>
        <w:rPr>
          <w:rFonts w:hint="eastAsia" w:ascii="仿宋_GB2312" w:hAnsi="仿宋_GB2312" w:eastAsia="仿宋_GB2312" w:cs="仿宋_GB2312"/>
          <w:sz w:val="32"/>
          <w:szCs w:val="32"/>
          <w:lang w:eastAsia="zh-CN"/>
        </w:rPr>
        <w:t>只有</w:t>
      </w:r>
      <w:r>
        <w:rPr>
          <w:rFonts w:hint="eastAsia" w:ascii="仿宋_GB2312" w:hAnsi="仿宋_GB2312" w:eastAsia="仿宋_GB2312" w:cs="仿宋_GB2312"/>
          <w:sz w:val="32"/>
          <w:szCs w:val="32"/>
        </w:rPr>
        <w:t>本级。</w:t>
      </w:r>
    </w:p>
    <w:p>
      <w:pPr>
        <w:keepNext w:val="0"/>
        <w:keepLines w:val="0"/>
        <w:pageBreakBefore w:val="0"/>
        <w:widowControl w:val="0"/>
        <w:numPr>
          <w:ilvl w:val="0"/>
          <w:numId w:val="0"/>
        </w:numPr>
        <w:wordWrap/>
        <w:topLinePunct w:val="0"/>
        <w:bidi w:val="0"/>
        <w:spacing w:line="360" w:lineRule="auto"/>
        <w:ind w:left="0" w:leftChars="0"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中共新乡市</w:t>
      </w:r>
      <w:r>
        <w:rPr>
          <w:rFonts w:hint="eastAsia" w:ascii="仿宋_GB2312" w:hAnsi="仿宋_GB2312" w:eastAsia="仿宋_GB2312" w:cs="仿宋_GB2312"/>
          <w:sz w:val="32"/>
          <w:szCs w:val="32"/>
        </w:rPr>
        <w:t>卫滨区</w:t>
      </w:r>
      <w:r>
        <w:rPr>
          <w:rFonts w:hint="eastAsia" w:ascii="仿宋_GB2312" w:hAnsi="仿宋_GB2312" w:eastAsia="仿宋_GB2312" w:cs="仿宋_GB2312"/>
          <w:sz w:val="32"/>
          <w:szCs w:val="32"/>
          <w:lang w:eastAsia="zh-CN"/>
        </w:rPr>
        <w:t>委组织部设下列内设机构：</w:t>
      </w:r>
      <w:r>
        <w:rPr>
          <w:rFonts w:hint="eastAsia" w:eastAsia="仿宋_GB2312"/>
          <w:sz w:val="32"/>
          <w:szCs w:val="32"/>
        </w:rPr>
        <w:t>综合</w:t>
      </w:r>
      <w:r>
        <w:rPr>
          <w:rFonts w:eastAsia="仿宋_GB2312"/>
          <w:sz w:val="32"/>
          <w:szCs w:val="32"/>
        </w:rPr>
        <w:t>办公室（老干部</w:t>
      </w:r>
      <w:r>
        <w:rPr>
          <w:rFonts w:hint="eastAsia" w:eastAsia="仿宋_GB2312"/>
          <w:sz w:val="32"/>
          <w:szCs w:val="32"/>
        </w:rPr>
        <w:t>办公室</w:t>
      </w:r>
      <w:r>
        <w:rPr>
          <w:rFonts w:eastAsia="仿宋_GB2312"/>
          <w:sz w:val="32"/>
          <w:szCs w:val="32"/>
        </w:rPr>
        <w:t>）</w:t>
      </w:r>
      <w:r>
        <w:rPr>
          <w:rFonts w:hint="eastAsia" w:ascii="仿宋_GB2312" w:hAnsi="仿宋_GB2312" w:eastAsia="仿宋_GB2312" w:cs="仿宋_GB2312"/>
          <w:sz w:val="32"/>
          <w:szCs w:val="32"/>
          <w:lang w:val="en-US" w:eastAsia="zh-CN"/>
        </w:rPr>
        <w:t>、</w:t>
      </w:r>
      <w:r>
        <w:rPr>
          <w:rFonts w:eastAsia="仿宋_GB2312"/>
          <w:sz w:val="32"/>
          <w:szCs w:val="32"/>
        </w:rPr>
        <w:t>组织</w:t>
      </w:r>
      <w:r>
        <w:rPr>
          <w:rFonts w:hint="eastAsia" w:eastAsia="仿宋_GB2312"/>
          <w:sz w:val="32"/>
          <w:szCs w:val="32"/>
        </w:rPr>
        <w:t>室</w:t>
      </w:r>
      <w:r>
        <w:rPr>
          <w:rFonts w:hint="eastAsia" w:eastAsia="仿宋_GB2312"/>
          <w:sz w:val="32"/>
          <w:szCs w:val="32"/>
          <w:lang w:eastAsia="zh-CN"/>
        </w:rPr>
        <w:t>、</w:t>
      </w:r>
      <w:r>
        <w:rPr>
          <w:rFonts w:eastAsia="仿宋_GB2312"/>
          <w:sz w:val="32"/>
          <w:szCs w:val="32"/>
        </w:rPr>
        <w:t>干部</w:t>
      </w:r>
      <w:r>
        <w:rPr>
          <w:rFonts w:hint="eastAsia" w:eastAsia="仿宋_GB2312"/>
          <w:sz w:val="32"/>
          <w:szCs w:val="32"/>
        </w:rPr>
        <w:t>室</w:t>
      </w:r>
      <w:r>
        <w:rPr>
          <w:rFonts w:eastAsia="仿宋_GB2312"/>
          <w:sz w:val="32"/>
          <w:szCs w:val="32"/>
        </w:rPr>
        <w:t>（干部监督室）</w:t>
      </w:r>
      <w:r>
        <w:rPr>
          <w:rFonts w:hint="eastAsia" w:eastAsia="仿宋_GB2312"/>
          <w:sz w:val="32"/>
          <w:szCs w:val="32"/>
          <w:lang w:eastAsia="zh-CN"/>
        </w:rPr>
        <w:t>、</w:t>
      </w:r>
      <w:r>
        <w:rPr>
          <w:rFonts w:eastAsia="仿宋_GB2312"/>
          <w:bCs/>
          <w:sz w:val="32"/>
          <w:szCs w:val="32"/>
        </w:rPr>
        <w:t>公务员管理</w:t>
      </w:r>
      <w:r>
        <w:rPr>
          <w:rFonts w:hint="eastAsia" w:eastAsia="仿宋_GB2312"/>
          <w:bCs/>
          <w:sz w:val="32"/>
          <w:szCs w:val="32"/>
        </w:rPr>
        <w:t>办公室</w:t>
      </w:r>
      <w:r>
        <w:rPr>
          <w:rFonts w:hint="eastAsia" w:eastAsia="仿宋_GB2312"/>
          <w:bCs/>
          <w:sz w:val="32"/>
          <w:szCs w:val="32"/>
          <w:lang w:eastAsia="zh-CN"/>
        </w:rPr>
        <w:t>、人才干教室。</w:t>
      </w:r>
    </w:p>
    <w:p>
      <w:pPr>
        <w:keepNext w:val="0"/>
        <w:keepLines w:val="0"/>
        <w:pageBreakBefore w:val="0"/>
        <w:widowControl w:val="0"/>
        <w:numPr>
          <w:ilvl w:val="0"/>
          <w:numId w:val="0"/>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新乡市卫滨区老干部活动</w:t>
      </w:r>
      <w:r>
        <w:rPr>
          <w:rFonts w:hint="eastAsia" w:ascii="仿宋_GB2312" w:hAnsi="仿宋_GB2312" w:eastAsia="仿宋_GB2312" w:cs="仿宋_GB2312"/>
          <w:sz w:val="32"/>
          <w:szCs w:val="32"/>
        </w:rPr>
        <w:t>中心</w:t>
      </w:r>
      <w:r>
        <w:rPr>
          <w:rFonts w:hint="eastAsia" w:ascii="仿宋_GB2312" w:hAnsi="仿宋_GB2312" w:eastAsia="仿宋_GB2312" w:cs="仿宋_GB2312"/>
          <w:sz w:val="32"/>
          <w:szCs w:val="32"/>
          <w:lang w:eastAsia="zh-CN"/>
        </w:rPr>
        <w:t>设下列内设机构：无。</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新乡市卫滨区</w:t>
      </w:r>
      <w:r>
        <w:rPr>
          <w:rFonts w:ascii="Times New Roman" w:hAnsi="Times New Roman" w:eastAsia="仿宋_GB2312" w:cs="Times New Roman"/>
          <w:snapToGrid w:val="0"/>
          <w:color w:val="000000"/>
          <w:spacing w:val="10"/>
          <w:kern w:val="0"/>
          <w:sz w:val="32"/>
          <w:szCs w:val="32"/>
        </w:rPr>
        <w:t>党建与人才工作服务中心</w:t>
      </w:r>
      <w:r>
        <w:rPr>
          <w:rFonts w:hint="eastAsia" w:ascii="仿宋_GB2312" w:hAnsi="仿宋_GB2312" w:eastAsia="仿宋_GB2312" w:cs="仿宋_GB2312"/>
          <w:sz w:val="32"/>
          <w:szCs w:val="32"/>
          <w:lang w:eastAsia="zh-CN"/>
        </w:rPr>
        <w:t>设下列内设机构：无。</w:t>
      </w:r>
    </w:p>
    <w:p>
      <w:pPr>
        <w:keepNext w:val="0"/>
        <w:keepLines w:val="0"/>
        <w:pageBreakBefore w:val="0"/>
        <w:widowControl w:val="0"/>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纳入</w:t>
      </w:r>
      <w:r>
        <w:rPr>
          <w:rFonts w:hint="eastAsia" w:ascii="仿宋_GB2312" w:hAnsi="仿宋_GB2312" w:eastAsia="仿宋_GB2312" w:cs="仿宋_GB2312"/>
          <w:sz w:val="32"/>
          <w:szCs w:val="32"/>
          <w:lang w:eastAsia="zh-CN"/>
        </w:rPr>
        <w:t>本部门</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年度部门预算编制范围的单位</w:t>
      </w:r>
      <w:r>
        <w:rPr>
          <w:rFonts w:hint="eastAsia" w:ascii="仿宋_GB2312" w:hAnsi="仿宋_GB2312" w:eastAsia="仿宋_GB2312" w:cs="仿宋_GB2312"/>
          <w:sz w:val="32"/>
          <w:szCs w:val="32"/>
          <w:lang w:eastAsia="zh-CN"/>
        </w:rPr>
        <w:t>共</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个，其中二级机构</w:t>
      </w:r>
      <w:r>
        <w:rPr>
          <w:rFonts w:hint="default" w:ascii="Times New Roman" w:hAnsi="Times New Roman" w:eastAsia="仿宋_GB2312" w:cs="Times New Roman"/>
          <w:sz w:val="32"/>
          <w:szCs w:val="32"/>
          <w:lang w:val="en-US" w:eastAsia="zh-CN"/>
        </w:rPr>
        <w:t>3</w:t>
      </w:r>
      <w:r>
        <w:rPr>
          <w:rFonts w:hint="eastAsia" w:ascii="仿宋_GB2312" w:hAnsi="仿宋_GB2312" w:eastAsia="仿宋_GB2312" w:cs="仿宋_GB2312"/>
          <w:sz w:val="32"/>
          <w:szCs w:val="32"/>
          <w:lang w:val="en-US" w:eastAsia="zh-CN"/>
        </w:rPr>
        <w:t>个，具体是</w:t>
      </w:r>
      <w:r>
        <w:rPr>
          <w:rFonts w:hint="eastAsia" w:ascii="仿宋_GB2312" w:hAnsi="仿宋_GB2312" w:eastAsia="仿宋_GB2312" w:cs="仿宋_GB2312"/>
          <w:sz w:val="32"/>
          <w:szCs w:val="32"/>
        </w:rPr>
        <w:t>：</w:t>
      </w:r>
    </w:p>
    <w:p>
      <w:pPr>
        <w:keepNext w:val="0"/>
        <w:keepLines w:val="0"/>
        <w:pageBreakBefore w:val="0"/>
        <w:widowControl w:val="0"/>
        <w:numPr>
          <w:ilvl w:val="0"/>
          <w:numId w:val="3"/>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中共新乡市卫滨区委组织部本级</w:t>
      </w:r>
    </w:p>
    <w:p>
      <w:pPr>
        <w:keepNext w:val="0"/>
        <w:keepLines w:val="0"/>
        <w:pageBreakBefore w:val="0"/>
        <w:widowControl w:val="0"/>
        <w:numPr>
          <w:ilvl w:val="0"/>
          <w:numId w:val="3"/>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新乡市卫滨区老干部活动中心</w:t>
      </w:r>
    </w:p>
    <w:p>
      <w:pPr>
        <w:keepNext w:val="0"/>
        <w:keepLines w:val="0"/>
        <w:pageBreakBefore w:val="0"/>
        <w:widowControl w:val="0"/>
        <w:numPr>
          <w:ilvl w:val="0"/>
          <w:numId w:val="3"/>
        </w:numPr>
        <w:wordWrap/>
        <w:topLinePunct w:val="0"/>
        <w:bidi w:val="0"/>
        <w:spacing w:line="360" w:lineRule="auto"/>
        <w:ind w:firstLine="640" w:firstLineChars="200"/>
        <w:jc w:val="lef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新乡市卫滨区</w:t>
      </w:r>
      <w:r>
        <w:rPr>
          <w:rFonts w:ascii="Times New Roman" w:hAnsi="Times New Roman" w:eastAsia="仿宋_GB2312" w:cs="Times New Roman"/>
          <w:snapToGrid w:val="0"/>
          <w:color w:val="000000"/>
          <w:spacing w:val="10"/>
          <w:kern w:val="0"/>
          <w:sz w:val="32"/>
          <w:szCs w:val="32"/>
        </w:rPr>
        <w:t>党建与人才工作服务中心</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Times New Roman" w:eastAsia="黑体" w:cs="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方正小标宋简体" w:hAnsi="方正小标宋简体" w:eastAsia="方正小标宋简体" w:cs="方正小标宋简体"/>
          <w:spacing w:val="-38"/>
          <w:sz w:val="36"/>
          <w:szCs w:val="36"/>
        </w:rPr>
      </w:pPr>
      <w:r>
        <w:rPr>
          <w:rFonts w:hint="eastAsia" w:ascii="方正小标宋简体" w:hAnsi="方正小标宋简体" w:eastAsia="方正小标宋简体" w:cs="方正小标宋简体"/>
          <w:sz w:val="36"/>
          <w:szCs w:val="36"/>
        </w:rPr>
        <w:t>第二部分</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lang w:val="en-US" w:eastAsia="zh-CN"/>
        </w:rPr>
        <w:t>中共新乡市</w:t>
      </w:r>
      <w:r>
        <w:rPr>
          <w:rFonts w:hint="eastAsia" w:ascii="方正小标宋简体" w:hAnsi="方正小标宋简体" w:eastAsia="方正小标宋简体" w:cs="方正小标宋简体"/>
          <w:sz w:val="36"/>
          <w:szCs w:val="36"/>
        </w:rPr>
        <w:t>卫滨区</w:t>
      </w:r>
      <w:r>
        <w:rPr>
          <w:rFonts w:hint="eastAsia" w:ascii="方正小标宋简体" w:hAnsi="方正小标宋简体" w:eastAsia="方正小标宋简体" w:cs="方正小标宋简体"/>
          <w:sz w:val="36"/>
          <w:szCs w:val="36"/>
          <w:lang w:eastAsia="zh-CN"/>
        </w:rPr>
        <w:t>委组织部</w:t>
      </w:r>
      <w:r>
        <w:rPr>
          <w:rFonts w:hint="eastAsia" w:ascii="方正小标宋简体" w:hAnsi="方正小标宋简体" w:eastAsia="方正小标宋简体" w:cs="方正小标宋简体"/>
          <w:spacing w:val="-119"/>
          <w:sz w:val="36"/>
          <w:szCs w:val="36"/>
        </w:rPr>
        <w:t xml:space="preserve"> </w:t>
      </w:r>
      <w:r>
        <w:rPr>
          <w:rFonts w:hint="eastAsia" w:ascii="方正小标宋简体" w:hAnsi="方正小标宋简体" w:eastAsia="方正小标宋简体" w:cs="方正小标宋简体"/>
          <w:sz w:val="36"/>
          <w:szCs w:val="36"/>
        </w:rPr>
        <w:t>202</w:t>
      </w:r>
      <w:r>
        <w:rPr>
          <w:rFonts w:hint="eastAsia" w:ascii="方正小标宋简体" w:hAnsi="方正小标宋简体" w:eastAsia="方正小标宋简体" w:cs="方正小标宋简体"/>
          <w:sz w:val="36"/>
          <w:szCs w:val="36"/>
          <w:lang w:val="en-US" w:eastAsia="zh-CN"/>
        </w:rPr>
        <w:t>4</w:t>
      </w:r>
      <w:r>
        <w:rPr>
          <w:rFonts w:hint="eastAsia" w:ascii="方正小标宋简体" w:hAnsi="方正小标宋简体" w:eastAsia="方正小标宋简体" w:cs="方正小标宋简体"/>
          <w:sz w:val="36"/>
          <w:szCs w:val="36"/>
        </w:rPr>
        <w:t>年度部门预算</w:t>
      </w:r>
    </w:p>
    <w:p>
      <w:pPr>
        <w:keepNext w:val="0"/>
        <w:keepLines w:val="0"/>
        <w:pageBreakBefore w:val="0"/>
        <w:widowControl w:val="0"/>
        <w:wordWrap/>
        <w:topLinePunct w:val="0"/>
        <w:bidi w:val="0"/>
        <w:adjustRightInd w:val="0"/>
        <w:snapToGrid w:val="0"/>
        <w:spacing w:line="360" w:lineRule="auto"/>
        <w:ind w:firstLine="720" w:firstLineChars="200"/>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黑体" w:hAnsi="黑体" w:eastAsia="黑体"/>
          <w:sz w:val="32"/>
          <w:szCs w:val="32"/>
        </w:rPr>
      </w:pPr>
      <w:r>
        <w:rPr>
          <w:rFonts w:hint="eastAsia" w:ascii="黑体" w:hAnsi="黑体" w:eastAsia="黑体"/>
          <w:sz w:val="32"/>
          <w:szCs w:val="32"/>
        </w:rPr>
        <w:t>一、收入支出预算总体情况说明</w:t>
      </w:r>
    </w:p>
    <w:p>
      <w:pPr>
        <w:keepNext w:val="0"/>
        <w:keepLines w:val="0"/>
        <w:pageBreakBefore w:val="0"/>
        <w:widowControl w:val="0"/>
        <w:wordWrap/>
        <w:topLinePunct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年收入总计</w:t>
      </w:r>
      <w:r>
        <w:rPr>
          <w:rFonts w:hint="eastAsia" w:ascii="Times New Roman" w:hAnsi="Times New Roman" w:eastAsia="仿宋_GB2312" w:cs="Times New Roman"/>
          <w:sz w:val="32"/>
          <w:szCs w:val="32"/>
          <w:lang w:val="en-US" w:eastAsia="zh-CN"/>
        </w:rPr>
        <w:t>318.4</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万元，支出总计</w:t>
      </w:r>
      <w:r>
        <w:rPr>
          <w:rFonts w:hint="default" w:ascii="Times New Roman" w:hAnsi="Times New Roman" w:eastAsia="仿宋_GB2312" w:cs="Times New Roman"/>
          <w:sz w:val="32"/>
          <w:szCs w:val="32"/>
          <w:lang w:val="en-US" w:eastAsia="zh-CN"/>
        </w:rPr>
        <w:t>318.46</w:t>
      </w:r>
      <w:r>
        <w:rPr>
          <w:rFonts w:hint="default" w:ascii="Times New Roman" w:hAnsi="Times New Roman" w:eastAsia="仿宋_GB2312" w:cs="Times New Roman"/>
          <w:sz w:val="32"/>
          <w:szCs w:val="32"/>
        </w:rPr>
        <w:t>万元，与20</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年</w:t>
      </w:r>
      <w:r>
        <w:rPr>
          <w:rFonts w:hint="default" w:ascii="Times New Roman" w:hAnsi="Times New Roman" w:eastAsia="仿宋_GB2312" w:cs="Times New Roman"/>
          <w:sz w:val="32"/>
          <w:szCs w:val="32"/>
          <w:lang w:eastAsia="zh-CN"/>
        </w:rPr>
        <w:t>预算</w:t>
      </w:r>
      <w:r>
        <w:rPr>
          <w:rFonts w:hint="default" w:ascii="Times New Roman" w:hAnsi="Times New Roman" w:eastAsia="仿宋_GB2312" w:cs="Times New Roman"/>
          <w:sz w:val="32"/>
          <w:szCs w:val="32"/>
        </w:rPr>
        <w:t>相比，收</w:t>
      </w:r>
      <w:r>
        <w:rPr>
          <w:rFonts w:hint="default" w:ascii="Times New Roman" w:hAnsi="Times New Roman" w:eastAsia="仿宋_GB2312" w:cs="Times New Roman"/>
          <w:sz w:val="32"/>
          <w:szCs w:val="32"/>
          <w:lang w:eastAsia="zh-CN"/>
        </w:rPr>
        <w:t>入</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21.85</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7.36</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一般公共预算收入和上年结转结余增加</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eastAsia="zh-CN"/>
        </w:rPr>
        <w:t>支出</w:t>
      </w:r>
      <w:r>
        <w:rPr>
          <w:rFonts w:hint="default" w:ascii="Times New Roman" w:hAnsi="Times New Roman" w:eastAsia="仿宋_GB2312" w:cs="Times New Roman"/>
          <w:sz w:val="32"/>
          <w:szCs w:val="32"/>
        </w:rPr>
        <w:t>增加</w:t>
      </w:r>
      <w:r>
        <w:rPr>
          <w:rFonts w:hint="default" w:ascii="Times New Roman" w:hAnsi="Times New Roman" w:eastAsia="仿宋_GB2312" w:cs="Times New Roman"/>
          <w:sz w:val="32"/>
          <w:szCs w:val="32"/>
          <w:lang w:val="en-US" w:eastAsia="zh-CN"/>
        </w:rPr>
        <w:t>21.85</w:t>
      </w:r>
      <w:r>
        <w:rPr>
          <w:rFonts w:hint="default" w:ascii="Times New Roman" w:hAnsi="Times New Roman" w:eastAsia="仿宋_GB2312" w:cs="Times New Roman"/>
          <w:sz w:val="32"/>
          <w:szCs w:val="32"/>
        </w:rPr>
        <w:t>万元，增长</w:t>
      </w:r>
      <w:r>
        <w:rPr>
          <w:rFonts w:hint="default" w:ascii="Times New Roman" w:hAnsi="Times New Roman" w:eastAsia="仿宋_GB2312" w:cs="Times New Roman"/>
          <w:sz w:val="32"/>
          <w:szCs w:val="32"/>
          <w:lang w:val="en-US" w:eastAsia="zh-CN"/>
        </w:rPr>
        <w:t>7.36%</w:t>
      </w:r>
      <w:r>
        <w:rPr>
          <w:rFonts w:hint="default" w:ascii="Times New Roman" w:hAnsi="Times New Roman" w:eastAsia="仿宋_GB2312" w:cs="Times New Roman"/>
          <w:sz w:val="32"/>
          <w:szCs w:val="32"/>
        </w:rPr>
        <w:t>。主要原因是</w:t>
      </w:r>
      <w:r>
        <w:rPr>
          <w:rFonts w:hint="default" w:ascii="Times New Roman" w:hAnsi="Times New Roman" w:eastAsia="仿宋_GB2312" w:cs="Times New Roman"/>
          <w:sz w:val="32"/>
          <w:szCs w:val="32"/>
          <w:lang w:eastAsia="zh-CN"/>
        </w:rPr>
        <w:t>项目支出增加</w:t>
      </w:r>
      <w:r>
        <w:rPr>
          <w:rFonts w:hint="default" w:ascii="Times New Roman" w:hAnsi="Times New Roman" w:eastAsia="仿宋_GB2312" w:cs="Times New Roman"/>
          <w:sz w:val="32"/>
          <w:szCs w:val="32"/>
        </w:rPr>
        <w:t>。</w:t>
      </w:r>
    </w:p>
    <w:p>
      <w:pPr>
        <w:keepNext w:val="0"/>
        <w:keepLines w:val="0"/>
        <w:pageBreakBefore w:val="0"/>
        <w:widowControl w:val="0"/>
        <w:wordWrap/>
        <w:topLinePunct w:val="0"/>
        <w:bidi w:val="0"/>
        <w:spacing w:line="360" w:lineRule="auto"/>
        <w:ind w:firstLine="640" w:firstLineChars="200"/>
        <w:textAlignment w:val="auto"/>
        <w:rPr>
          <w:rFonts w:ascii="黑体" w:hAnsi="黑体" w:eastAsia="黑体"/>
          <w:sz w:val="32"/>
          <w:szCs w:val="32"/>
          <w:highlight w:val="none"/>
        </w:rPr>
      </w:pPr>
      <w:r>
        <w:rPr>
          <w:rFonts w:hint="eastAsia" w:ascii="黑体" w:hAnsi="黑体" w:eastAsia="黑体"/>
          <w:sz w:val="32"/>
          <w:szCs w:val="32"/>
          <w:highlight w:val="none"/>
        </w:rPr>
        <w:t>二、收入预算总体情况说明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年收入预算合计</w:t>
      </w:r>
      <w:r>
        <w:rPr>
          <w:rFonts w:hint="eastAsia" w:ascii="Times New Roman" w:hAnsi="Times New Roman" w:eastAsia="仿宋_GB2312" w:cs="Times New Roman"/>
          <w:sz w:val="32"/>
          <w:szCs w:val="32"/>
          <w:lang w:val="en-US" w:eastAsia="zh-CN"/>
        </w:rPr>
        <w:t>318.46</w:t>
      </w:r>
      <w:r>
        <w:rPr>
          <w:rFonts w:hint="eastAsia" w:ascii="仿宋_GB2312" w:hAnsi="仿宋_GB2312" w:eastAsia="仿宋_GB2312" w:cs="仿宋_GB2312"/>
          <w:sz w:val="32"/>
          <w:szCs w:val="32"/>
        </w:rPr>
        <w:t>万元，收入预算总计增加</w:t>
      </w:r>
      <w:r>
        <w:rPr>
          <w:rFonts w:hint="eastAsia" w:ascii="Times New Roman" w:hAnsi="Times New Roman" w:eastAsia="仿宋_GB2312" w:cs="Times New Roman"/>
          <w:sz w:val="32"/>
          <w:szCs w:val="32"/>
          <w:lang w:val="en-US" w:eastAsia="zh-CN"/>
        </w:rPr>
        <w:t>21.85</w:t>
      </w:r>
      <w:r>
        <w:rPr>
          <w:rFonts w:hint="eastAsia" w:ascii="仿宋_GB2312" w:hAnsi="仿宋_GB2312" w:eastAsia="仿宋_GB2312" w:cs="仿宋_GB2312"/>
          <w:sz w:val="32"/>
          <w:szCs w:val="32"/>
        </w:rPr>
        <w:t>万元，增长</w:t>
      </w:r>
      <w:r>
        <w:rPr>
          <w:rFonts w:hint="eastAsia" w:ascii="Times New Roman" w:hAnsi="Times New Roman" w:eastAsia="仿宋_GB2312" w:cs="Times New Roman"/>
          <w:sz w:val="32"/>
          <w:szCs w:val="32"/>
          <w:lang w:val="en-US" w:eastAsia="zh-CN"/>
        </w:rPr>
        <w:t>7.36%</w:t>
      </w:r>
      <w:r>
        <w:rPr>
          <w:rFonts w:hint="eastAsia" w:ascii="仿宋_GB2312" w:hAnsi="仿宋_GB2312" w:eastAsia="仿宋_GB2312" w:cs="仿宋_GB2312"/>
          <w:sz w:val="32"/>
          <w:szCs w:val="32"/>
        </w:rPr>
        <w:t>，原因为</w:t>
      </w:r>
      <w:r>
        <w:rPr>
          <w:rFonts w:hint="eastAsia" w:ascii="仿宋_GB2312" w:hAnsi="仿宋_GB2312" w:eastAsia="仿宋_GB2312" w:cs="仿宋_GB2312"/>
          <w:sz w:val="32"/>
          <w:szCs w:val="32"/>
          <w:lang w:eastAsia="zh-CN"/>
        </w:rPr>
        <w:t>一般公共预算收入和上年结转结余都有所变动</w:t>
      </w:r>
      <w:r>
        <w:rPr>
          <w:rFonts w:hint="eastAsia" w:ascii="仿宋_GB2312" w:hAnsi="仿宋_GB2312" w:eastAsia="仿宋_GB2312" w:cs="仿宋_GB2312"/>
          <w:sz w:val="32"/>
          <w:szCs w:val="32"/>
        </w:rPr>
        <w:t>。其中：一般公共预算</w:t>
      </w:r>
      <w:r>
        <w:rPr>
          <w:rFonts w:hint="eastAsia" w:ascii="Times New Roman" w:hAnsi="Times New Roman" w:eastAsia="仿宋_GB2312" w:cs="Times New Roman"/>
          <w:sz w:val="32"/>
          <w:szCs w:val="32"/>
          <w:lang w:val="en-US" w:eastAsia="zh-CN"/>
        </w:rPr>
        <w:t>295.04</w:t>
      </w:r>
      <w:r>
        <w:rPr>
          <w:rFonts w:hint="eastAsia" w:ascii="仿宋_GB2312" w:hAnsi="仿宋_GB2312" w:eastAsia="仿宋_GB2312" w:cs="仿宋_GB2312"/>
          <w:sz w:val="32"/>
          <w:szCs w:val="32"/>
        </w:rPr>
        <w:t>万元; 政府性基金收入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万元；财政专户管理</w:t>
      </w:r>
      <w:r>
        <w:rPr>
          <w:rFonts w:hint="eastAsia" w:ascii="仿宋_GB2312" w:hAnsi="仿宋_GB2312" w:eastAsia="仿宋_GB2312" w:cs="仿宋_GB2312"/>
          <w:sz w:val="32"/>
          <w:szCs w:val="32"/>
          <w:lang w:eastAsia="zh-CN"/>
        </w:rPr>
        <w:t>资金</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lang w:eastAsia="zh-CN"/>
        </w:rPr>
        <w:t>（其中专户管理的教育收费</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lang w:val="en-US" w:eastAsia="zh-CN"/>
        </w:rPr>
        <w:t>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事业</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；事业单位经营</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；上级补助</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；附属单位上缴</w:t>
      </w:r>
      <w:r>
        <w:rPr>
          <w:rFonts w:hint="eastAsia" w:ascii="仿宋_GB2312" w:hAnsi="仿宋_GB2312" w:eastAsia="仿宋_GB2312" w:cs="仿宋_GB2312"/>
          <w:sz w:val="32"/>
          <w:szCs w:val="32"/>
        </w:rPr>
        <w:t>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其他收入</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；上年结转结余中一般公共预算</w:t>
      </w:r>
      <w:r>
        <w:rPr>
          <w:rFonts w:hint="eastAsia" w:ascii="Times New Roman" w:hAnsi="Times New Roman" w:eastAsia="仿宋_GB2312" w:cs="Times New Roman"/>
          <w:sz w:val="32"/>
          <w:szCs w:val="32"/>
          <w:lang w:val="en-US" w:eastAsia="zh-CN"/>
        </w:rPr>
        <w:t>23.42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政府性基金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国有资本</w:t>
      </w:r>
      <w:r>
        <w:rPr>
          <w:rFonts w:hint="eastAsia" w:ascii="仿宋_GB2312" w:hAnsi="仿宋_GB2312" w:eastAsia="仿宋_GB2312" w:cs="仿宋_GB2312"/>
          <w:sz w:val="32"/>
          <w:szCs w:val="32"/>
          <w:lang w:eastAsia="zh-CN"/>
        </w:rPr>
        <w:t>经营</w:t>
      </w:r>
      <w:r>
        <w:rPr>
          <w:rFonts w:hint="eastAsia" w:ascii="仿宋_GB2312" w:hAnsi="仿宋_GB2312" w:eastAsia="仿宋_GB2312" w:cs="仿宋_GB2312"/>
          <w:sz w:val="32"/>
          <w:szCs w:val="32"/>
        </w:rPr>
        <w:t>预算</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w:t>
      </w:r>
      <w:r>
        <w:rPr>
          <w:rFonts w:hint="eastAsia" w:ascii="仿宋_GB2312" w:hAnsi="仿宋_GB2312" w:eastAsia="仿宋_GB2312" w:cs="仿宋_GB2312"/>
          <w:sz w:val="32"/>
          <w:szCs w:val="32"/>
        </w:rPr>
        <w:t>财政专户管理</w:t>
      </w:r>
      <w:r>
        <w:rPr>
          <w:rFonts w:hint="eastAsia" w:ascii="仿宋_GB2312" w:hAnsi="仿宋_GB2312" w:eastAsia="仿宋_GB2312" w:cs="仿宋_GB2312"/>
          <w:sz w:val="32"/>
          <w:szCs w:val="32"/>
          <w:lang w:eastAsia="zh-CN"/>
        </w:rPr>
        <w:t>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；上年结转结余中单位资金</w:t>
      </w:r>
      <w:r>
        <w:rPr>
          <w:rFonts w:hint="eastAsia"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三、支出预算总体情况说明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年支出预算合计</w:t>
      </w:r>
      <w:r>
        <w:rPr>
          <w:rFonts w:hint="eastAsia" w:ascii="Times New Roman" w:hAnsi="Times New Roman" w:eastAsia="仿宋_GB2312" w:cs="Times New Roman"/>
          <w:sz w:val="32"/>
          <w:szCs w:val="32"/>
          <w:lang w:val="en-US" w:eastAsia="zh-CN"/>
        </w:rPr>
        <w:t>318.46</w:t>
      </w:r>
      <w:r>
        <w:rPr>
          <w:rFonts w:hint="eastAsia" w:ascii="仿宋_GB2312" w:hAnsi="仿宋_GB2312" w:eastAsia="仿宋_GB2312" w:cs="仿宋_GB2312"/>
          <w:sz w:val="32"/>
          <w:szCs w:val="32"/>
        </w:rPr>
        <w:t>万元，其中：基本支出</w:t>
      </w:r>
      <w:r>
        <w:rPr>
          <w:rFonts w:hint="eastAsia" w:ascii="Times New Roman" w:hAnsi="Times New Roman" w:eastAsia="仿宋_GB2312" w:cs="Times New Roman"/>
          <w:sz w:val="32"/>
          <w:szCs w:val="32"/>
          <w:lang w:val="en-US" w:eastAsia="zh-CN"/>
        </w:rPr>
        <w:t>273.04</w:t>
      </w:r>
      <w:r>
        <w:rPr>
          <w:rFonts w:hint="eastAsia" w:ascii="仿宋_GB2312" w:hAnsi="仿宋_GB2312" w:eastAsia="仿宋_GB2312" w:cs="仿宋_GB2312"/>
          <w:sz w:val="32"/>
          <w:szCs w:val="32"/>
        </w:rPr>
        <w:t>万元，占</w:t>
      </w:r>
      <w:r>
        <w:rPr>
          <w:rFonts w:hint="default" w:ascii="Times New Roman" w:hAnsi="Times New Roman" w:eastAsia="仿宋_GB2312" w:cs="Times New Roman"/>
          <w:sz w:val="32"/>
          <w:szCs w:val="32"/>
          <w:lang w:val="en-US" w:eastAsia="zh-CN"/>
        </w:rPr>
        <w:t>85.74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；项目支出</w:t>
      </w:r>
      <w:r>
        <w:rPr>
          <w:rFonts w:hint="eastAsia" w:ascii="Times New Roman" w:hAnsi="Times New Roman" w:eastAsia="仿宋_GB2312" w:cs="Times New Roman"/>
          <w:sz w:val="32"/>
          <w:szCs w:val="32"/>
          <w:lang w:val="en-US" w:eastAsia="zh-CN"/>
        </w:rPr>
        <w:t>45.42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14.26</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rPr>
      </w:pPr>
      <w:r>
        <w:rPr>
          <w:rFonts w:hint="eastAsia" w:ascii="黑体" w:hAnsi="黑体" w:eastAsia="黑体"/>
          <w:sz w:val="32"/>
          <w:szCs w:val="32"/>
        </w:rPr>
        <w:t>四、财政拨款收入支出预算总体情况说明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b w:val="0"/>
          <w:bCs w:val="0"/>
          <w:sz w:val="32"/>
          <w:szCs w:val="32"/>
          <w:lang w:eastAsia="zh-CN"/>
        </w:rPr>
      </w:pPr>
      <w:r>
        <w:rPr>
          <w:rFonts w:hint="default" w:ascii="Times New Roman" w:hAnsi="Times New Roman" w:eastAsia="仿宋_GB2312" w:cs="Times New Roman"/>
          <w:b w:val="0"/>
          <w:bCs w:val="0"/>
          <w:sz w:val="32"/>
          <w:szCs w:val="32"/>
        </w:rPr>
        <w:t>202</w:t>
      </w:r>
      <w:r>
        <w:rPr>
          <w:rFonts w:hint="eastAsia" w:ascii="Times New Roman" w:hAnsi="Times New Roman" w:eastAsia="仿宋_GB2312" w:cs="Times New Roman"/>
          <w:b w:val="0"/>
          <w:bCs w:val="0"/>
          <w:sz w:val="32"/>
          <w:szCs w:val="32"/>
          <w:lang w:val="en-US" w:eastAsia="zh-CN"/>
        </w:rPr>
        <w:t>4</w:t>
      </w:r>
      <w:r>
        <w:rPr>
          <w:rFonts w:hint="eastAsia" w:ascii="仿宋_GB2312" w:hAnsi="仿宋_GB2312" w:eastAsia="仿宋_GB2312" w:cs="仿宋_GB2312"/>
          <w:b w:val="0"/>
          <w:bCs w:val="0"/>
          <w:sz w:val="32"/>
          <w:szCs w:val="32"/>
        </w:rPr>
        <w:t>年一般公共财政预算拨款收支预算</w:t>
      </w:r>
      <w:r>
        <w:rPr>
          <w:rFonts w:hint="eastAsia" w:ascii="Times New Roman" w:hAnsi="Times New Roman" w:eastAsia="仿宋_GB2312" w:cs="Times New Roman"/>
          <w:b w:val="0"/>
          <w:bCs w:val="0"/>
          <w:sz w:val="32"/>
          <w:szCs w:val="32"/>
          <w:lang w:val="en-US" w:eastAsia="zh-CN"/>
        </w:rPr>
        <w:t>318.46</w:t>
      </w:r>
      <w:r>
        <w:rPr>
          <w:rFonts w:hint="eastAsia" w:ascii="仿宋_GB2312" w:hAnsi="仿宋_GB2312" w:eastAsia="仿宋_GB2312" w:cs="仿宋_GB2312"/>
          <w:b w:val="0"/>
          <w:bCs w:val="0"/>
          <w:sz w:val="32"/>
          <w:szCs w:val="32"/>
        </w:rPr>
        <w:t>万元，政府性基金收支预算</w:t>
      </w:r>
      <w:r>
        <w:rPr>
          <w:rFonts w:hint="eastAsia"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万元。与</w:t>
      </w:r>
      <w:r>
        <w:rPr>
          <w:rFonts w:hint="default" w:ascii="Times New Roman" w:hAnsi="Times New Roman" w:eastAsia="仿宋_GB2312" w:cs="Times New Roman"/>
          <w:b w:val="0"/>
          <w:bCs w:val="0"/>
          <w:sz w:val="32"/>
          <w:szCs w:val="32"/>
        </w:rPr>
        <w:t>20</w:t>
      </w:r>
      <w:r>
        <w:rPr>
          <w:rFonts w:hint="default" w:ascii="Times New Roman" w:hAnsi="Times New Roman" w:eastAsia="仿宋_GB2312" w:cs="Times New Roman"/>
          <w:b w:val="0"/>
          <w:bCs w:val="0"/>
          <w:sz w:val="32"/>
          <w:szCs w:val="32"/>
          <w:lang w:val="en-US" w:eastAsia="zh-CN"/>
        </w:rPr>
        <w:t>23</w:t>
      </w:r>
      <w:r>
        <w:rPr>
          <w:rFonts w:hint="eastAsia" w:ascii="仿宋_GB2312" w:hAnsi="仿宋_GB2312" w:eastAsia="仿宋_GB2312" w:cs="仿宋_GB2312"/>
          <w:b w:val="0"/>
          <w:bCs w:val="0"/>
          <w:sz w:val="32"/>
          <w:szCs w:val="32"/>
        </w:rPr>
        <w:t>年相比，一般公共预算收支预算增加</w:t>
      </w:r>
      <w:r>
        <w:rPr>
          <w:rFonts w:hint="default" w:ascii="Times New Roman" w:hAnsi="Times New Roman" w:eastAsia="仿宋_GB2312" w:cs="Times New Roman"/>
          <w:b w:val="0"/>
          <w:bCs w:val="0"/>
          <w:sz w:val="32"/>
          <w:szCs w:val="32"/>
          <w:lang w:val="en-US" w:eastAsia="zh-CN"/>
        </w:rPr>
        <w:t>21.85</w:t>
      </w:r>
      <w:r>
        <w:rPr>
          <w:rFonts w:hint="eastAsia" w:ascii="仿宋_GB2312" w:hAnsi="仿宋_GB2312" w:eastAsia="仿宋_GB2312" w:cs="仿宋_GB2312"/>
          <w:b w:val="0"/>
          <w:bCs w:val="0"/>
          <w:sz w:val="32"/>
          <w:szCs w:val="32"/>
        </w:rPr>
        <w:t>万元，增长</w:t>
      </w:r>
      <w:r>
        <w:rPr>
          <w:rFonts w:hint="default" w:ascii="Times New Roman" w:hAnsi="Times New Roman" w:eastAsia="仿宋_GB2312" w:cs="Times New Roman"/>
          <w:b w:val="0"/>
          <w:bCs w:val="0"/>
          <w:sz w:val="32"/>
          <w:szCs w:val="32"/>
          <w:lang w:val="en-US" w:eastAsia="zh-CN"/>
        </w:rPr>
        <w:t>7.36</w:t>
      </w:r>
      <w:r>
        <w:rPr>
          <w:rFonts w:hint="default" w:ascii="Times New Roman" w:hAnsi="Times New Roman" w:eastAsia="仿宋_GB2312" w:cs="Times New Roman"/>
          <w:b w:val="0"/>
          <w:bCs w:val="0"/>
          <w:sz w:val="32"/>
          <w:szCs w:val="32"/>
        </w:rPr>
        <w:t>%</w:t>
      </w:r>
      <w:r>
        <w:rPr>
          <w:rFonts w:hint="eastAsia" w:ascii="仿宋_GB2312" w:hAnsi="仿宋_GB2312" w:eastAsia="仿宋_GB2312" w:cs="仿宋_GB2312"/>
          <w:b w:val="0"/>
          <w:bCs w:val="0"/>
          <w:sz w:val="32"/>
          <w:szCs w:val="32"/>
        </w:rPr>
        <w:t>，主要原因是</w:t>
      </w:r>
      <w:r>
        <w:rPr>
          <w:rFonts w:hint="eastAsia" w:ascii="仿宋_GB2312" w:hAnsi="仿宋_GB2312" w:eastAsia="仿宋_GB2312" w:cs="仿宋_GB2312"/>
          <w:b w:val="0"/>
          <w:bCs w:val="0"/>
          <w:sz w:val="32"/>
          <w:szCs w:val="32"/>
          <w:lang w:eastAsia="zh-CN"/>
        </w:rPr>
        <w:t>单位人员变动，收入和支出也有所变化</w:t>
      </w:r>
      <w:r>
        <w:rPr>
          <w:rFonts w:hint="eastAsia" w:ascii="仿宋_GB2312" w:hAnsi="仿宋_GB2312" w:eastAsia="仿宋_GB2312" w:cs="仿宋_GB2312"/>
          <w:b w:val="0"/>
          <w:bCs w:val="0"/>
          <w:sz w:val="32"/>
          <w:szCs w:val="32"/>
        </w:rPr>
        <w:t>；政府性基金收支预算增加</w:t>
      </w:r>
      <w:r>
        <w:rPr>
          <w:rFonts w:hint="default" w:ascii="Times New Roman" w:hAnsi="Times New Roman" w:eastAsia="仿宋_GB2312" w:cs="Times New Roman"/>
          <w:b w:val="0"/>
          <w:bCs w:val="0"/>
          <w:sz w:val="32"/>
          <w:szCs w:val="32"/>
          <w:lang w:val="en-US" w:eastAsia="zh-CN"/>
        </w:rPr>
        <w:t>0</w:t>
      </w:r>
      <w:r>
        <w:rPr>
          <w:rFonts w:hint="eastAsia" w:ascii="仿宋_GB2312" w:hAnsi="仿宋_GB2312" w:eastAsia="仿宋_GB2312" w:cs="仿宋_GB2312"/>
          <w:b w:val="0"/>
          <w:bCs w:val="0"/>
          <w:sz w:val="32"/>
          <w:szCs w:val="32"/>
        </w:rPr>
        <w:t>万元，</w:t>
      </w:r>
      <w:r>
        <w:rPr>
          <w:rFonts w:hint="eastAsia" w:ascii="仿宋_GB2312" w:hAnsi="仿宋_GB2312" w:eastAsia="仿宋_GB2312" w:cs="仿宋_GB2312"/>
          <w:b w:val="0"/>
          <w:bCs w:val="0"/>
          <w:sz w:val="32"/>
          <w:szCs w:val="32"/>
          <w:lang w:eastAsia="zh-CN"/>
        </w:rPr>
        <w:t>与上年保持一致。</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none"/>
        </w:rPr>
      </w:pPr>
      <w:r>
        <w:rPr>
          <w:rFonts w:hint="eastAsia" w:ascii="黑体" w:hAnsi="黑体" w:eastAsia="黑体"/>
          <w:sz w:val="32"/>
          <w:szCs w:val="32"/>
          <w:highlight w:val="none"/>
        </w:rPr>
        <w:t>五、一般公共预算支出预算情况说明</w:t>
      </w:r>
    </w:p>
    <w:p>
      <w:pPr>
        <w:keepNext w:val="0"/>
        <w:keepLines w:val="0"/>
        <w:pageBreakBefore w:val="0"/>
        <w:widowControl w:val="0"/>
        <w:wordWrap/>
        <w:topLinePunct w:val="0"/>
        <w:bidi w:val="0"/>
        <w:spacing w:line="360" w:lineRule="auto"/>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年一般公共预算支出年初预算</w:t>
      </w:r>
      <w:r>
        <w:rPr>
          <w:rFonts w:hint="eastAsia" w:ascii="Times New Roman" w:hAnsi="Times New Roman" w:eastAsia="仿宋_GB2312" w:cs="Times New Roman"/>
          <w:sz w:val="32"/>
          <w:szCs w:val="32"/>
          <w:lang w:val="en-US" w:eastAsia="zh-CN"/>
        </w:rPr>
        <w:t>295.04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其中：基本</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273.04</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92.54</w:t>
      </w:r>
      <w:r>
        <w:rPr>
          <w:rFonts w:hint="default" w:ascii="Times New Roman" w:hAnsi="Times New Roman" w:eastAsia="仿宋_GB2312" w:cs="Times New Roman"/>
          <w:sz w:val="32"/>
          <w:szCs w:val="32"/>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rPr>
        <w:t>支出</w:t>
      </w:r>
      <w:r>
        <w:rPr>
          <w:rFonts w:hint="eastAsia" w:ascii="Times New Roman" w:hAnsi="Times New Roman" w:eastAsia="仿宋_GB2312" w:cs="Times New Roman"/>
          <w:sz w:val="32"/>
          <w:szCs w:val="32"/>
          <w:lang w:val="en-US" w:eastAsia="zh-CN"/>
        </w:rPr>
        <w:t>22</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7.46</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highlight w:val="none"/>
          <w:lang w:val="en-US" w:eastAsia="zh-CN"/>
        </w:rPr>
        <w:t>主要用于以下方面：社会保障和就业（类）支出</w:t>
      </w:r>
      <w:r>
        <w:rPr>
          <w:rFonts w:hint="default" w:ascii="Times New Roman" w:hAnsi="Times New Roman" w:eastAsia="仿宋_GB2312" w:cs="Times New Roman"/>
          <w:sz w:val="32"/>
          <w:szCs w:val="32"/>
          <w:highlight w:val="none"/>
          <w:lang w:val="en-US" w:eastAsia="zh-CN"/>
        </w:rPr>
        <w:t>28.71万元，占9.73%；卫生健康（类）支出13.58万元，占4.60%；住房保障（类）支出21.72万元，占7.36%。</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六、一般公共预算基本和项目支出预算情况说明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年一般公共预算基本支出</w:t>
      </w:r>
      <w:r>
        <w:rPr>
          <w:rFonts w:hint="eastAsia" w:ascii="Times New Roman" w:hAnsi="Times New Roman" w:eastAsia="仿宋_GB2312" w:cs="Times New Roman"/>
          <w:sz w:val="32"/>
          <w:szCs w:val="32"/>
          <w:lang w:val="en-US" w:eastAsia="zh-CN"/>
        </w:rPr>
        <w:t>273.04</w:t>
      </w:r>
      <w:r>
        <w:rPr>
          <w:rFonts w:hint="eastAsia" w:ascii="仿宋_GB2312" w:hAnsi="仿宋_GB2312" w:eastAsia="仿宋_GB2312" w:cs="仿宋_GB2312"/>
          <w:sz w:val="32"/>
          <w:szCs w:val="32"/>
        </w:rPr>
        <w:t>万元，其中：</w:t>
      </w:r>
      <w:r>
        <w:rPr>
          <w:rFonts w:hint="eastAsia" w:ascii="仿宋_GB2312" w:hAnsi="仿宋_GB2312" w:eastAsia="仿宋_GB2312" w:cs="仿宋_GB2312"/>
          <w:b/>
          <w:spacing w:val="-1"/>
          <w:kern w:val="0"/>
          <w:sz w:val="32"/>
          <w:szCs w:val="32"/>
        </w:rPr>
        <w:t>人员经费</w:t>
      </w:r>
      <w:r>
        <w:rPr>
          <w:rFonts w:hint="eastAsia" w:ascii="仿宋_GB2312" w:hAnsi="仿宋_GB2312" w:eastAsia="仿宋_GB2312" w:cs="仿宋_GB2312"/>
          <w:b/>
          <w:color w:val="auto"/>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253.67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92.91</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基本工资、津贴补贴、奖金、社会保障缴费、伙食补助费、绩效工资、机关事业单位基本养老保险缴费、职业年金缴费、职工基本医疗保险缴费、公务员医疗补助缴费、住房公积金、医疗费、其他工资福利支出、离休费、退休费、退职（役）费、抚恤金、生活补助、 救济费、医疗费补助、助学金、奖励金、个人农业生产补贴、其他对个人和家庭的补助支出；</w:t>
      </w:r>
      <w:r>
        <w:rPr>
          <w:rFonts w:hint="eastAsia" w:ascii="仿宋_GB2312" w:hAnsi="仿宋_GB2312" w:eastAsia="仿宋_GB2312" w:cs="仿宋_GB2312"/>
          <w:b/>
          <w:spacing w:val="-1"/>
          <w:kern w:val="0"/>
          <w:sz w:val="32"/>
          <w:szCs w:val="32"/>
        </w:rPr>
        <w:t>公用经费</w:t>
      </w:r>
      <w:r>
        <w:rPr>
          <w:rFonts w:hint="eastAsia" w:ascii="仿宋_GB2312" w:hAnsi="仿宋_GB2312" w:eastAsia="仿宋_GB2312" w:cs="仿宋_GB2312"/>
          <w:b/>
          <w:spacing w:val="-1"/>
          <w:kern w:val="0"/>
          <w:sz w:val="32"/>
          <w:szCs w:val="32"/>
          <w:highlight w:val="none"/>
          <w:lang w:eastAsia="zh-CN"/>
        </w:rPr>
        <w:t>支出</w:t>
      </w:r>
      <w:r>
        <w:rPr>
          <w:rFonts w:hint="eastAsia" w:ascii="Times New Roman" w:hAnsi="Times New Roman" w:eastAsia="仿宋_GB2312" w:cs="Times New Roman"/>
          <w:sz w:val="32"/>
          <w:szCs w:val="32"/>
          <w:lang w:val="en-US" w:eastAsia="zh-CN"/>
        </w:rPr>
        <w:t>19.37</w:t>
      </w:r>
      <w:r>
        <w:rPr>
          <w:rFonts w:hint="eastAsia" w:ascii="仿宋_GB2312" w:hAnsi="仿宋_GB2312" w:eastAsia="仿宋_GB2312" w:cs="仿宋_GB2312"/>
          <w:sz w:val="32"/>
          <w:szCs w:val="32"/>
        </w:rPr>
        <w:t>万元，占</w:t>
      </w:r>
      <w:r>
        <w:rPr>
          <w:rFonts w:hint="eastAsia" w:ascii="Times New Roman" w:hAnsi="Times New Roman" w:eastAsia="仿宋_GB2312" w:cs="Times New Roman"/>
          <w:sz w:val="32"/>
          <w:szCs w:val="32"/>
          <w:lang w:val="en-US" w:eastAsia="zh-CN"/>
        </w:rPr>
        <w:t>7.09</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主要包括：办公费、印刷费、咨询费、手续费、水费、电费、邮电费、取暖费、物业管理费、差旅费、因公出国（境）费、维 修（护）费、租赁费、会议费、培训费、公务接待费、专用材料费、被装购置费、专用燃料费、劳务费、委托业务费、工会经费、福利费、公务用车运行维护费、其他交通费用、税金及附加费用、其他商品和服务支出、办公设备购置、专用设备购置、大型修缮、信息网络及软件购置更新、其他资本性支出。</w:t>
      </w:r>
    </w:p>
    <w:p>
      <w:pPr>
        <w:keepNext w:val="0"/>
        <w:keepLines w:val="0"/>
        <w:pageBreakBefore w:val="0"/>
        <w:widowControl w:val="0"/>
        <w:wordWrap/>
        <w:topLinePunct w:val="0"/>
        <w:bidi w:val="0"/>
        <w:spacing w:line="360" w:lineRule="auto"/>
        <w:ind w:firstLine="640" w:firstLineChars="200"/>
        <w:textAlignment w:val="auto"/>
        <w:rPr>
          <w:rFonts w:hint="eastAsia" w:ascii="仿宋_GB2312" w:hAnsi="仿宋_GB2312" w:eastAsia="仿宋_GB2312" w:cs="仿宋_GB2312"/>
          <w:sz w:val="32"/>
          <w:szCs w:val="32"/>
          <w:highlight w:val="none"/>
        </w:rPr>
      </w:pPr>
      <w:r>
        <w:rPr>
          <w:rFonts w:hint="default" w:ascii="Times New Roman" w:hAnsi="Times New Roman" w:eastAsia="仿宋_GB2312" w:cs="Times New Roman"/>
          <w:sz w:val="32"/>
          <w:szCs w:val="32"/>
          <w:highlight w:val="none"/>
        </w:rPr>
        <w:t>202</w:t>
      </w:r>
      <w:r>
        <w:rPr>
          <w:rFonts w:hint="eastAsia" w:ascii="Times New Roman" w:hAnsi="Times New Roman" w:eastAsia="仿宋_GB2312" w:cs="Times New Roman"/>
          <w:sz w:val="32"/>
          <w:szCs w:val="32"/>
          <w:highlight w:val="none"/>
          <w:lang w:val="en-US" w:eastAsia="zh-CN"/>
        </w:rPr>
        <w:t>4</w:t>
      </w:r>
      <w:r>
        <w:rPr>
          <w:rFonts w:hint="eastAsia" w:ascii="仿宋_GB2312" w:hAnsi="仿宋_GB2312" w:eastAsia="仿宋_GB2312" w:cs="仿宋_GB2312"/>
          <w:sz w:val="32"/>
          <w:szCs w:val="32"/>
          <w:highlight w:val="none"/>
        </w:rPr>
        <w:t>年一般公共预算安排项目支出预算</w:t>
      </w:r>
      <w:r>
        <w:rPr>
          <w:rFonts w:hint="eastAsia" w:ascii="Times New Roman" w:hAnsi="Times New Roman" w:eastAsia="仿宋_GB2312" w:cs="Times New Roman"/>
          <w:sz w:val="32"/>
          <w:szCs w:val="32"/>
          <w:highlight w:val="none"/>
          <w:lang w:val="en-US" w:eastAsia="zh-CN"/>
        </w:rPr>
        <w:t>22</w:t>
      </w:r>
      <w:r>
        <w:rPr>
          <w:rFonts w:hint="eastAsia" w:ascii="仿宋_GB2312" w:hAnsi="仿宋_GB2312" w:eastAsia="仿宋_GB2312" w:cs="仿宋_GB2312"/>
          <w:sz w:val="32"/>
          <w:szCs w:val="32"/>
          <w:highlight w:val="none"/>
        </w:rPr>
        <w:t>万元，全部纳入项目绩效目标管理。其中：运转类项目</w:t>
      </w:r>
      <w:r>
        <w:rPr>
          <w:rFonts w:hint="eastAsia" w:ascii="Times New Roman" w:hAnsi="Times New Roman" w:eastAsia="仿宋_GB2312" w:cs="Times New Roman"/>
          <w:sz w:val="32"/>
          <w:szCs w:val="32"/>
          <w:highlight w:val="none"/>
          <w:lang w:val="en-US" w:eastAsia="zh-CN"/>
        </w:rPr>
        <w:t>22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特定目标</w:t>
      </w:r>
      <w:r>
        <w:rPr>
          <w:rFonts w:hint="eastAsia" w:ascii="仿宋_GB2312" w:hAnsi="仿宋_GB2312" w:eastAsia="仿宋_GB2312" w:cs="仿宋_GB2312"/>
          <w:sz w:val="32"/>
          <w:szCs w:val="32"/>
          <w:highlight w:val="none"/>
        </w:rPr>
        <w:t>类项目</w:t>
      </w:r>
      <w:r>
        <w:rPr>
          <w:rFonts w:hint="eastAsia" w:ascii="Times New Roman" w:hAnsi="Times New Roman" w:eastAsia="仿宋_GB2312" w:cs="Times New Roman"/>
          <w:sz w:val="32"/>
          <w:szCs w:val="32"/>
          <w:highlight w:val="none"/>
          <w:lang w:val="en-US" w:eastAsia="zh-CN"/>
        </w:rPr>
        <w:t>0</w:t>
      </w:r>
      <w:r>
        <w:rPr>
          <w:rFonts w:hint="eastAsia" w:ascii="仿宋_GB2312" w:hAnsi="仿宋_GB2312" w:eastAsia="仿宋_GB2312" w:cs="仿宋_GB2312"/>
          <w:sz w:val="32"/>
          <w:szCs w:val="32"/>
          <w:highlight w:val="none"/>
        </w:rPr>
        <w:t>万元。</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red"/>
        </w:rPr>
      </w:pPr>
      <w:r>
        <w:rPr>
          <w:rFonts w:hint="eastAsia" w:ascii="黑体" w:hAnsi="Times New Roman" w:eastAsia="黑体" w:cs="黑体"/>
          <w:kern w:val="0"/>
          <w:sz w:val="32"/>
          <w:szCs w:val="32"/>
          <w:highlight w:val="none"/>
        </w:rPr>
        <w:t>七、政府性基金预算支出预算情况说明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仿宋_GB2312" w:eastAsia="仿宋_GB2312"/>
          <w:sz w:val="32"/>
          <w:szCs w:val="32"/>
          <w:highlight w:val="yellow"/>
          <w:lang w:val="en-US" w:eastAsia="zh-CN"/>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无使用</w:t>
      </w:r>
      <w:r>
        <w:rPr>
          <w:rFonts w:hint="eastAsia" w:ascii="仿宋_GB2312" w:hAnsi="仿宋_GB2312" w:eastAsia="仿宋_GB2312" w:cs="仿宋_GB2312"/>
          <w:sz w:val="32"/>
          <w:szCs w:val="32"/>
        </w:rPr>
        <w:t>政府性基金预算</w:t>
      </w:r>
      <w:r>
        <w:rPr>
          <w:rFonts w:hint="eastAsia" w:ascii="仿宋_GB2312" w:hAnsi="仿宋_GB2312" w:eastAsia="仿宋_GB2312" w:cs="仿宋_GB2312"/>
          <w:sz w:val="32"/>
          <w:szCs w:val="32"/>
          <w:lang w:eastAsia="zh-CN"/>
        </w:rPr>
        <w:t>拨款安排的支出，</w:t>
      </w:r>
      <w:r>
        <w:rPr>
          <w:rFonts w:hint="eastAsia" w:ascii="仿宋_GB2312" w:hAnsi="仿宋_GB2312" w:eastAsia="仿宋_GB2312" w:cs="仿宋_GB2312"/>
          <w:sz w:val="32"/>
          <w:szCs w:val="32"/>
        </w:rPr>
        <w:t>年初预算为</w:t>
      </w:r>
      <w:r>
        <w:rPr>
          <w:rFonts w:hint="default" w:ascii="Times New Roman" w:hAnsi="Times New Roman" w:eastAsia="仿宋_GB2312" w:cs="Times New Roman"/>
          <w:sz w:val="32"/>
          <w:szCs w:val="32"/>
          <w:lang w:val="en-US" w:eastAsia="zh-CN"/>
        </w:rPr>
        <w:t>0</w:t>
      </w:r>
      <w:r>
        <w:rPr>
          <w:rFonts w:hint="eastAsia" w:ascii="仿宋_GB2312" w:hAnsi="仿宋_GB2312" w:eastAsia="仿宋_GB2312" w:cs="仿宋_GB2312"/>
          <w:sz w:val="32"/>
          <w:szCs w:val="32"/>
        </w:rPr>
        <w:t>万元。</w:t>
      </w:r>
    </w:p>
    <w:p>
      <w:pPr>
        <w:keepNext w:val="0"/>
        <w:keepLines w:val="0"/>
        <w:pageBreakBefore w:val="0"/>
        <w:widowControl w:val="0"/>
        <w:numPr>
          <w:ilvl w:val="0"/>
          <w:numId w:val="1"/>
        </w:numPr>
        <w:wordWrap/>
        <w:topLinePunct w:val="0"/>
        <w:bidi w:val="0"/>
        <w:spacing w:line="360" w:lineRule="auto"/>
        <w:ind w:left="0" w:leftChars="0" w:firstLine="640" w:firstLineChars="200"/>
        <w:textAlignment w:val="auto"/>
        <w:rPr>
          <w:rFonts w:hint="eastAsia" w:ascii="黑体" w:hAnsi="Times New Roman" w:eastAsia="黑体" w:cs="黑体"/>
          <w:kern w:val="0"/>
          <w:sz w:val="32"/>
          <w:szCs w:val="32"/>
        </w:rPr>
      </w:pPr>
      <w:r>
        <w:rPr>
          <w:rFonts w:hint="eastAsia" w:ascii="黑体" w:hAnsi="Times New Roman" w:eastAsia="黑体" w:cs="黑体"/>
          <w:kern w:val="0"/>
          <w:sz w:val="32"/>
          <w:szCs w:val="32"/>
        </w:rPr>
        <w:t>“三公”经费支出预算情况说明</w:t>
      </w:r>
    </w:p>
    <w:p>
      <w:pPr>
        <w:keepNext w:val="0"/>
        <w:keepLines w:val="0"/>
        <w:pageBreakBefore w:val="0"/>
        <w:widowControl w:val="0"/>
        <w:wordWrap/>
        <w:topLinePunct w:val="0"/>
        <w:bidi w:val="0"/>
        <w:spacing w:line="360" w:lineRule="auto"/>
        <w:ind w:firstLine="640" w:firstLineChars="200"/>
        <w:textAlignment w:val="auto"/>
        <w:rPr>
          <w:rFonts w:hint="eastAsia" w:ascii="Times New Roman" w:hAnsi="Times New Roman" w:eastAsia="仿宋_GB2312" w:cs="Times New Roman"/>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年“三公”经费预算为</w:t>
      </w:r>
      <w:r>
        <w:rPr>
          <w:rFonts w:hint="eastAsia" w:ascii="Times New Roman" w:hAnsi="Times New Roman" w:eastAsia="仿宋_GB2312" w:cs="Times New Roman"/>
          <w:sz w:val="32"/>
          <w:szCs w:val="32"/>
          <w:lang w:val="en-US" w:eastAsia="zh-CN"/>
        </w:rPr>
        <w:t>1.10</w:t>
      </w:r>
      <w:r>
        <w:rPr>
          <w:rFonts w:hint="eastAsia" w:ascii="Times New Roman" w:hAnsi="Times New Roman" w:eastAsia="仿宋_GB2312" w:cs="Times New Roman"/>
          <w:sz w:val="32"/>
          <w:szCs w:val="32"/>
        </w:rPr>
        <w:t>万元。</w:t>
      </w: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rPr>
        <w:t xml:space="preserve">年“三公”经费支出预算数比 </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Times New Roman" w:hAnsi="Times New Roman" w:eastAsia="仿宋_GB2312" w:cs="Times New Roman"/>
          <w:sz w:val="32"/>
          <w:szCs w:val="32"/>
        </w:rPr>
        <w:t>年</w:t>
      </w:r>
      <w:r>
        <w:rPr>
          <w:rFonts w:hint="eastAsia" w:ascii="Times New Roman" w:hAnsi="Times New Roman" w:eastAsia="仿宋_GB2312" w:cs="Times New Roman"/>
          <w:sz w:val="32"/>
          <w:szCs w:val="32"/>
          <w:lang w:eastAsia="zh-CN"/>
        </w:rPr>
        <w:t>减少</w:t>
      </w:r>
      <w:r>
        <w:rPr>
          <w:rFonts w:hint="eastAsia" w:ascii="Times New Roman" w:hAnsi="Times New Roman" w:eastAsia="仿宋_GB2312" w:cs="Times New Roman"/>
          <w:sz w:val="32"/>
          <w:szCs w:val="32"/>
          <w:lang w:val="en-US" w:eastAsia="zh-CN"/>
        </w:rPr>
        <w:t>0.20</w:t>
      </w:r>
      <w:r>
        <w:rPr>
          <w:rFonts w:hint="eastAsia" w:ascii="Times New Roman" w:hAnsi="Times New Roman" w:eastAsia="仿宋_GB2312" w:cs="Times New Roman"/>
          <w:sz w:val="32"/>
          <w:szCs w:val="32"/>
        </w:rPr>
        <w:t>万元。</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具体支出情况如下：</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因公出国（境）费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仿宋_GB2312"/>
          <w:spacing w:val="-1"/>
          <w:kern w:val="0"/>
          <w:sz w:val="32"/>
          <w:szCs w:val="32"/>
        </w:rPr>
        <w:t>万元</w:t>
      </w:r>
      <w:r>
        <w:rPr>
          <w:rFonts w:hint="eastAsia" w:ascii="楷体" w:hAnsi="楷体" w:eastAsia="楷体" w:cs="仿宋_GB2312"/>
          <w:spacing w:val="-1"/>
          <w:kern w:val="0"/>
          <w:sz w:val="32"/>
          <w:szCs w:val="32"/>
        </w:rPr>
        <w:t>，</w:t>
      </w:r>
      <w:r>
        <w:rPr>
          <w:rFonts w:hint="eastAsia" w:ascii="仿宋_GB2312" w:hAnsi="宋体" w:eastAsia="仿宋_GB2312" w:cs="Courier New"/>
          <w:sz w:val="32"/>
          <w:szCs w:val="32"/>
        </w:rPr>
        <w:t>主要用于单位工作人员公务出国（境）的住宿费、旅费、伙食补助费、杂费、培训费等支出。</w:t>
      </w:r>
      <w:r>
        <w:rPr>
          <w:rFonts w:hint="default" w:ascii="Times New Roman" w:hAnsi="Times New Roman" w:eastAsia="仿宋_GB2312" w:cs="Times New Roman"/>
          <w:sz w:val="32"/>
          <w:szCs w:val="32"/>
        </w:rPr>
        <w:t>预算数</w:t>
      </w:r>
      <w:r>
        <w:rPr>
          <w:rFonts w:hint="default" w:ascii="Times New Roman" w:hAnsi="Times New Roman" w:eastAsia="仿宋_GB2312" w:cs="Times New Roman"/>
          <w:sz w:val="32"/>
          <w:szCs w:val="32"/>
          <w:lang w:eastAsia="zh-CN"/>
        </w:rPr>
        <w:t>与</w:t>
      </w: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年保持一致，主要原因是无因公出国（境）费支出。</w:t>
      </w:r>
    </w:p>
    <w:p>
      <w:pPr>
        <w:keepNext w:val="0"/>
        <w:keepLines w:val="0"/>
        <w:pageBreakBefore w:val="0"/>
        <w:widowControl w:val="0"/>
        <w:numPr>
          <w:ilvl w:val="0"/>
          <w:numId w:val="4"/>
        </w:numPr>
        <w:kinsoku w:val="0"/>
        <w:wordWrap/>
        <w:overflowPunct w:val="0"/>
        <w:topLinePunct w:val="0"/>
        <w:autoSpaceDE w:val="0"/>
        <w:autoSpaceDN w:val="0"/>
        <w:bidi w:val="0"/>
        <w:adjustRightInd w:val="0"/>
        <w:snapToGrid w:val="0"/>
        <w:spacing w:line="360" w:lineRule="auto"/>
        <w:ind w:left="0" w:leftChars="0"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rPr>
        <w:t>公务用车购置及运行费</w:t>
      </w:r>
      <w:r>
        <w:rPr>
          <w:rFonts w:hint="eastAsia" w:ascii="Times New Roman" w:hAnsi="Times New Roman" w:eastAsia="华文楷体" w:cs="Times New Roman"/>
          <w:sz w:val="32"/>
          <w:szCs w:val="32"/>
          <w:lang w:val="en-US" w:eastAsia="zh-CN"/>
        </w:rPr>
        <w:t>1.10</w:t>
      </w:r>
      <w:r>
        <w:rPr>
          <w:rFonts w:hint="eastAsia" w:ascii="华文楷体" w:hAnsi="华文楷体" w:eastAsia="华文楷体" w:cs="仿宋_GB2312"/>
          <w:kern w:val="0"/>
          <w:sz w:val="32"/>
          <w:szCs w:val="32"/>
        </w:rPr>
        <w:t>万</w:t>
      </w:r>
      <w:r>
        <w:rPr>
          <w:rFonts w:hint="eastAsia" w:ascii="华文楷体" w:hAnsi="华文楷体" w:eastAsia="华文楷体" w:cs="Courier New"/>
          <w:sz w:val="32"/>
          <w:szCs w:val="32"/>
        </w:rPr>
        <w:t>元</w:t>
      </w:r>
      <w:r>
        <w:rPr>
          <w:rFonts w:hint="eastAsia" w:ascii="楷体" w:hAnsi="楷体" w:eastAsia="楷体" w:cs="Courier New"/>
          <w:sz w:val="32"/>
          <w:szCs w:val="32"/>
        </w:rPr>
        <w:t>，</w:t>
      </w:r>
      <w:r>
        <w:rPr>
          <w:rFonts w:hint="eastAsia" w:ascii="仿宋_GB2312" w:hAnsi="宋体" w:eastAsia="仿宋_GB2312" w:cs="Courier New"/>
          <w:sz w:val="32"/>
          <w:szCs w:val="32"/>
        </w:rPr>
        <w:t>其中，公务用车购置费</w:t>
      </w:r>
      <w:r>
        <w:rPr>
          <w:rFonts w:hint="eastAsia" w:ascii="Times New Roman" w:hAnsi="Times New Roman" w:eastAsia="黑体" w:cs="Times New Roman"/>
          <w:sz w:val="32"/>
          <w:szCs w:val="32"/>
          <w:lang w:val="en-US" w:eastAsia="zh-CN"/>
        </w:rPr>
        <w:t>0</w:t>
      </w:r>
      <w:r>
        <w:rPr>
          <w:rFonts w:hint="eastAsia" w:ascii="仿宋_GB2312" w:hAnsi="宋体" w:eastAsia="仿宋_GB2312" w:cs="Courier New"/>
          <w:sz w:val="32"/>
          <w:szCs w:val="32"/>
        </w:rPr>
        <w:t>万元；公务用车运行维护费</w:t>
      </w:r>
      <w:r>
        <w:rPr>
          <w:rFonts w:hint="eastAsia" w:ascii="Times New Roman" w:hAnsi="Times New Roman" w:eastAsia="黑体" w:cs="Times New Roman"/>
          <w:sz w:val="32"/>
          <w:szCs w:val="32"/>
          <w:lang w:val="en-US" w:eastAsia="zh-CN"/>
        </w:rPr>
        <w:t>1.10</w:t>
      </w:r>
      <w:r>
        <w:rPr>
          <w:rFonts w:hint="eastAsia" w:ascii="仿宋_GB2312" w:hAnsi="宋体" w:eastAsia="仿宋_GB2312" w:cs="Courier New"/>
          <w:sz w:val="32"/>
          <w:szCs w:val="32"/>
        </w:rPr>
        <w:t>万元，主要用于开展工作所需公务用车的燃料费、维修费、过路过桥费、保险费、安全奖励费用等支出。</w:t>
      </w:r>
      <w:r>
        <w:rPr>
          <w:rFonts w:hint="default" w:ascii="Times New Roman" w:hAnsi="Times New Roman" w:eastAsia="仿宋_GB2312" w:cs="Times New Roman"/>
          <w:sz w:val="32"/>
          <w:szCs w:val="32"/>
        </w:rPr>
        <w:t>公务用车购置费预算数与202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年保持一致，主要原因是无公务用车购置费支出。</w:t>
      </w:r>
      <w:r>
        <w:rPr>
          <w:rFonts w:hint="eastAsia" w:ascii="仿宋_GB2312" w:hAnsi="宋体" w:eastAsia="仿宋_GB2312" w:cs="Courier New"/>
          <w:sz w:val="32"/>
          <w:szCs w:val="32"/>
        </w:rPr>
        <w:t>公务用车运行维护费预算数比</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w:t>
      </w:r>
      <w:r>
        <w:rPr>
          <w:rFonts w:hint="eastAsia" w:ascii="仿宋_GB2312" w:hAnsi="宋体" w:eastAsia="仿宋_GB2312" w:cs="Courier New"/>
          <w:sz w:val="32"/>
          <w:szCs w:val="32"/>
          <w:lang w:eastAsia="zh-CN"/>
        </w:rPr>
        <w:t>减少</w:t>
      </w:r>
      <w:r>
        <w:rPr>
          <w:rFonts w:hint="default" w:ascii="Times New Roman" w:hAnsi="Times New Roman" w:eastAsia="仿宋_GB2312" w:cs="Times New Roman"/>
          <w:sz w:val="32"/>
          <w:szCs w:val="32"/>
          <w:lang w:val="en-US" w:eastAsia="zh-CN"/>
        </w:rPr>
        <w:t>0.2</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减少</w:t>
      </w:r>
      <w:r>
        <w:rPr>
          <w:rFonts w:hint="eastAsia" w:ascii="仿宋_GB2312" w:hAnsi="宋体" w:eastAsia="仿宋_GB2312" w:cs="Courier New"/>
          <w:sz w:val="32"/>
          <w:szCs w:val="32"/>
        </w:rPr>
        <w:t>的主要原因是</w:t>
      </w:r>
      <w:r>
        <w:rPr>
          <w:rFonts w:hint="eastAsia" w:ascii="仿宋_GB2312" w:hAnsi="仿宋_GB2312" w:eastAsia="仿宋_GB2312" w:cs="仿宋_GB2312"/>
          <w:sz w:val="32"/>
          <w:szCs w:val="32"/>
          <w:lang w:eastAsia="zh-CN"/>
        </w:rPr>
        <w:t>因公出行的次数缩减，公务用车燃料费减少</w:t>
      </w:r>
      <w:r>
        <w:rPr>
          <w:rFonts w:hint="eastAsia" w:ascii="仿宋_GB2312" w:hAnsi="宋体" w:eastAsia="仿宋_GB2312" w:cs="Courier New"/>
          <w:sz w:val="32"/>
          <w:szCs w:val="32"/>
        </w:rPr>
        <w:t>。</w:t>
      </w:r>
    </w:p>
    <w:p>
      <w:pPr>
        <w:keepNext w:val="0"/>
        <w:keepLines w:val="0"/>
        <w:pageBreakBefore w:val="0"/>
        <w:widowControl w:val="0"/>
        <w:wordWrap/>
        <w:topLinePunct w:val="0"/>
        <w:bidi w:val="0"/>
        <w:spacing w:line="360" w:lineRule="auto"/>
        <w:ind w:firstLine="636" w:firstLineChars="200"/>
        <w:textAlignment w:val="auto"/>
        <w:rPr>
          <w:rFonts w:hint="eastAsia" w:ascii="仿宋_GB2312" w:hAnsi="宋体" w:eastAsia="仿宋_GB2312" w:cs="Courier New"/>
          <w:sz w:val="32"/>
          <w:szCs w:val="32"/>
        </w:rPr>
      </w:pPr>
      <w:r>
        <w:rPr>
          <w:rFonts w:hint="eastAsia" w:ascii="华文楷体" w:hAnsi="华文楷体" w:eastAsia="华文楷体" w:cs="仿宋_GB2312"/>
          <w:spacing w:val="-1"/>
          <w:kern w:val="0"/>
          <w:sz w:val="32"/>
          <w:szCs w:val="32"/>
          <w:lang w:eastAsia="zh-CN"/>
        </w:rPr>
        <w:t>（三）</w:t>
      </w:r>
      <w:r>
        <w:rPr>
          <w:rFonts w:hint="eastAsia" w:ascii="华文楷体" w:hAnsi="华文楷体" w:eastAsia="华文楷体" w:cs="仿宋_GB2312"/>
          <w:spacing w:val="-1"/>
          <w:kern w:val="0"/>
          <w:sz w:val="32"/>
          <w:szCs w:val="32"/>
        </w:rPr>
        <w:t>公务接待费</w:t>
      </w:r>
      <w:r>
        <w:rPr>
          <w:rFonts w:hint="eastAsia" w:ascii="Times New Roman" w:hAnsi="Times New Roman" w:eastAsia="华文楷体" w:cs="Times New Roman"/>
          <w:sz w:val="32"/>
          <w:szCs w:val="32"/>
          <w:lang w:val="en-US" w:eastAsia="zh-CN"/>
        </w:rPr>
        <w:t>0</w:t>
      </w:r>
      <w:r>
        <w:rPr>
          <w:rFonts w:hint="eastAsia" w:ascii="华文楷体" w:hAnsi="华文楷体" w:eastAsia="华文楷体" w:cs="Courier New"/>
          <w:sz w:val="32"/>
          <w:szCs w:val="32"/>
        </w:rPr>
        <w:t>万元</w:t>
      </w:r>
      <w:r>
        <w:rPr>
          <w:rFonts w:hint="eastAsia" w:ascii="楷体" w:hAnsi="楷体" w:eastAsia="楷体" w:cs="Courier New"/>
          <w:sz w:val="32"/>
          <w:szCs w:val="32"/>
        </w:rPr>
        <w:t>，</w:t>
      </w:r>
      <w:r>
        <w:rPr>
          <w:rFonts w:hint="eastAsia" w:ascii="仿宋_GB2312" w:hAnsi="宋体" w:eastAsia="仿宋_GB2312" w:cs="Courier New"/>
          <w:sz w:val="32"/>
          <w:szCs w:val="32"/>
        </w:rPr>
        <w:t>主要用于按规定开支的各类公务接待（含外宾接待）支出。</w:t>
      </w:r>
      <w:r>
        <w:rPr>
          <w:rFonts w:hint="default" w:ascii="Times New Roman" w:hAnsi="Times New Roman" w:eastAsia="仿宋_GB2312" w:cs="Times New Roman"/>
          <w:sz w:val="32"/>
          <w:szCs w:val="32"/>
        </w:rPr>
        <w:t>预算数与 202</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年保持一致，主要原因是无公务接待费支出。</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36" w:firstLineChars="200"/>
        <w:textAlignment w:val="auto"/>
        <w:rPr>
          <w:rFonts w:hint="eastAsia" w:ascii="仿宋_GB2312" w:hAnsi="宋体" w:eastAsia="仿宋_GB2312" w:cs="Courier New"/>
          <w:sz w:val="32"/>
          <w:szCs w:val="32"/>
        </w:rPr>
      </w:pPr>
      <w:r>
        <w:rPr>
          <w:rFonts w:hint="eastAsia" w:ascii="黑体" w:hAnsi="Times New Roman" w:eastAsia="黑体" w:cs="黑体"/>
          <w:spacing w:val="-1"/>
          <w:kern w:val="0"/>
          <w:sz w:val="32"/>
          <w:szCs w:val="32"/>
        </w:rPr>
        <w:t>九、其他重要事项的情况说明</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Courier New"/>
          <w:sz w:val="32"/>
          <w:szCs w:val="32"/>
          <w:highlight w:val="darkBlue"/>
        </w:rPr>
      </w:pPr>
      <w:r>
        <w:rPr>
          <w:rFonts w:hint="eastAsia" w:ascii="楷体" w:hAnsi="楷体" w:eastAsia="楷体" w:cs="仿宋_GB2312"/>
          <w:kern w:val="0"/>
          <w:sz w:val="32"/>
          <w:szCs w:val="32"/>
          <w:highlight w:val="none"/>
        </w:rPr>
        <w:t>（一）</w:t>
      </w:r>
      <w:r>
        <w:rPr>
          <w:rFonts w:hint="eastAsia" w:ascii="楷体" w:hAnsi="楷体" w:eastAsia="楷体" w:cs="仿宋_GB2312"/>
          <w:color w:val="auto"/>
          <w:kern w:val="0"/>
          <w:sz w:val="32"/>
          <w:szCs w:val="32"/>
          <w:highlight w:val="none"/>
        </w:rPr>
        <w:t>行政（事业）单位机构运转经费</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楷体" w:hAnsi="楷体" w:eastAsia="楷体"/>
          <w:sz w:val="32"/>
          <w:szCs w:val="32"/>
          <w:highlight w:val="yellow"/>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hAnsi="宋体" w:eastAsia="仿宋_GB2312" w:cs="Courier New"/>
          <w:sz w:val="32"/>
          <w:szCs w:val="32"/>
        </w:rPr>
        <w:t>年机关运行经费支出预算</w:t>
      </w:r>
      <w:r>
        <w:rPr>
          <w:rFonts w:hint="eastAsia" w:ascii="Times New Roman" w:hAnsi="Times New Roman" w:eastAsia="黑体" w:cs="Times New Roman"/>
          <w:sz w:val="32"/>
          <w:szCs w:val="32"/>
          <w:lang w:val="en-US" w:eastAsia="zh-CN"/>
        </w:rPr>
        <w:t>19.37</w:t>
      </w:r>
      <w:r>
        <w:rPr>
          <w:rFonts w:hint="eastAsia" w:ascii="仿宋_GB2312" w:hAnsi="宋体" w:eastAsia="仿宋_GB2312" w:cs="Courier New"/>
          <w:sz w:val="32"/>
          <w:szCs w:val="32"/>
        </w:rPr>
        <w:t>万元，</w:t>
      </w:r>
      <w:r>
        <w:rPr>
          <w:rFonts w:hint="eastAsia" w:ascii="仿宋_GB2312" w:eastAsia="仿宋_GB2312"/>
          <w:sz w:val="32"/>
          <w:szCs w:val="32"/>
        </w:rPr>
        <w:t>主要保障机关机构正常运转及正常履职需要，</w:t>
      </w:r>
      <w:r>
        <w:rPr>
          <w:rFonts w:hint="eastAsia" w:ascii="仿宋_GB2312" w:hAnsi="宋体" w:eastAsia="仿宋_GB2312" w:cs="Courier New"/>
          <w:sz w:val="32"/>
          <w:szCs w:val="32"/>
        </w:rPr>
        <w:t>主要包括办公费、印刷费、水费、电费、邮电费、取暖费、物业管理费、差旅费、维修（护）费、会议费、专用材料费、被装购置费、办公设备购置、福利费、公务用车运行维护费等</w:t>
      </w:r>
      <w:r>
        <w:rPr>
          <w:rFonts w:hint="eastAsia" w:ascii="仿宋_GB2312" w:eastAsia="仿宋_GB2312"/>
          <w:sz w:val="32"/>
          <w:szCs w:val="32"/>
          <w:highlight w:val="none"/>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（二）政府采购支出情况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_GB2312" w:hAnsi="Times New Roman" w:eastAsia="楷体_GB2312" w:cs="仿宋_GB2312"/>
          <w:b/>
          <w:kern w:val="0"/>
          <w:sz w:val="32"/>
          <w:szCs w:val="32"/>
        </w:rPr>
      </w:pPr>
      <w:r>
        <w:rPr>
          <w:rFonts w:hint="default" w:ascii="Times New Roman" w:hAnsi="Times New Roman" w:eastAsia="仿宋_GB2312" w:cs="Times New Roman"/>
          <w:sz w:val="32"/>
          <w:szCs w:val="32"/>
        </w:rPr>
        <w:t>202</w:t>
      </w:r>
      <w:r>
        <w:rPr>
          <w:rFonts w:hint="eastAsia" w:ascii="Times New Roman" w:hAnsi="Times New Roman" w:eastAsia="仿宋_GB2312" w:cs="Times New Roman"/>
          <w:sz w:val="32"/>
          <w:szCs w:val="32"/>
          <w:lang w:val="en-US" w:eastAsia="zh-CN"/>
        </w:rPr>
        <w:t>4</w:t>
      </w:r>
      <w:r>
        <w:rPr>
          <w:rFonts w:hint="eastAsia" w:ascii="仿宋_GB2312" w:eastAsia="仿宋_GB2312"/>
          <w:sz w:val="32"/>
          <w:szCs w:val="32"/>
        </w:rPr>
        <w:t>年政府采购预算安排</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万元，其中：政府采购货物预算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万元、政府采购工程预算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万元、政府采购服务预算</w:t>
      </w:r>
      <w:r>
        <w:rPr>
          <w:rFonts w:hint="eastAsia" w:ascii="Times New Roman" w:hAnsi="Times New Roman" w:eastAsia="黑体" w:cs="Times New Roman"/>
          <w:sz w:val="32"/>
          <w:szCs w:val="32"/>
          <w:lang w:val="en-US" w:eastAsia="zh-CN"/>
        </w:rPr>
        <w:t>0</w:t>
      </w:r>
      <w:r>
        <w:rPr>
          <w:rFonts w:hint="eastAsia" w:ascii="仿宋_GB2312" w:eastAsia="仿宋_GB2312"/>
          <w:sz w:val="32"/>
          <w:szCs w:val="32"/>
        </w:rPr>
        <w:t>万元。</w:t>
      </w:r>
    </w:p>
    <w:p>
      <w:pPr>
        <w:keepNext w:val="0"/>
        <w:keepLines w:val="0"/>
        <w:pageBreakBefore w:val="0"/>
        <w:widowControl w:val="0"/>
        <w:numPr>
          <w:ilvl w:val="0"/>
          <w:numId w:val="5"/>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lang w:eastAsia="zh-CN"/>
        </w:rPr>
        <w:t>绩效目标设置及</w:t>
      </w:r>
      <w:r>
        <w:rPr>
          <w:rFonts w:hint="eastAsia" w:ascii="楷体" w:hAnsi="楷体" w:eastAsia="楷体" w:cs="仿宋_GB2312"/>
          <w:kern w:val="0"/>
          <w:sz w:val="32"/>
          <w:szCs w:val="32"/>
        </w:rPr>
        <w:t>预算绩效管理工作开展情况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800" w:firstLineChars="250"/>
        <w:textAlignment w:val="auto"/>
        <w:rPr>
          <w:rFonts w:hint="eastAsia" w:ascii="仿宋_GB2312" w:hAnsi="Times New Roman" w:eastAsia="仿宋_GB2312" w:cs="黑体"/>
          <w:sz w:val="32"/>
          <w:szCs w:val="32"/>
        </w:rPr>
      </w:pPr>
      <w:r>
        <w:rPr>
          <w:rFonts w:hint="eastAsia" w:ascii="仿宋_GB2312" w:hAnsi="Times New Roman" w:eastAsia="仿宋_GB2312" w:cs="黑体"/>
          <w:sz w:val="32"/>
          <w:szCs w:val="32"/>
        </w:rPr>
        <w:t>我</w:t>
      </w:r>
      <w:r>
        <w:rPr>
          <w:rFonts w:hint="eastAsia" w:ascii="仿宋_GB2312" w:hAnsi="Times New Roman" w:eastAsia="仿宋_GB2312" w:cs="黑体"/>
          <w:sz w:val="32"/>
          <w:szCs w:val="32"/>
          <w:lang w:eastAsia="zh-CN"/>
        </w:rPr>
        <w:t>部门</w:t>
      </w:r>
      <w:r>
        <w:rPr>
          <w:rFonts w:hint="eastAsia" w:ascii="仿宋_GB2312" w:hAnsi="Times New Roman" w:eastAsia="仿宋_GB2312" w:cs="黑体"/>
          <w:sz w:val="32"/>
          <w:szCs w:val="32"/>
        </w:rPr>
        <w:t>202</w:t>
      </w:r>
      <w:r>
        <w:rPr>
          <w:rFonts w:hint="eastAsia" w:ascii="仿宋_GB2312" w:hAnsi="Times New Roman" w:eastAsia="仿宋_GB2312" w:cs="黑体"/>
          <w:sz w:val="32"/>
          <w:szCs w:val="32"/>
          <w:lang w:val="en-US" w:eastAsia="zh-CN"/>
        </w:rPr>
        <w:t>4</w:t>
      </w:r>
      <w:r>
        <w:rPr>
          <w:rFonts w:hint="eastAsia" w:ascii="仿宋_GB2312" w:hAnsi="Times New Roman" w:eastAsia="仿宋_GB2312" w:cs="黑体"/>
          <w:sz w:val="32"/>
          <w:szCs w:val="32"/>
        </w:rPr>
        <w:t>年预算项目均按要求编制了绩效目标，从项目产出、项目效益、满意度等方面设置了绩效指标，综合反映项目预期完成的数量、实效、质量，预期达到的社会经济效益、可持续影响以及服务对象满意度等情况。</w:t>
      </w:r>
      <w:r>
        <w:rPr>
          <w:rFonts w:hint="eastAsia" w:ascii="仿宋_GB2312" w:hAnsi="仿宋_GB2312" w:eastAsia="仿宋_GB2312" w:cs="仿宋_GB2312"/>
          <w:sz w:val="32"/>
          <w:szCs w:val="32"/>
          <w:lang w:val="en-US" w:eastAsia="zh-CN"/>
        </w:rPr>
        <w:t>我部门</w:t>
      </w:r>
      <w:r>
        <w:rPr>
          <w:rFonts w:hint="eastAsia" w:ascii="Times New Roman" w:hAnsi="Times New Roman" w:eastAsia="仿宋_GB2312" w:cs="Times New Roman"/>
          <w:sz w:val="32"/>
          <w:szCs w:val="32"/>
          <w:lang w:val="en-US" w:eastAsia="zh-CN"/>
        </w:rPr>
        <w:t>2024</w:t>
      </w:r>
      <w:r>
        <w:rPr>
          <w:rFonts w:hint="eastAsia" w:ascii="仿宋_GB2312" w:hAnsi="仿宋_GB2312" w:eastAsia="仿宋_GB2312" w:cs="仿宋_GB2312"/>
          <w:sz w:val="32"/>
          <w:szCs w:val="32"/>
          <w:lang w:val="en-US" w:eastAsia="zh-CN"/>
        </w:rPr>
        <w:t>年未开展重点项目预算的绩效目标。</w:t>
      </w:r>
    </w:p>
    <w:p>
      <w:pPr>
        <w:keepNext w:val="0"/>
        <w:keepLines w:val="0"/>
        <w:pageBreakBefore w:val="0"/>
        <w:widowControl w:val="0"/>
        <w:numPr>
          <w:ilvl w:val="0"/>
          <w:numId w:val="0"/>
        </w:numPr>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highlight w:val="yellow"/>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年，共组织对</w:t>
      </w:r>
      <w:r>
        <w:rPr>
          <w:rFonts w:hint="eastAsia" w:ascii="Times New Roman" w:hAnsi="Times New Roman" w:eastAsia="黑体" w:cs="Times New Roman"/>
          <w:sz w:val="32"/>
          <w:szCs w:val="32"/>
          <w:lang w:val="en-US" w:eastAsia="zh-CN"/>
        </w:rPr>
        <w:t>3</w:t>
      </w:r>
      <w:r>
        <w:rPr>
          <w:rFonts w:hint="eastAsia" w:ascii="仿宋_GB2312" w:hAnsi="宋体" w:eastAsia="仿宋_GB2312" w:cs="Courier New"/>
          <w:sz w:val="32"/>
          <w:szCs w:val="32"/>
        </w:rPr>
        <w:t>个项目进行了预算绩效评价，涉及资金</w:t>
      </w:r>
      <w:r>
        <w:rPr>
          <w:rFonts w:hint="eastAsia" w:ascii="Times New Roman" w:hAnsi="Times New Roman" w:eastAsia="黑体" w:cs="Times New Roman"/>
          <w:sz w:val="32"/>
          <w:szCs w:val="32"/>
          <w:lang w:val="en-US" w:eastAsia="zh-CN"/>
        </w:rPr>
        <w:t>28.20</w:t>
      </w:r>
      <w:r>
        <w:rPr>
          <w:rFonts w:hint="eastAsia" w:ascii="仿宋_GB2312" w:hAnsi="宋体" w:eastAsia="仿宋_GB2312" w:cs="Courier New"/>
          <w:sz w:val="32"/>
          <w:szCs w:val="32"/>
        </w:rPr>
        <w:t>万元，</w:t>
      </w:r>
      <w:r>
        <w:rPr>
          <w:rFonts w:hint="eastAsia" w:ascii="仿宋_GB2312" w:hAnsi="Times New Roman" w:eastAsia="仿宋_GB2312" w:cs="黑体"/>
          <w:sz w:val="32"/>
          <w:szCs w:val="32"/>
        </w:rPr>
        <w:t>绩效评价结果显示，项目支出绩效情况较为理想，达到了项目申请时设定的各项绩效目标</w:t>
      </w:r>
      <w:r>
        <w:rPr>
          <w:rFonts w:hint="eastAsia" w:ascii="仿宋_GB2312" w:hAnsi="宋体" w:eastAsia="仿宋_GB2312" w:cs="Courier New"/>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2</w:t>
      </w:r>
      <w:r>
        <w:rPr>
          <w:rFonts w:hint="eastAsia" w:ascii="Times New Roman" w:hAnsi="Times New Roman" w:eastAsia="仿宋_GB2312" w:cs="Times New Roman"/>
          <w:color w:val="auto"/>
          <w:sz w:val="32"/>
          <w:szCs w:val="32"/>
          <w:lang w:val="en-US" w:eastAsia="zh-CN"/>
        </w:rPr>
        <w:t>4</w:t>
      </w:r>
      <w:r>
        <w:rPr>
          <w:rFonts w:hint="eastAsia" w:ascii="仿宋_GB2312" w:hAnsi="宋体" w:eastAsia="仿宋_GB2312" w:cs="Courier New"/>
          <w:color w:val="auto"/>
          <w:sz w:val="32"/>
          <w:szCs w:val="32"/>
        </w:rPr>
        <w:t>年</w:t>
      </w:r>
      <w:r>
        <w:rPr>
          <w:rFonts w:hint="eastAsia" w:ascii="仿宋_GB2312" w:hAnsi="宋体" w:eastAsia="仿宋_GB2312" w:cs="Courier New"/>
          <w:sz w:val="32"/>
          <w:szCs w:val="32"/>
        </w:rPr>
        <w:t>，组织对</w:t>
      </w:r>
      <w:r>
        <w:rPr>
          <w:rFonts w:hint="default" w:ascii="Times New Roman" w:hAnsi="Times New Roman" w:eastAsia="仿宋_GB2312" w:cs="Times New Roman"/>
          <w:sz w:val="32"/>
          <w:szCs w:val="32"/>
          <w:lang w:val="en-US" w:eastAsia="zh-CN"/>
        </w:rPr>
        <w:t>9</w:t>
      </w:r>
      <w:r>
        <w:rPr>
          <w:rFonts w:hint="eastAsia" w:ascii="仿宋_GB2312" w:hAnsi="宋体" w:eastAsia="仿宋_GB2312" w:cs="Courier New"/>
          <w:sz w:val="32"/>
          <w:szCs w:val="32"/>
        </w:rPr>
        <w:t>个项目进行预算绩效评价，涉及资金</w:t>
      </w:r>
      <w:r>
        <w:rPr>
          <w:rFonts w:hint="eastAsia" w:ascii="Times New Roman" w:hAnsi="Times New Roman" w:eastAsia="黑体" w:cs="Times New Roman"/>
          <w:sz w:val="32"/>
          <w:szCs w:val="32"/>
          <w:lang w:val="en-US" w:eastAsia="zh-CN"/>
        </w:rPr>
        <w:t>45.42</w:t>
      </w:r>
      <w:r>
        <w:rPr>
          <w:rFonts w:hint="eastAsia" w:ascii="仿宋_GB2312" w:hAnsi="宋体" w:eastAsia="仿宋_GB2312" w:cs="Courier New"/>
          <w:sz w:val="32"/>
          <w:szCs w:val="32"/>
        </w:rPr>
        <w:t>万元</w:t>
      </w:r>
      <w:r>
        <w:rPr>
          <w:rFonts w:hint="eastAsia" w:ascii="仿宋_GB2312" w:hAnsi="宋体" w:eastAsia="仿宋_GB2312" w:cs="Courier New"/>
          <w:sz w:val="32"/>
          <w:szCs w:val="32"/>
          <w:lang w:eastAsia="zh-CN"/>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（四）国有资产占用情况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年资产总额</w:t>
      </w:r>
      <w:r>
        <w:rPr>
          <w:rFonts w:hint="eastAsia" w:ascii="Times New Roman" w:hAnsi="Times New Roman" w:eastAsia="仿宋_GB2312" w:cs="Times New Roman"/>
          <w:sz w:val="32"/>
          <w:szCs w:val="32"/>
          <w:lang w:val="en-US" w:eastAsia="zh-CN"/>
        </w:rPr>
        <w:t>9.65</w:t>
      </w:r>
      <w:r>
        <w:rPr>
          <w:rFonts w:hint="eastAsia" w:ascii="仿宋_GB2312" w:hAnsi="宋体" w:eastAsia="仿宋_GB2312" w:cs="Courier New"/>
          <w:sz w:val="32"/>
          <w:szCs w:val="32"/>
        </w:rPr>
        <w:t>万元，较上年</w:t>
      </w:r>
      <w:r>
        <w:rPr>
          <w:rFonts w:hint="eastAsia" w:ascii="仿宋_GB2312" w:hAnsi="宋体" w:eastAsia="仿宋_GB2312" w:cs="Courier New"/>
          <w:color w:val="000000"/>
          <w:sz w:val="32"/>
          <w:szCs w:val="32"/>
        </w:rPr>
        <w:t>增长下降</w:t>
      </w:r>
      <w:r>
        <w:rPr>
          <w:rFonts w:hint="eastAsia" w:ascii="Times New Roman" w:hAnsi="Times New Roman" w:eastAsia="仿宋_GB2312" w:cs="Times New Roman"/>
          <w:color w:val="000000"/>
          <w:sz w:val="32"/>
          <w:szCs w:val="32"/>
          <w:lang w:val="en-US" w:eastAsia="zh-CN"/>
        </w:rPr>
        <w:t>12.46</w:t>
      </w:r>
      <w:r>
        <w:rPr>
          <w:rFonts w:hint="default" w:ascii="Times New Roman" w:hAnsi="Times New Roman" w:eastAsia="仿宋_GB2312" w:cs="Times New Roman"/>
          <w:sz w:val="32"/>
          <w:szCs w:val="32"/>
        </w:rPr>
        <w:t>%</w:t>
      </w:r>
      <w:r>
        <w:rPr>
          <w:rFonts w:hint="eastAsia" w:ascii="仿宋_GB2312" w:hAnsi="宋体" w:eastAsia="仿宋_GB2312" w:cs="Courier New"/>
          <w:sz w:val="32"/>
          <w:szCs w:val="32"/>
        </w:rPr>
        <w:t>。其中：固定资产</w:t>
      </w:r>
      <w:r>
        <w:rPr>
          <w:rFonts w:hint="eastAsia" w:ascii="Times New Roman" w:hAnsi="Times New Roman" w:eastAsia="仿宋_GB2312" w:cs="Times New Roman"/>
          <w:sz w:val="32"/>
          <w:szCs w:val="32"/>
          <w:lang w:val="en-US" w:eastAsia="zh-CN"/>
        </w:rPr>
        <w:t>9.65</w:t>
      </w:r>
      <w:r>
        <w:rPr>
          <w:rFonts w:hint="eastAsia" w:ascii="仿宋_GB2312" w:hAnsi="宋体" w:eastAsia="仿宋_GB2312" w:cs="Courier New"/>
          <w:sz w:val="32"/>
          <w:szCs w:val="32"/>
        </w:rPr>
        <w:t>万元，无形资产</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万元。</w:t>
      </w:r>
      <w:r>
        <w:rPr>
          <w:rFonts w:hint="eastAsia" w:ascii="仿宋_GB2312" w:hAnsi="宋体" w:eastAsia="仿宋_GB2312" w:cs="Courier New"/>
          <w:color w:val="000000"/>
          <w:sz w:val="32"/>
          <w:szCs w:val="32"/>
        </w:rPr>
        <w:t>下降</w:t>
      </w:r>
      <w:r>
        <w:rPr>
          <w:rFonts w:hint="eastAsia" w:ascii="仿宋_GB2312" w:hAnsi="宋体" w:eastAsia="仿宋_GB2312" w:cs="Courier New"/>
          <w:sz w:val="32"/>
          <w:szCs w:val="32"/>
        </w:rPr>
        <w:t>主要原因：</w:t>
      </w:r>
      <w:r>
        <w:rPr>
          <w:rFonts w:hint="eastAsia" w:ascii="仿宋_GB2312" w:hAnsi="宋体" w:eastAsia="仿宋_GB2312" w:cs="Courier New"/>
          <w:sz w:val="32"/>
          <w:szCs w:val="32"/>
          <w:lang w:eastAsia="zh-CN"/>
        </w:rPr>
        <w:t>购置固定资产数量减少</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20</w:t>
      </w:r>
      <w:r>
        <w:rPr>
          <w:rFonts w:hint="default" w:ascii="Times New Roman" w:hAnsi="Times New Roman" w:eastAsia="仿宋_GB2312" w:cs="Times New Roman"/>
          <w:sz w:val="32"/>
          <w:szCs w:val="32"/>
          <w:lang w:val="en-US" w:eastAsia="zh-CN"/>
        </w:rPr>
        <w:t>2</w:t>
      </w:r>
      <w:r>
        <w:rPr>
          <w:rFonts w:hint="eastAsia" w:ascii="Times New Roman" w:hAnsi="Times New Roman" w:eastAsia="仿宋_GB2312" w:cs="Times New Roman"/>
          <w:sz w:val="32"/>
          <w:szCs w:val="32"/>
          <w:lang w:val="en-US" w:eastAsia="zh-CN"/>
        </w:rPr>
        <w:t>3</w:t>
      </w:r>
      <w:r>
        <w:rPr>
          <w:rFonts w:hint="eastAsia" w:ascii="仿宋_GB2312" w:hAnsi="宋体" w:eastAsia="仿宋_GB2312" w:cs="Courier New"/>
          <w:sz w:val="32"/>
          <w:szCs w:val="32"/>
        </w:rPr>
        <w:t>年期末，</w:t>
      </w:r>
      <w:r>
        <w:rPr>
          <w:rFonts w:hint="eastAsia" w:ascii="仿宋_GB2312" w:hAnsi="仿宋_GB2312" w:eastAsia="仿宋_GB2312" w:cs="仿宋_GB2312"/>
          <w:sz w:val="32"/>
          <w:szCs w:val="32"/>
          <w:lang w:eastAsia="zh-CN"/>
        </w:rPr>
        <w:t>卫滨区委组织部</w:t>
      </w:r>
      <w:r>
        <w:rPr>
          <w:rFonts w:hint="eastAsia" w:ascii="仿宋_GB2312" w:hAnsi="宋体" w:eastAsia="仿宋_GB2312" w:cs="Courier New"/>
          <w:sz w:val="32"/>
          <w:szCs w:val="32"/>
        </w:rPr>
        <w:t>共有车辆</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辆，其中：一般公务用车</w:t>
      </w:r>
      <w:r>
        <w:rPr>
          <w:rFonts w:hint="eastAsia" w:ascii="Times New Roman" w:hAnsi="Times New Roman" w:eastAsia="仿宋_GB2312" w:cs="Times New Roman"/>
          <w:sz w:val="32"/>
          <w:szCs w:val="32"/>
          <w:lang w:val="en-US" w:eastAsia="zh-CN"/>
        </w:rPr>
        <w:t>1</w:t>
      </w:r>
      <w:r>
        <w:rPr>
          <w:rFonts w:hint="eastAsia" w:ascii="仿宋_GB2312" w:hAnsi="宋体" w:eastAsia="仿宋_GB2312" w:cs="Courier New"/>
          <w:sz w:val="32"/>
          <w:szCs w:val="32"/>
        </w:rPr>
        <w:t>辆、一般执法执勤用车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辆、特种专业技术用车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辆，其他用车</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辆；单价</w:t>
      </w:r>
      <w:r>
        <w:rPr>
          <w:rFonts w:hint="default" w:ascii="Times New Roman" w:hAnsi="Times New Roman" w:eastAsia="仿宋_GB2312" w:cs="Times New Roman"/>
          <w:sz w:val="32"/>
          <w:szCs w:val="32"/>
        </w:rPr>
        <w:t>50</w:t>
      </w:r>
      <w:r>
        <w:rPr>
          <w:rFonts w:hint="eastAsia" w:ascii="仿宋_GB2312" w:hAnsi="宋体" w:eastAsia="仿宋_GB2312" w:cs="Courier New"/>
          <w:sz w:val="32"/>
          <w:szCs w:val="32"/>
        </w:rPr>
        <w:t>万元以上通用设备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台，单位价值</w:t>
      </w:r>
      <w:r>
        <w:rPr>
          <w:rFonts w:hint="default" w:ascii="Times New Roman" w:hAnsi="Times New Roman" w:eastAsia="仿宋_GB2312" w:cs="Times New Roman"/>
          <w:sz w:val="32"/>
          <w:szCs w:val="32"/>
        </w:rPr>
        <w:t>100</w:t>
      </w:r>
      <w:r>
        <w:rPr>
          <w:rFonts w:hint="eastAsia" w:ascii="仿宋_GB2312" w:hAnsi="宋体" w:eastAsia="仿宋_GB2312" w:cs="Courier New"/>
          <w:sz w:val="32"/>
          <w:szCs w:val="32"/>
        </w:rPr>
        <w:t>万元以上专用设备</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rPr>
        <w:t>台。</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楷体" w:hAnsi="楷体" w:eastAsia="楷体" w:cs="仿宋_GB2312"/>
          <w:kern w:val="0"/>
          <w:sz w:val="32"/>
          <w:szCs w:val="32"/>
        </w:rPr>
      </w:pPr>
      <w:r>
        <w:rPr>
          <w:rFonts w:hint="eastAsia" w:ascii="楷体" w:hAnsi="楷体" w:eastAsia="楷体" w:cs="仿宋_GB2312"/>
          <w:kern w:val="0"/>
          <w:sz w:val="32"/>
          <w:szCs w:val="32"/>
        </w:rPr>
        <w:t>（五）支出预算经济分类情况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中共新乡市卫滨区委组织部</w:t>
      </w:r>
      <w:r>
        <w:rPr>
          <w:rFonts w:hint="eastAsia" w:ascii="仿宋_GB2312" w:hAnsi="宋体" w:eastAsia="仿宋_GB2312" w:cs="Courier New"/>
          <w:sz w:val="32"/>
          <w:szCs w:val="32"/>
        </w:rPr>
        <w:t>按照《财政部关于印发&lt;支出经济分类科目改革方案&gt;的通知》(财预〔</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w:t>
      </w:r>
      <w:r>
        <w:rPr>
          <w:rFonts w:hint="default" w:ascii="Times New Roman" w:hAnsi="Times New Roman" w:eastAsia="仿宋_GB2312" w:cs="Times New Roman"/>
          <w:sz w:val="32"/>
          <w:szCs w:val="32"/>
        </w:rPr>
        <w:t>98</w:t>
      </w:r>
      <w:r>
        <w:rPr>
          <w:rFonts w:hint="eastAsia" w:ascii="仿宋_GB2312" w:hAnsi="宋体" w:eastAsia="仿宋_GB2312" w:cs="Courier New"/>
          <w:sz w:val="32"/>
          <w:szCs w:val="32"/>
        </w:rPr>
        <w:t>号)要求，从</w:t>
      </w:r>
      <w:r>
        <w:rPr>
          <w:rFonts w:hint="default" w:ascii="Times New Roman" w:hAnsi="Times New Roman" w:eastAsia="仿宋_GB2312" w:cs="Times New Roman"/>
          <w:sz w:val="32"/>
          <w:szCs w:val="32"/>
        </w:rPr>
        <w:t>2018</w:t>
      </w:r>
      <w:r>
        <w:rPr>
          <w:rFonts w:hint="eastAsia" w:ascii="仿宋_GB2312" w:hAnsi="宋体" w:eastAsia="仿宋_GB2312" w:cs="Courier New"/>
          <w:sz w:val="32"/>
          <w:szCs w:val="32"/>
        </w:rPr>
        <w:t>年起全面实施支出经济分类科目改革，根据政府预算管理和部门预算管理的不同特点，分设部门预算支出经济分类科目和政府预算支出经济分类科目，两套科目之间保持对应关系。为适应改革要求，</w:t>
      </w:r>
      <w:r>
        <w:rPr>
          <w:rFonts w:hint="eastAsia" w:ascii="仿宋_GB2312" w:hAnsi="仿宋_GB2312" w:eastAsia="仿宋_GB2312" w:cs="仿宋_GB2312"/>
          <w:color w:val="auto"/>
          <w:sz w:val="32"/>
          <w:szCs w:val="32"/>
          <w:highlight w:val="none"/>
          <w:lang w:eastAsia="zh-CN"/>
        </w:rPr>
        <w:t xml:space="preserve">我部门《支出经济分类汇总表》从 </w:t>
      </w:r>
      <w:r>
        <w:rPr>
          <w:rFonts w:hint="default" w:ascii="Times New Roman" w:hAnsi="Times New Roman" w:eastAsia="仿宋_GB2312" w:cs="Times New Roman"/>
          <w:color w:val="auto"/>
          <w:sz w:val="32"/>
          <w:szCs w:val="32"/>
          <w:highlight w:val="none"/>
          <w:lang w:eastAsia="zh-CN"/>
        </w:rPr>
        <w:t>2018</w:t>
      </w:r>
      <w:r>
        <w:rPr>
          <w:rFonts w:hint="eastAsia" w:ascii="仿宋_GB2312" w:hAnsi="仿宋_GB2312" w:eastAsia="仿宋_GB2312" w:cs="仿宋_GB2312"/>
          <w:color w:val="auto"/>
          <w:sz w:val="32"/>
          <w:szCs w:val="32"/>
          <w:highlight w:val="none"/>
          <w:lang w:eastAsia="zh-CN"/>
        </w:rPr>
        <w:t>年起从仅反映一般公共预算基本支出经济分类科目预算调整</w:t>
      </w:r>
      <w:r>
        <w:rPr>
          <w:rFonts w:hint="eastAsia" w:ascii="仿宋_GB2312" w:hAnsi="宋体" w:eastAsia="仿宋_GB2312" w:cs="Courier New"/>
          <w:color w:val="auto"/>
          <w:sz w:val="32"/>
          <w:szCs w:val="32"/>
          <w:highlight w:val="none"/>
          <w:lang w:eastAsia="zh-CN"/>
        </w:rPr>
        <w:t>为按</w:t>
      </w:r>
      <w:r>
        <w:rPr>
          <w:rFonts w:hint="eastAsia" w:ascii="仿宋_GB2312" w:hAnsi="宋体" w:eastAsia="仿宋_GB2312" w:cs="Courier New"/>
          <w:sz w:val="32"/>
          <w:szCs w:val="32"/>
        </w:rPr>
        <w:t>两套经济分类科目分别反映不同资金来源的全部预算支出。</w:t>
      </w:r>
    </w:p>
    <w:p>
      <w:pPr>
        <w:keepNext w:val="0"/>
        <w:keepLines w:val="0"/>
        <w:pageBreakBefore w:val="0"/>
        <w:widowControl w:val="0"/>
        <w:numPr>
          <w:ilvl w:val="0"/>
          <w:numId w:val="6"/>
        </w:numPr>
        <w:kinsoku w:val="0"/>
        <w:wordWrap/>
        <w:overflowPunct w:val="0"/>
        <w:topLinePunct w:val="0"/>
        <w:autoSpaceDE w:val="0"/>
        <w:autoSpaceDN w:val="0"/>
        <w:bidi w:val="0"/>
        <w:adjustRightInd w:val="0"/>
        <w:snapToGrid w:val="0"/>
        <w:spacing w:line="360" w:lineRule="auto"/>
        <w:ind w:firstLine="640" w:firstLineChars="200"/>
        <w:textAlignment w:val="auto"/>
        <w:rPr>
          <w:rFonts w:hint="default" w:ascii="楷体_GB2312" w:hAnsi="楷体_GB2312" w:eastAsia="楷体_GB2312" w:cs="楷体_GB2312"/>
          <w:sz w:val="32"/>
          <w:szCs w:val="32"/>
          <w:highlight w:val="none"/>
          <w:lang w:val="en-US"/>
        </w:rPr>
      </w:pPr>
      <w:r>
        <w:rPr>
          <w:rFonts w:hint="eastAsia" w:ascii="楷体_GB2312" w:hAnsi="楷体_GB2312" w:eastAsia="楷体_GB2312" w:cs="楷体_GB2312"/>
          <w:sz w:val="32"/>
          <w:szCs w:val="32"/>
          <w:highlight w:val="none"/>
        </w:rPr>
        <w:t>专项转移支付项目情况</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仿宋_GB2312" w:eastAsia="仿宋_GB2312" w:cs="仿宋_GB2312"/>
          <w:sz w:val="32"/>
          <w:szCs w:val="32"/>
          <w:lang w:eastAsia="zh-CN"/>
        </w:rPr>
        <w:t>中共新乡市卫滨区委组织部</w:t>
      </w:r>
      <w:r>
        <w:rPr>
          <w:rFonts w:hint="eastAsia" w:ascii="仿宋_GB2312" w:hAnsi="宋体" w:eastAsia="仿宋_GB2312" w:cs="Courier New"/>
          <w:sz w:val="32"/>
          <w:szCs w:val="32"/>
          <w:highlight w:val="none"/>
        </w:rPr>
        <w:t>负责管理的专项转移支付项目共有</w:t>
      </w:r>
      <w:r>
        <w:rPr>
          <w:rFonts w:hint="eastAsia" w:ascii="Times New Roman" w:hAnsi="Times New Roman" w:eastAsia="仿宋_GB2312" w:cs="Times New Roman"/>
          <w:sz w:val="32"/>
          <w:szCs w:val="32"/>
          <w:lang w:val="en-US" w:eastAsia="zh-CN"/>
        </w:rPr>
        <w:t>0</w:t>
      </w:r>
      <w:r>
        <w:rPr>
          <w:rFonts w:hint="eastAsia" w:ascii="仿宋_GB2312" w:hAnsi="宋体" w:eastAsia="仿宋_GB2312" w:cs="Courier New"/>
          <w:sz w:val="32"/>
          <w:szCs w:val="32"/>
          <w:highlight w:val="none"/>
        </w:rPr>
        <w:t>项；我</w:t>
      </w:r>
      <w:r>
        <w:rPr>
          <w:rFonts w:hint="eastAsia" w:ascii="仿宋_GB2312" w:hAnsi="宋体" w:eastAsia="仿宋_GB2312" w:cs="Courier New"/>
          <w:sz w:val="32"/>
          <w:szCs w:val="32"/>
          <w:highlight w:val="none"/>
          <w:lang w:val="en-US" w:eastAsia="zh-CN"/>
        </w:rPr>
        <w:t>部门</w:t>
      </w:r>
      <w:r>
        <w:rPr>
          <w:rFonts w:hint="eastAsia" w:ascii="仿宋_GB2312" w:hAnsi="宋体" w:eastAsia="仿宋_GB2312" w:cs="Courier New"/>
          <w:sz w:val="32"/>
          <w:szCs w:val="32"/>
          <w:highlight w:val="none"/>
        </w:rPr>
        <w:t>将按照《预算法》等有关规定，积极做好项目分配前期准备工作，在规定的时间内向财政部门提出资金分配意见，根据有关要求做好项目申报公开等相关工作</w:t>
      </w:r>
      <w:r>
        <w:rPr>
          <w:rFonts w:hint="eastAsia" w:ascii="黑体" w:hAnsi="黑体" w:eastAsia="黑体" w:cs="黑体"/>
          <w:sz w:val="32"/>
          <w:szCs w:val="32"/>
        </w:rPr>
        <w:t>。</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lang w:eastAsia="zh-CN"/>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both"/>
        <w:textAlignment w:val="auto"/>
        <w:rPr>
          <w:rFonts w:hint="eastAsia" w:ascii="黑体" w:hAnsi="黑体" w:eastAsia="黑体"/>
          <w:sz w:val="32"/>
          <w:szCs w:val="32"/>
        </w:rPr>
      </w:pP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r>
        <w:rPr>
          <w:rFonts w:hint="eastAsia" w:ascii="黑体" w:hAnsi="黑体" w:eastAsia="黑体"/>
          <w:sz w:val="32"/>
          <w:szCs w:val="32"/>
        </w:rPr>
        <w:t>第三部分  名词解释</w:t>
      </w:r>
    </w:p>
    <w:p>
      <w:pPr>
        <w:keepNext w:val="0"/>
        <w:keepLines w:val="0"/>
        <w:pageBreakBefore w:val="0"/>
        <w:widowControl w:val="0"/>
        <w:wordWrap/>
        <w:topLinePunct w:val="0"/>
        <w:bidi w:val="0"/>
        <w:adjustRightInd w:val="0"/>
        <w:snapToGrid w:val="0"/>
        <w:spacing w:line="360" w:lineRule="auto"/>
        <w:jc w:val="center"/>
        <w:textAlignment w:val="auto"/>
        <w:rPr>
          <w:rFonts w:hint="eastAsia" w:ascii="黑体" w:hAnsi="黑体" w:eastAsia="黑体"/>
          <w:sz w:val="32"/>
          <w:szCs w:val="32"/>
        </w:rPr>
      </w:pP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一、财政拨款收入：是指区级财政当年拨付的资金。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二、事业收入：是指事业单位开展专业活动及辅助活动所取得的收入。</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 xml:space="preserve">三、单位其他收入：是指部门取得的除“财政拨款”、“事业收入”、“事业单位经营收入”等以外的收入。 </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五、基本支出：是指为保障机构正常运转、完成日常工作任务所必需的开支，其内容包括人员经费和日常公用经费两部分。</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ascii="仿宋_GB2312" w:hAnsi="宋体" w:eastAsia="仿宋_GB2312" w:cs="Courier New"/>
          <w:sz w:val="32"/>
          <w:szCs w:val="32"/>
        </w:rPr>
      </w:pPr>
      <w:r>
        <w:rPr>
          <w:rFonts w:hint="eastAsia" w:ascii="仿宋_GB2312" w:hAnsi="宋体" w:eastAsia="仿宋_GB2312" w:cs="Courier New"/>
          <w:sz w:val="32"/>
          <w:szCs w:val="32"/>
        </w:rPr>
        <w:t>六、项目支出：是指在基本支出之外，为完成特定的行政工作任务或事业发展目标所发生的支出。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val="0"/>
        <w:wordWrap/>
        <w:overflowPunct w:val="0"/>
        <w:topLinePunct w:val="0"/>
        <w:autoSpaceDE w:val="0"/>
        <w:autoSpaceDN w:val="0"/>
        <w:bidi w:val="0"/>
        <w:adjustRightInd w:val="0"/>
        <w:snapToGrid w:val="0"/>
        <w:spacing w:line="360" w:lineRule="auto"/>
        <w:ind w:firstLine="640" w:firstLineChars="200"/>
        <w:textAlignment w:val="auto"/>
        <w:rPr>
          <w:rFonts w:hint="eastAsia" w:ascii="仿宋_GB2312" w:hAnsi="宋体" w:eastAsia="仿宋_GB2312" w:cs="Courier New"/>
          <w:sz w:val="32"/>
          <w:szCs w:val="32"/>
        </w:rPr>
      </w:pPr>
      <w:r>
        <w:rPr>
          <w:rFonts w:hint="eastAsia" w:ascii="仿宋_GB2312" w:hAnsi="宋体" w:eastAsia="仿宋_GB2312" w:cs="Courier New"/>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ind w:firstLine="640" w:firstLineChars="200"/>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360" w:lineRule="auto"/>
        <w:textAlignment w:val="auto"/>
        <w:rPr>
          <w:rFonts w:hint="eastAsia" w:ascii="黑体" w:hAnsi="Times New Roman" w:eastAsia="黑体" w:cs="黑体"/>
          <w:sz w:val="32"/>
          <w:szCs w:val="32"/>
        </w:rPr>
      </w:pPr>
    </w:p>
    <w:p>
      <w:pPr>
        <w:keepNext w:val="0"/>
        <w:keepLines w:val="0"/>
        <w:pageBreakBefore w:val="0"/>
        <w:widowControl w:val="0"/>
        <w:kinsoku w:val="0"/>
        <w:wordWrap/>
        <w:overflowPunct w:val="0"/>
        <w:topLinePunct w:val="0"/>
        <w:bidi w:val="0"/>
        <w:adjustRightInd w:val="0"/>
        <w:snapToGrid w:val="0"/>
        <w:spacing w:line="560" w:lineRule="exact"/>
        <w:textAlignment w:val="auto"/>
        <w:rPr>
          <w:rFonts w:hint="eastAsia" w:ascii="黑体" w:hAnsi="Times New Roman" w:eastAsia="黑体" w:cs="黑体"/>
          <w:sz w:val="32"/>
          <w:szCs w:val="32"/>
        </w:rPr>
      </w:pPr>
      <w:r>
        <w:rPr>
          <w:rFonts w:hint="eastAsia" w:ascii="黑体" w:hAnsi="Times New Roman" w:eastAsia="黑体" w:cs="黑体"/>
          <w:sz w:val="32"/>
          <w:szCs w:val="32"/>
        </w:rPr>
        <w:t>附件：</w:t>
      </w:r>
    </w:p>
    <w:p>
      <w:pPr>
        <w:keepNext w:val="0"/>
        <w:keepLines w:val="0"/>
        <w:pageBreakBefore w:val="0"/>
        <w:widowControl w:val="0"/>
        <w:kinsoku w:val="0"/>
        <w:wordWrap/>
        <w:overflowPunct w:val="0"/>
        <w:topLinePunct w:val="0"/>
        <w:bidi w:val="0"/>
        <w:adjustRightInd w:val="0"/>
        <w:snapToGrid w:val="0"/>
        <w:spacing w:line="560" w:lineRule="exact"/>
        <w:jc w:val="center"/>
        <w:textAlignment w:val="auto"/>
        <w:rPr>
          <w:rFonts w:hint="eastAsia" w:ascii="黑体" w:hAnsi="Times New Roman" w:eastAsia="黑体" w:cs="黑体"/>
          <w:sz w:val="32"/>
          <w:szCs w:val="32"/>
        </w:rPr>
      </w:pPr>
      <w:r>
        <w:rPr>
          <w:rFonts w:hint="eastAsia" w:ascii="黑体" w:hAnsi="Times New Roman" w:eastAsia="黑体" w:cs="黑体"/>
          <w:sz w:val="32"/>
          <w:szCs w:val="32"/>
          <w:lang w:eastAsia="zh-CN"/>
        </w:rPr>
        <w:t>中共</w:t>
      </w:r>
      <w:r>
        <w:rPr>
          <w:rFonts w:hint="eastAsia" w:ascii="黑体" w:hAnsi="Times New Roman" w:eastAsia="黑体" w:cs="黑体"/>
          <w:sz w:val="32"/>
          <w:szCs w:val="32"/>
        </w:rPr>
        <w:t>新乡市</w:t>
      </w:r>
      <w:r>
        <w:rPr>
          <w:rFonts w:hint="eastAsia" w:ascii="黑体" w:hAnsi="黑体" w:eastAsia="黑体" w:cs="黑体"/>
          <w:sz w:val="32"/>
          <w:szCs w:val="32"/>
        </w:rPr>
        <w:t>卫滨区</w:t>
      </w:r>
      <w:r>
        <w:rPr>
          <w:rFonts w:hint="eastAsia" w:ascii="黑体" w:hAnsi="黑体" w:eastAsia="黑体" w:cs="黑体"/>
          <w:sz w:val="32"/>
          <w:szCs w:val="32"/>
          <w:lang w:eastAsia="zh-CN"/>
        </w:rPr>
        <w:t>委组织部</w:t>
      </w:r>
      <w:r>
        <w:rPr>
          <w:rFonts w:hint="default" w:ascii="Times New Roman" w:hAnsi="Times New Roman" w:eastAsia="黑体" w:cs="Times New Roman"/>
          <w:sz w:val="32"/>
          <w:szCs w:val="32"/>
        </w:rPr>
        <w:t>202</w:t>
      </w:r>
      <w:r>
        <w:rPr>
          <w:rFonts w:hint="eastAsia" w:ascii="Times New Roman" w:hAnsi="Times New Roman" w:eastAsia="黑体" w:cs="Times New Roman"/>
          <w:sz w:val="32"/>
          <w:szCs w:val="32"/>
          <w:lang w:val="en-US" w:eastAsia="zh-CN"/>
        </w:rPr>
        <w:t>4</w:t>
      </w:r>
      <w:r>
        <w:rPr>
          <w:rFonts w:hint="eastAsia" w:ascii="黑体" w:hAnsi="Times New Roman" w:eastAsia="黑体" w:cs="黑体"/>
          <w:sz w:val="32"/>
          <w:szCs w:val="32"/>
        </w:rPr>
        <w:t>年度部门预算表</w:t>
      </w:r>
    </w:p>
    <w:p>
      <w:pPr>
        <w:kinsoku w:val="0"/>
        <w:overflowPunct w:val="0"/>
        <w:adjustRightInd w:val="0"/>
        <w:snapToGrid w:val="0"/>
        <w:spacing w:line="560" w:lineRule="exact"/>
        <w:ind w:firstLine="640" w:firstLineChars="200"/>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9240" w:type="dxa"/>
        <w:tblInd w:w="93" w:type="dxa"/>
        <w:tblLayout w:type="fixed"/>
        <w:tblCellMar>
          <w:top w:w="0" w:type="dxa"/>
          <w:left w:w="108" w:type="dxa"/>
          <w:bottom w:w="0" w:type="dxa"/>
          <w:right w:w="108" w:type="dxa"/>
        </w:tblCellMar>
      </w:tblPr>
      <w:tblGrid>
        <w:gridCol w:w="3080"/>
        <w:gridCol w:w="1540"/>
        <w:gridCol w:w="3080"/>
        <w:gridCol w:w="1540"/>
      </w:tblGrid>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xml:space="preserve">预算01表  </w:t>
            </w:r>
          </w:p>
        </w:tc>
      </w:tr>
      <w:tr>
        <w:tblPrEx>
          <w:tblLayout w:type="fixed"/>
          <w:tblCellMar>
            <w:top w:w="0" w:type="dxa"/>
            <w:left w:w="108" w:type="dxa"/>
            <w:bottom w:w="0" w:type="dxa"/>
            <w:right w:w="108" w:type="dxa"/>
          </w:tblCellMar>
        </w:tblPrEx>
        <w:trPr>
          <w:trHeight w:val="570" w:hRule="atLeast"/>
        </w:trPr>
        <w:tc>
          <w:tcPr>
            <w:tcW w:w="9240" w:type="dxa"/>
            <w:gridSpan w:val="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年部门收支</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9240" w:type="dxa"/>
            <w:gridSpan w:val="4"/>
            <w:tcBorders>
              <w:top w:val="nil"/>
              <w:left w:val="nil"/>
              <w:bottom w:val="single" w:color="000000" w:sz="4" w:space="0"/>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6"/>
                <w:szCs w:val="16"/>
                <w:highlight w:val="none"/>
              </w:rPr>
              <w:t>部门名称：</w:t>
            </w:r>
            <w:r>
              <w:rPr>
                <w:rFonts w:hint="eastAsia" w:ascii="宋体" w:hAnsi="宋体" w:cs="宋体"/>
                <w:kern w:val="0"/>
                <w:sz w:val="16"/>
                <w:szCs w:val="16"/>
                <w:highlight w:val="none"/>
                <w:lang w:eastAsia="zh-CN"/>
              </w:rPr>
              <w:t>中共新乡市卫滨区委组织部</w:t>
            </w:r>
            <w:r>
              <w:rPr>
                <w:rFonts w:hint="eastAsia" w:ascii="宋体" w:hAnsi="宋体" w:cs="宋体"/>
                <w:kern w:val="0"/>
                <w:sz w:val="16"/>
                <w:szCs w:val="16"/>
                <w:highlight w:val="none"/>
                <w:lang w:val="en-US" w:eastAsia="zh-CN"/>
              </w:rPr>
              <w:t xml:space="preserve">                         </w:t>
            </w:r>
            <w:r>
              <w:rPr>
                <w:rFonts w:hint="eastAsia" w:ascii="宋体" w:hAnsi="宋体" w:cs="宋体"/>
                <w:kern w:val="0"/>
                <w:sz w:val="16"/>
                <w:szCs w:val="16"/>
                <w:highlight w:val="none"/>
              </w:rPr>
              <w:t xml:space="preserve">                                            单位：万元</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收入</w:t>
            </w:r>
          </w:p>
        </w:tc>
        <w:tc>
          <w:tcPr>
            <w:tcW w:w="462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支出</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金额  </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项目  </w:t>
            </w:r>
          </w:p>
        </w:tc>
        <w:tc>
          <w:tcPr>
            <w:tcW w:w="15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金额</w:t>
            </w:r>
          </w:p>
        </w:tc>
      </w:tr>
      <w:tr>
        <w:tblPrEx>
          <w:tblLayout w:type="fixed"/>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一、一般公共预算</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一、一般公共服务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244.24</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kern w:val="0"/>
                <w:sz w:val="18"/>
                <w:szCs w:val="18"/>
                <w:highlight w:val="none"/>
                <w:lang w:eastAsia="zh-CN"/>
              </w:rPr>
            </w:pPr>
            <w:r>
              <w:rPr>
                <w:rFonts w:ascii="宋体" w:hAnsi="宋体" w:eastAsia="宋体" w:cs="宋体"/>
                <w:i w:val="0"/>
                <w:color w:val="000000"/>
                <w:kern w:val="0"/>
                <w:sz w:val="18"/>
                <w:szCs w:val="18"/>
                <w:u w:val="none"/>
                <w:lang w:val="en-US" w:eastAsia="zh-CN" w:bidi="ar"/>
              </w:rPr>
              <w:t>295.04</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二、外交</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二、政府性基金预算拨款收入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三、国有资本经营预算拨款收入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四、公共安全</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四、财政专户管理资金收入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五、教育</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五、事业收入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六、科学技术</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六、事业单位经营收入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七、文化旅游体育与传媒</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七、上级补助收入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八、社会保障和就业</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八、附属单位上缴收入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九、社会保险基金支出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九、其他收入</w:t>
            </w:r>
          </w:p>
        </w:tc>
        <w:tc>
          <w:tcPr>
            <w:tcW w:w="1540" w:type="dxa"/>
            <w:tcBorders>
              <w:top w:val="nil"/>
              <w:left w:val="nil"/>
              <w:bottom w:val="single" w:color="000000" w:sz="4" w:space="0"/>
              <w:right w:val="single" w:color="000000" w:sz="4" w:space="0"/>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十、卫生健康</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十一、节能环保</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十二、城乡社区事务</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十三、农林水事务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10.21</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十四、交通运输</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十五、资源勘探信息等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十六、商业服务业等</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十七、金融支出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十九、援助其他地区支出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二十、自然资源海洋气象等支出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二十一、住房保障支出</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二十二、粮油物资储备支出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二十三、国有资本经营预算</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二十四、灾害防治及应急管理</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二十七、预备费</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二十九、其他支出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三十、转移性支出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三十一、债务还本支出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三十二、债务付息支出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三十三、债务发行费用支出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46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　</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三十四、抗疫特别国债安排的支出</w:t>
            </w:r>
          </w:p>
        </w:tc>
        <w:tc>
          <w:tcPr>
            <w:tcW w:w="15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收 入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 年 支 出 合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318.46</w:t>
            </w: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上年结转结余</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3080" w:type="dxa"/>
            <w:tcBorders>
              <w:top w:val="nil"/>
              <w:left w:val="nil"/>
              <w:bottom w:val="single" w:color="000000" w:sz="4" w:space="0"/>
              <w:right w:val="single" w:color="000000" w:sz="4" w:space="0"/>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年终结转结余</w:t>
            </w:r>
          </w:p>
        </w:tc>
        <w:tc>
          <w:tcPr>
            <w:tcW w:w="15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308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收 入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318.46</w:t>
            </w:r>
          </w:p>
        </w:tc>
        <w:tc>
          <w:tcPr>
            <w:tcW w:w="30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支 出 总 计</w:t>
            </w:r>
          </w:p>
        </w:tc>
        <w:tc>
          <w:tcPr>
            <w:tcW w:w="15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318.46</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1440" w:right="1700" w:bottom="1440" w:left="1560" w:header="851" w:footer="992" w:gutter="0"/>
          <w:cols w:space="720" w:num="1"/>
          <w:docGrid w:type="lines" w:linePitch="312" w:charSpace="0"/>
        </w:sectPr>
      </w:pPr>
    </w:p>
    <w:tbl>
      <w:tblPr>
        <w:tblStyle w:val="8"/>
        <w:tblW w:w="15600" w:type="dxa"/>
        <w:tblInd w:w="93" w:type="dxa"/>
        <w:tblLayout w:type="fixed"/>
        <w:tblCellMar>
          <w:top w:w="0" w:type="dxa"/>
          <w:left w:w="108" w:type="dxa"/>
          <w:bottom w:w="0" w:type="dxa"/>
          <w:right w:w="108" w:type="dxa"/>
        </w:tblCellMar>
      </w:tblPr>
      <w:tblGrid>
        <w:gridCol w:w="960"/>
        <w:gridCol w:w="2340"/>
        <w:gridCol w:w="940"/>
        <w:gridCol w:w="820"/>
        <w:gridCol w:w="880"/>
        <w:gridCol w:w="880"/>
        <w:gridCol w:w="580"/>
        <w:gridCol w:w="580"/>
        <w:gridCol w:w="580"/>
        <w:gridCol w:w="580"/>
        <w:gridCol w:w="580"/>
        <w:gridCol w:w="580"/>
        <w:gridCol w:w="580"/>
        <w:gridCol w:w="580"/>
        <w:gridCol w:w="705"/>
        <w:gridCol w:w="795"/>
        <w:gridCol w:w="480"/>
        <w:gridCol w:w="340"/>
        <w:gridCol w:w="1040"/>
        <w:gridCol w:w="780"/>
      </w:tblGrid>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预算02表</w:t>
            </w:r>
          </w:p>
        </w:tc>
      </w:tr>
      <w:tr>
        <w:tblPrEx>
          <w:tblLayout w:type="fixed"/>
          <w:tblCellMar>
            <w:top w:w="0" w:type="dxa"/>
            <w:left w:w="108" w:type="dxa"/>
            <w:bottom w:w="0" w:type="dxa"/>
            <w:right w:w="108" w:type="dxa"/>
          </w:tblCellMar>
        </w:tblPrEx>
        <w:trPr>
          <w:trHeight w:val="570" w:hRule="atLeast"/>
        </w:trPr>
        <w:tc>
          <w:tcPr>
            <w:tcW w:w="15600" w:type="dxa"/>
            <w:gridSpan w:val="20"/>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年部门收入</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600" w:type="dxa"/>
            <w:gridSpan w:val="20"/>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eastAsia="zh-CN"/>
              </w:rPr>
              <w:t>中共新乡市卫滨区委组织部</w:t>
            </w:r>
            <w:r>
              <w:rPr>
                <w:rFonts w:hint="eastAsia" w:ascii="宋体" w:hAnsi="宋体" w:cs="宋体"/>
                <w:kern w:val="0"/>
                <w:sz w:val="18"/>
                <w:szCs w:val="18"/>
                <w:highlight w:val="none"/>
              </w:rPr>
              <w:t xml:space="preserve">                                                                                                                       </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部门（单位）代码</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部门（单位）名称</w:t>
            </w:r>
          </w:p>
        </w:tc>
        <w:tc>
          <w:tcPr>
            <w:tcW w:w="9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总计</w:t>
            </w:r>
          </w:p>
        </w:tc>
        <w:tc>
          <w:tcPr>
            <w:tcW w:w="7220" w:type="dxa"/>
            <w:gridSpan w:val="11"/>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本年收入</w:t>
            </w:r>
          </w:p>
        </w:tc>
        <w:tc>
          <w:tcPr>
            <w:tcW w:w="4140" w:type="dxa"/>
            <w:gridSpan w:val="6"/>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上年结转结余</w:t>
            </w:r>
          </w:p>
        </w:tc>
      </w:tr>
      <w:tr>
        <w:tblPrEx>
          <w:tblLayout w:type="fixed"/>
          <w:tblCellMar>
            <w:top w:w="0" w:type="dxa"/>
            <w:left w:w="108" w:type="dxa"/>
            <w:bottom w:w="0" w:type="dxa"/>
            <w:right w:w="108" w:type="dxa"/>
          </w:tblCellMar>
        </w:tblPrEx>
        <w:trPr>
          <w:trHeight w:val="28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7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事业单位经营收入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上级补助收入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附属单位上缴收入</w:t>
            </w:r>
          </w:p>
        </w:tc>
        <w:tc>
          <w:tcPr>
            <w:tcW w:w="5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其他收入  </w:t>
            </w:r>
          </w:p>
        </w:tc>
        <w:tc>
          <w:tcPr>
            <w:tcW w:w="70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795"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4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w:t>
            </w:r>
          </w:p>
        </w:tc>
        <w:tc>
          <w:tcPr>
            <w:tcW w:w="3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04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7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PrEx>
        <w:trPr>
          <w:trHeight w:val="675" w:hRule="atLeast"/>
        </w:trPr>
        <w:tc>
          <w:tcPr>
            <w:tcW w:w="9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2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8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其中：财政拨款</w:t>
            </w: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5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0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95"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4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3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4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9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318.46</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7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4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0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96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005</w:t>
            </w: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9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318.46</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7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4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3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04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19" w:hRule="atLeast"/>
        </w:trPr>
        <w:tc>
          <w:tcPr>
            <w:tcW w:w="960" w:type="dxa"/>
            <w:vMerge w:val="restar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005001</w:t>
            </w:r>
          </w:p>
        </w:tc>
        <w:tc>
          <w:tcPr>
            <w:tcW w:w="2340" w:type="dxa"/>
            <w:tcBorders>
              <w:top w:val="nil"/>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中共新乡市卫滨区委组织部本级</w:t>
            </w:r>
          </w:p>
        </w:tc>
        <w:tc>
          <w:tcPr>
            <w:tcW w:w="94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82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88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880" w:type="dxa"/>
            <w:tcBorders>
              <w:top w:val="nil"/>
              <w:left w:val="nil"/>
              <w:bottom w:val="nil"/>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5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5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705"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795"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4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34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104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c>
          <w:tcPr>
            <w:tcW w:w="780" w:type="dxa"/>
            <w:tcBorders>
              <w:top w:val="nil"/>
              <w:left w:val="nil"/>
              <w:bottom w:val="nil"/>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960" w:type="dxa"/>
            <w:vMerge w:val="continue"/>
            <w:tcBorders>
              <w:top w:val="nil"/>
              <w:left w:val="single" w:color="000000" w:sz="4" w:space="0"/>
              <w:bottom w:val="single" w:color="000000" w:sz="4" w:space="0"/>
              <w:right w:val="single" w:color="000000" w:sz="4" w:space="0"/>
            </w:tcBorders>
            <w:shd w:val="clear" w:color="auto" w:fill="auto"/>
            <w:vAlign w:val="center"/>
          </w:tcPr>
          <w:p>
            <w:pPr>
              <w:jc w:val="left"/>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9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82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8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5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0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7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4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3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0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8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041" w:type="dxa"/>
        <w:tblInd w:w="93" w:type="dxa"/>
        <w:tblLayout w:type="fixed"/>
        <w:tblCellMar>
          <w:top w:w="0" w:type="dxa"/>
          <w:left w:w="108" w:type="dxa"/>
          <w:bottom w:w="0" w:type="dxa"/>
          <w:right w:w="108" w:type="dxa"/>
        </w:tblCellMar>
      </w:tblPr>
      <w:tblGrid>
        <w:gridCol w:w="500"/>
        <w:gridCol w:w="500"/>
        <w:gridCol w:w="500"/>
        <w:gridCol w:w="740"/>
        <w:gridCol w:w="2595"/>
        <w:gridCol w:w="992"/>
        <w:gridCol w:w="1033"/>
        <w:gridCol w:w="1180"/>
        <w:gridCol w:w="1180"/>
        <w:gridCol w:w="1427"/>
        <w:gridCol w:w="992"/>
        <w:gridCol w:w="1134"/>
        <w:gridCol w:w="867"/>
        <w:gridCol w:w="267"/>
        <w:gridCol w:w="1134"/>
      </w:tblGrid>
      <w:tr>
        <w:tblPrEx>
          <w:tblLayout w:type="fixed"/>
          <w:tblCellMar>
            <w:top w:w="0" w:type="dxa"/>
            <w:left w:w="108" w:type="dxa"/>
            <w:bottom w:w="0" w:type="dxa"/>
            <w:right w:w="108" w:type="dxa"/>
          </w:tblCellMar>
        </w:tblPrEx>
        <w:trPr>
          <w:trHeight w:val="285" w:hRule="atLeast"/>
        </w:trPr>
        <w:tc>
          <w:tcPr>
            <w:tcW w:w="15041" w:type="dxa"/>
            <w:gridSpan w:val="1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预算03表</w:t>
            </w:r>
          </w:p>
        </w:tc>
      </w:tr>
      <w:tr>
        <w:tblPrEx>
          <w:tblLayout w:type="fixed"/>
          <w:tblCellMar>
            <w:top w:w="0" w:type="dxa"/>
            <w:left w:w="108" w:type="dxa"/>
            <w:bottom w:w="0" w:type="dxa"/>
            <w:right w:w="108" w:type="dxa"/>
          </w:tblCellMar>
        </w:tblPrEx>
        <w:trPr>
          <w:trHeight w:val="570" w:hRule="atLeast"/>
        </w:trPr>
        <w:tc>
          <w:tcPr>
            <w:tcW w:w="15041" w:type="dxa"/>
            <w:gridSpan w:val="1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年部门支出</w:t>
            </w:r>
            <w:r>
              <w:rPr>
                <w:rFonts w:hint="eastAsia" w:ascii="宋体" w:hAnsi="宋体" w:cs="宋体"/>
                <w:b/>
                <w:bCs/>
                <w:kern w:val="0"/>
                <w:sz w:val="38"/>
                <w:szCs w:val="38"/>
                <w:highlight w:val="none"/>
                <w:lang w:eastAsia="zh-CN"/>
              </w:rPr>
              <w:t>总体情况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21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val="en-US" w:eastAsia="zh-CN"/>
              </w:rPr>
            </w:pPr>
            <w:r>
              <w:rPr>
                <w:rFonts w:hint="eastAsia" w:ascii="宋体" w:hAnsi="宋体" w:cs="宋体"/>
                <w:kern w:val="0"/>
                <w:sz w:val="18"/>
                <w:szCs w:val="18"/>
                <w:highlight w:val="none"/>
                <w:lang w:val="en-US" w:eastAsia="zh-CN"/>
              </w:rPr>
              <w:t xml:space="preserve"> 中共新乡市卫滨区委组织部  </w:t>
            </w:r>
          </w:p>
        </w:tc>
        <w:tc>
          <w:tcPr>
            <w:tcW w:w="1401" w:type="dxa"/>
            <w:gridSpan w:val="2"/>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5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9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812"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402" w:type="dxa"/>
            <w:gridSpan w:val="4"/>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419"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34" w:type="dxa"/>
            <w:gridSpan w:val="2"/>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34"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9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99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033"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427"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992"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gridSpan w:val="2"/>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34"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318.46</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005</w:t>
            </w: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318.46</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209.03</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209.03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179.97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其他组织事务支出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32.23</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32.23</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10.23</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其他共产党事务支出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2.98</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2.98</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2.98</w:t>
            </w: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213</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07</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对村民委员会和村党支部的补助</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10.21</w:t>
            </w:r>
          </w:p>
        </w:tc>
        <w:tc>
          <w:tcPr>
            <w:tcW w:w="1033"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10.21</w:t>
            </w: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10.21</w:t>
            </w: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427"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gridSpan w:val="2"/>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5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992"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318.46</w:t>
            </w:r>
          </w:p>
        </w:tc>
        <w:tc>
          <w:tcPr>
            <w:tcW w:w="1033"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42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99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1134"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3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tbl>
      <w:tblPr>
        <w:tblStyle w:val="8"/>
        <w:tblW w:w="10494" w:type="dxa"/>
        <w:tblInd w:w="-837" w:type="dxa"/>
        <w:tblLayout w:type="fixed"/>
        <w:tblCellMar>
          <w:top w:w="0" w:type="dxa"/>
          <w:left w:w="108" w:type="dxa"/>
          <w:bottom w:w="0" w:type="dxa"/>
          <w:right w:w="108" w:type="dxa"/>
        </w:tblCellMar>
      </w:tblPr>
      <w:tblGrid>
        <w:gridCol w:w="2115"/>
        <w:gridCol w:w="840"/>
        <w:gridCol w:w="2640"/>
        <w:gridCol w:w="1085"/>
        <w:gridCol w:w="1147"/>
        <w:gridCol w:w="1009"/>
        <w:gridCol w:w="736"/>
        <w:gridCol w:w="922"/>
      </w:tblGrid>
      <w:tr>
        <w:tblPrEx>
          <w:tblLayout w:type="fixed"/>
          <w:tblCellMar>
            <w:top w:w="0" w:type="dxa"/>
            <w:left w:w="108" w:type="dxa"/>
            <w:bottom w:w="0" w:type="dxa"/>
            <w:right w:w="108" w:type="dxa"/>
          </w:tblCellMar>
        </w:tblPrEx>
        <w:trPr>
          <w:trHeight w:val="315" w:hRule="atLeast"/>
        </w:trPr>
        <w:tc>
          <w:tcPr>
            <w:tcW w:w="10494" w:type="dxa"/>
            <w:gridSpan w:val="8"/>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预算04表</w:t>
            </w:r>
          </w:p>
        </w:tc>
      </w:tr>
      <w:tr>
        <w:tblPrEx>
          <w:tblLayout w:type="fixed"/>
          <w:tblCellMar>
            <w:top w:w="0" w:type="dxa"/>
            <w:left w:w="108" w:type="dxa"/>
            <w:bottom w:w="0" w:type="dxa"/>
            <w:right w:w="108" w:type="dxa"/>
          </w:tblCellMar>
        </w:tblPrEx>
        <w:trPr>
          <w:trHeight w:val="630" w:hRule="atLeast"/>
        </w:trPr>
        <w:tc>
          <w:tcPr>
            <w:tcW w:w="10494" w:type="dxa"/>
            <w:gridSpan w:val="8"/>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年财政拨款收支总体情况表</w:t>
            </w:r>
          </w:p>
        </w:tc>
      </w:tr>
      <w:tr>
        <w:tblPrEx>
          <w:tblLayout w:type="fixed"/>
          <w:tblCellMar>
            <w:top w:w="0" w:type="dxa"/>
            <w:left w:w="108" w:type="dxa"/>
            <w:bottom w:w="0" w:type="dxa"/>
            <w:right w:w="108" w:type="dxa"/>
          </w:tblCellMar>
        </w:tblPrEx>
        <w:trPr>
          <w:trHeight w:val="303" w:hRule="atLeast"/>
        </w:trPr>
        <w:tc>
          <w:tcPr>
            <w:tcW w:w="10494" w:type="dxa"/>
            <w:gridSpan w:val="8"/>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部门名称：</w:t>
            </w:r>
            <w:r>
              <w:rPr>
                <w:rFonts w:hint="eastAsia" w:ascii="宋体" w:hAnsi="宋体" w:cs="宋体"/>
                <w:kern w:val="0"/>
                <w:sz w:val="15"/>
                <w:szCs w:val="15"/>
                <w:highlight w:val="none"/>
                <w:lang w:eastAsia="zh-CN"/>
              </w:rPr>
              <w:t>中共新乡市卫滨区委组织部</w:t>
            </w: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313" w:hRule="atLeast"/>
        </w:trPr>
        <w:tc>
          <w:tcPr>
            <w:tcW w:w="29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收入  </w:t>
            </w:r>
          </w:p>
        </w:tc>
        <w:tc>
          <w:tcPr>
            <w:tcW w:w="7539" w:type="dxa"/>
            <w:gridSpan w:val="6"/>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支出  </w:t>
            </w:r>
          </w:p>
        </w:tc>
      </w:tr>
      <w:tr>
        <w:tblPrEx>
          <w:tblLayout w:type="fixed"/>
          <w:tblCellMar>
            <w:top w:w="0" w:type="dxa"/>
            <w:left w:w="108" w:type="dxa"/>
            <w:bottom w:w="0" w:type="dxa"/>
            <w:right w:w="108" w:type="dxa"/>
          </w:tblCellMar>
        </w:tblPrEx>
        <w:trPr>
          <w:trHeight w:val="313" w:hRule="atLeast"/>
        </w:trPr>
        <w:tc>
          <w:tcPr>
            <w:tcW w:w="211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8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金　额</w:t>
            </w:r>
          </w:p>
        </w:tc>
        <w:tc>
          <w:tcPr>
            <w:tcW w:w="2640"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项 目  </w:t>
            </w:r>
          </w:p>
        </w:tc>
        <w:tc>
          <w:tcPr>
            <w:tcW w:w="1085"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合计</w:t>
            </w:r>
          </w:p>
        </w:tc>
        <w:tc>
          <w:tcPr>
            <w:tcW w:w="2156" w:type="dxa"/>
            <w:gridSpan w:val="2"/>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一般公共预算  </w:t>
            </w:r>
          </w:p>
        </w:tc>
        <w:tc>
          <w:tcPr>
            <w:tcW w:w="736"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政府性基金  </w:t>
            </w:r>
          </w:p>
        </w:tc>
        <w:tc>
          <w:tcPr>
            <w:tcW w:w="922" w:type="dxa"/>
            <w:vMerge w:val="restar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r>
      <w:tr>
        <w:tblPrEx>
          <w:tblLayout w:type="fixed"/>
        </w:tblPrEx>
        <w:trPr>
          <w:trHeight w:val="313" w:hRule="atLeast"/>
        </w:trPr>
        <w:tc>
          <w:tcPr>
            <w:tcW w:w="211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8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2640"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085"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小计  </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36"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c>
          <w:tcPr>
            <w:tcW w:w="922" w:type="dxa"/>
            <w:vMerge w:val="continue"/>
            <w:tcBorders>
              <w:top w:val="nil"/>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一、本年收入</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295.04</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一、本年支出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318.46</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318.46</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300.81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295.04</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（一）一般公共服务支出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244.24</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244.24</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236.80</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其中：财政拨款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295.04</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（二）外交支出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9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7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（四）公共安全支出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二、上年结转</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23.42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（五）教育支出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（一）一般公共预算拨款</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23.42</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（六）科学技术支出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27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（二）政府性基金预算拨款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（七）文化体育旅游与传媒支出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1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（三）国有资本经营预算拨款</w:t>
            </w: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（八）社会保障和就业支出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28.71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28.71</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28.71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（九）医疗卫生与计划生育支出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（十）卫生健康支出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13.58</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13.58</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13.58</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（十一）节能环保支出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（十二）城乡社区事务支出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13"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（十三）农林水事务支出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10.21</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10.21</w:t>
            </w: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25"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（十四）交通运输支出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（十五）资源勘探信息等支出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（十六）商业服务业等支出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（十七）金融支出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（十九）援助其他地区支出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451"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（二十）自然资源海洋气象等支出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（二十一）住房保障支出</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21.72</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21.72</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21.72</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（二十二）粮油物资储备支出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（二十三）国有资本经营预算</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（二十四）灾害防治及应急管理</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（二十七）预备费</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（二十九）其他支出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（三十）转移性支出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（三十一）债务还本支出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（三十二）债务付息支出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（三十三）债务发行费用支出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616"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（三十四）抗疫特别国债安排的支出</w:t>
            </w:r>
          </w:p>
        </w:tc>
        <w:tc>
          <w:tcPr>
            <w:tcW w:w="108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4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84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二、年终结转结余</w:t>
            </w:r>
          </w:p>
        </w:tc>
        <w:tc>
          <w:tcPr>
            <w:tcW w:w="108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147"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1009"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5"/>
                <w:szCs w:val="15"/>
                <w:highlight w:val="none"/>
              </w:rPr>
            </w:pP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r>
        <w:tblPrEx>
          <w:tblLayout w:type="fixed"/>
          <w:tblCellMar>
            <w:top w:w="0" w:type="dxa"/>
            <w:left w:w="108" w:type="dxa"/>
            <w:bottom w:w="0" w:type="dxa"/>
            <w:right w:w="108" w:type="dxa"/>
          </w:tblCellMar>
        </w:tblPrEx>
        <w:trPr>
          <w:trHeight w:val="350" w:hRule="atLeast"/>
        </w:trPr>
        <w:tc>
          <w:tcPr>
            <w:tcW w:w="211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收入合计：</w:t>
            </w:r>
          </w:p>
        </w:tc>
        <w:tc>
          <w:tcPr>
            <w:tcW w:w="8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318.46</w:t>
            </w:r>
          </w:p>
        </w:tc>
        <w:tc>
          <w:tcPr>
            <w:tcW w:w="264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支出合计</w:t>
            </w:r>
          </w:p>
        </w:tc>
        <w:tc>
          <w:tcPr>
            <w:tcW w:w="108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318.46</w:t>
            </w:r>
          </w:p>
        </w:tc>
        <w:tc>
          <w:tcPr>
            <w:tcW w:w="1147"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318.46</w:t>
            </w:r>
          </w:p>
        </w:tc>
        <w:tc>
          <w:tcPr>
            <w:tcW w:w="1009"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300.81</w:t>
            </w:r>
          </w:p>
        </w:tc>
        <w:tc>
          <w:tcPr>
            <w:tcW w:w="736"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c>
          <w:tcPr>
            <w:tcW w:w="922"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320" w:type="dxa"/>
        <w:tblInd w:w="93" w:type="dxa"/>
        <w:tblLayout w:type="fixed"/>
        <w:tblCellMar>
          <w:top w:w="0" w:type="dxa"/>
          <w:left w:w="108" w:type="dxa"/>
          <w:bottom w:w="0" w:type="dxa"/>
          <w:right w:w="108" w:type="dxa"/>
        </w:tblCellMar>
      </w:tblPr>
      <w:tblGrid>
        <w:gridCol w:w="500"/>
        <w:gridCol w:w="500"/>
        <w:gridCol w:w="500"/>
        <w:gridCol w:w="740"/>
        <w:gridCol w:w="2460"/>
        <w:gridCol w:w="1180"/>
        <w:gridCol w:w="1180"/>
        <w:gridCol w:w="1180"/>
        <w:gridCol w:w="1180"/>
        <w:gridCol w:w="1180"/>
        <w:gridCol w:w="1180"/>
        <w:gridCol w:w="1180"/>
        <w:gridCol w:w="1180"/>
        <w:gridCol w:w="1180"/>
      </w:tblGrid>
      <w:tr>
        <w:tblPrEx>
          <w:tblLayout w:type="fixed"/>
          <w:tblCellMar>
            <w:top w:w="0" w:type="dxa"/>
            <w:left w:w="108" w:type="dxa"/>
            <w:bottom w:w="0" w:type="dxa"/>
            <w:right w:w="108" w:type="dxa"/>
          </w:tblCellMar>
        </w:tblPrEx>
        <w:trPr>
          <w:trHeight w:val="285" w:hRule="atLeast"/>
        </w:trPr>
        <w:tc>
          <w:tcPr>
            <w:tcW w:w="153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预算05表</w:t>
            </w:r>
          </w:p>
        </w:tc>
      </w:tr>
      <w:tr>
        <w:tblPrEx>
          <w:tblLayout w:type="fixed"/>
          <w:tblCellMar>
            <w:top w:w="0" w:type="dxa"/>
            <w:left w:w="108" w:type="dxa"/>
            <w:bottom w:w="0" w:type="dxa"/>
            <w:right w:w="108" w:type="dxa"/>
          </w:tblCellMar>
        </w:tblPrEx>
        <w:trPr>
          <w:trHeight w:val="570" w:hRule="atLeast"/>
        </w:trPr>
        <w:tc>
          <w:tcPr>
            <w:tcW w:w="15320" w:type="dxa"/>
            <w:gridSpan w:val="14"/>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年一般公共预算支出</w:t>
            </w:r>
            <w:r>
              <w:rPr>
                <w:rFonts w:hint="eastAsia" w:ascii="宋体" w:hAnsi="宋体" w:cs="宋体"/>
                <w:b/>
                <w:bCs/>
                <w:kern w:val="0"/>
                <w:sz w:val="38"/>
                <w:szCs w:val="38"/>
                <w:highlight w:val="none"/>
                <w:lang w:eastAsia="zh-CN"/>
              </w:rPr>
              <w:t>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00" w:type="dxa"/>
            <w:gridSpan w:val="3"/>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 部门名称：</w:t>
            </w:r>
          </w:p>
        </w:tc>
        <w:tc>
          <w:tcPr>
            <w:tcW w:w="12640" w:type="dxa"/>
            <w:gridSpan w:val="10"/>
            <w:tcBorders>
              <w:top w:val="nil"/>
              <w:left w:val="nil"/>
              <w:bottom w:val="nil"/>
              <w:right w:val="nil"/>
            </w:tcBorders>
            <w:shd w:val="clear" w:color="auto" w:fill="auto"/>
            <w:vAlign w:val="center"/>
          </w:tcPr>
          <w:p>
            <w:pPr>
              <w:widowControl/>
              <w:jc w:val="left"/>
              <w:rPr>
                <w:rFonts w:hint="eastAsia" w:ascii="宋体" w:hAnsi="宋体" w:eastAsia="宋体" w:cs="宋体"/>
                <w:kern w:val="0"/>
                <w:sz w:val="18"/>
                <w:szCs w:val="18"/>
                <w:highlight w:val="none"/>
                <w:lang w:eastAsia="zh-CN"/>
              </w:rPr>
            </w:pPr>
            <w:r>
              <w:rPr>
                <w:rFonts w:hint="eastAsia" w:ascii="宋体" w:hAnsi="宋体" w:cs="宋体"/>
                <w:kern w:val="0"/>
                <w:sz w:val="18"/>
                <w:szCs w:val="18"/>
                <w:highlight w:val="none"/>
                <w:lang w:val="en-US" w:eastAsia="zh-CN"/>
              </w:rPr>
              <w:t xml:space="preserve"> 中共新乡市卫滨区委组织部  </w:t>
            </w:r>
          </w:p>
        </w:tc>
        <w:tc>
          <w:tcPr>
            <w:tcW w:w="118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7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单位（科目名称）</w:t>
            </w:r>
          </w:p>
        </w:tc>
        <w:tc>
          <w:tcPr>
            <w:tcW w:w="11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5900"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 xml:space="preserve">基本支出  </w:t>
            </w:r>
          </w:p>
        </w:tc>
        <w:tc>
          <w:tcPr>
            <w:tcW w:w="3540"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500" w:type="dxa"/>
            <w:gridSpan w:val="3"/>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360"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其他运转类</w:t>
            </w:r>
          </w:p>
        </w:tc>
        <w:tc>
          <w:tcPr>
            <w:tcW w:w="1180" w:type="dxa"/>
            <w:vMerge w:val="restart"/>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特定目标类</w:t>
            </w:r>
          </w:p>
        </w:tc>
      </w:tr>
      <w:tr>
        <w:tblPrEx>
          <w:tblLayout w:type="fixed"/>
        </w:tblPrEx>
        <w:trPr>
          <w:trHeight w:val="6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款</w:t>
            </w:r>
          </w:p>
        </w:tc>
        <w:tc>
          <w:tcPr>
            <w:tcW w:w="50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w:t>
            </w:r>
          </w:p>
        </w:tc>
        <w:tc>
          <w:tcPr>
            <w:tcW w:w="7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工资福利支出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对个人和家庭的补助</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商品和服务支出</w:t>
            </w:r>
          </w:p>
        </w:tc>
        <w:tc>
          <w:tcPr>
            <w:tcW w:w="118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资本性支出</w:t>
            </w: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180" w:type="dxa"/>
            <w:vMerge w:val="continue"/>
            <w:tcBorders>
              <w:top w:val="nil"/>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005</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209.03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209.03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179.97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99</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其他组织事务支出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208</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机关事业单位基本养老保险缴费支出</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210</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行政单位医疗</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5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 xml:space="preserve"> </w:t>
            </w: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50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7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005</w:t>
            </w: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295.04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243.98</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201</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w:t>
            </w:r>
          </w:p>
        </w:tc>
        <w:tc>
          <w:tcPr>
            <w:tcW w:w="5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01</w:t>
            </w:r>
          </w:p>
        </w:tc>
        <w:tc>
          <w:tcPr>
            <w:tcW w:w="74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6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行政运行</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209.03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209.03</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179.97</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1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920" w:type="dxa"/>
        <w:tblInd w:w="93" w:type="dxa"/>
        <w:tblLayout w:type="fixed"/>
        <w:tblCellMar>
          <w:top w:w="0" w:type="dxa"/>
          <w:left w:w="108" w:type="dxa"/>
          <w:bottom w:w="0" w:type="dxa"/>
          <w:right w:w="108" w:type="dxa"/>
        </w:tblCellMar>
      </w:tblPr>
      <w:tblGrid>
        <w:gridCol w:w="500"/>
        <w:gridCol w:w="224"/>
        <w:gridCol w:w="276"/>
        <w:gridCol w:w="840"/>
        <w:gridCol w:w="585"/>
        <w:gridCol w:w="1393"/>
        <w:gridCol w:w="525"/>
        <w:gridCol w:w="480"/>
        <w:gridCol w:w="295"/>
        <w:gridCol w:w="1287"/>
        <w:gridCol w:w="131"/>
        <w:gridCol w:w="732"/>
        <w:gridCol w:w="915"/>
        <w:gridCol w:w="763"/>
        <w:gridCol w:w="47"/>
        <w:gridCol w:w="540"/>
        <w:gridCol w:w="240"/>
        <w:gridCol w:w="840"/>
        <w:gridCol w:w="459"/>
        <w:gridCol w:w="261"/>
        <w:gridCol w:w="947"/>
        <w:gridCol w:w="163"/>
        <w:gridCol w:w="472"/>
        <w:gridCol w:w="68"/>
        <w:gridCol w:w="690"/>
        <w:gridCol w:w="855"/>
        <w:gridCol w:w="513"/>
        <w:gridCol w:w="207"/>
        <w:gridCol w:w="672"/>
      </w:tblGrid>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4317" w:type="dxa"/>
            <w:gridSpan w:val="25"/>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预算06表</w:t>
            </w:r>
          </w:p>
        </w:tc>
      </w:tr>
      <w:tr>
        <w:tblPrEx>
          <w:tblLayout w:type="fixed"/>
          <w:tblCellMar>
            <w:top w:w="0" w:type="dxa"/>
            <w:left w:w="108" w:type="dxa"/>
            <w:bottom w:w="0" w:type="dxa"/>
            <w:right w:w="108" w:type="dxa"/>
          </w:tblCellMar>
        </w:tblPrEx>
        <w:trPr>
          <w:gridBefore w:val="2"/>
          <w:gridAfter w:val="2"/>
          <w:wBefore w:w="724" w:type="dxa"/>
          <w:wAfter w:w="879" w:type="dxa"/>
          <w:trHeight w:val="570" w:hRule="atLeast"/>
        </w:trPr>
        <w:tc>
          <w:tcPr>
            <w:tcW w:w="14317" w:type="dxa"/>
            <w:gridSpan w:val="25"/>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一般公共预算基本支出表</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116" w:type="dxa"/>
            <w:gridSpan w:val="2"/>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p>
        </w:tc>
        <w:tc>
          <w:tcPr>
            <w:tcW w:w="10440" w:type="dxa"/>
            <w:gridSpan w:val="17"/>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lang w:val="en-US" w:eastAsia="zh-CN"/>
              </w:rPr>
              <w:t xml:space="preserve">中共新乡市卫滨区委组织部  </w:t>
            </w:r>
          </w:p>
        </w:tc>
        <w:tc>
          <w:tcPr>
            <w:tcW w:w="2761" w:type="dxa"/>
            <w:gridSpan w:val="6"/>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43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部门预算支出经济分类科目</w:t>
            </w:r>
          </w:p>
        </w:tc>
        <w:tc>
          <w:tcPr>
            <w:tcW w:w="3828" w:type="dxa"/>
            <w:gridSpan w:val="5"/>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政府预算支出经济分类科目编码</w:t>
            </w:r>
          </w:p>
        </w:tc>
        <w:tc>
          <w:tcPr>
            <w:tcW w:w="6095" w:type="dxa"/>
            <w:gridSpan w:val="1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本年一般公共预算基本支出</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69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1418" w:type="dxa"/>
            <w:gridSpan w:val="2"/>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科目编码</w:t>
            </w:r>
          </w:p>
        </w:tc>
        <w:tc>
          <w:tcPr>
            <w:tcW w:w="2410" w:type="dxa"/>
            <w:gridSpan w:val="3"/>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科目名称</w:t>
            </w:r>
          </w:p>
        </w:tc>
        <w:tc>
          <w:tcPr>
            <w:tcW w:w="2126" w:type="dxa"/>
            <w:gridSpan w:val="5"/>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1843"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人员经费</w:t>
            </w:r>
          </w:p>
        </w:tc>
        <w:tc>
          <w:tcPr>
            <w:tcW w:w="2126" w:type="dxa"/>
            <w:gridSpan w:val="4"/>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公用经费</w:t>
            </w: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253.67</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退休费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50905</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30107</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绩效工资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50501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工资福利支出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32.20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32.20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奖金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14.70</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14.70</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基本工资</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96.74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96.74</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津贴补贴</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工资奖金津补贴</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36.33</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36.33</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30299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50299</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其他商品和服务支出</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0.21</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0.21</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30228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工会经费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2.37</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2.37</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30231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公务用车运行维护费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50208</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公务用车运行维护费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30201</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7.50</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7.50</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30239</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其他交通费用</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50201</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办公经费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8.19</w:t>
            </w:r>
          </w:p>
        </w:tc>
        <w:tc>
          <w:tcPr>
            <w:tcW w:w="1843"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8.19</w:t>
            </w:r>
          </w:p>
        </w:tc>
      </w:tr>
      <w:tr>
        <w:tblPrEx>
          <w:tblLayout w:type="fixed"/>
          <w:tblCellMar>
            <w:top w:w="0" w:type="dxa"/>
            <w:left w:w="108" w:type="dxa"/>
            <w:bottom w:w="0" w:type="dxa"/>
            <w:right w:w="108" w:type="dxa"/>
          </w:tblCellMar>
        </w:tblPrEx>
        <w:trPr>
          <w:gridBefore w:val="2"/>
          <w:gridAfter w:val="2"/>
          <w:wBefore w:w="724" w:type="dxa"/>
          <w:wAfter w:w="879" w:type="dxa"/>
          <w:trHeight w:val="454"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30108</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机关事业单位基本养老保险缴费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28.71</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30110</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职工基本医疗保险缴费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50102</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社会保障缴费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13.58</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30113</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50103</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住房公积金</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21.72</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合计</w:t>
            </w:r>
          </w:p>
        </w:tc>
        <w:tc>
          <w:tcPr>
            <w:tcW w:w="2693" w:type="dxa"/>
            <w:gridSpan w:val="4"/>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418" w:type="dxa"/>
            <w:gridSpan w:val="2"/>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410" w:type="dxa"/>
            <w:gridSpan w:val="3"/>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273.04</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253.67</w:t>
            </w:r>
          </w:p>
        </w:tc>
        <w:tc>
          <w:tcPr>
            <w:tcW w:w="2126"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19.37</w:t>
            </w:r>
          </w:p>
        </w:tc>
      </w:tr>
      <w:tr>
        <w:tblPrEx>
          <w:tblLayout w:type="fixed"/>
          <w:tblCellMar>
            <w:top w:w="0" w:type="dxa"/>
            <w:left w:w="108" w:type="dxa"/>
            <w:bottom w:w="0" w:type="dxa"/>
            <w:right w:w="108" w:type="dxa"/>
          </w:tblCellMar>
        </w:tblPrEx>
        <w:trPr>
          <w:gridBefore w:val="2"/>
          <w:gridAfter w:val="2"/>
          <w:wBefore w:w="724" w:type="dxa"/>
          <w:wAfter w:w="879" w:type="dxa"/>
          <w:trHeight w:val="285" w:hRule="atLeast"/>
        </w:trPr>
        <w:tc>
          <w:tcPr>
            <w:tcW w:w="1701"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30302</w:t>
            </w:r>
          </w:p>
        </w:tc>
        <w:tc>
          <w:tcPr>
            <w:tcW w:w="269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退休费</w:t>
            </w:r>
          </w:p>
        </w:tc>
        <w:tc>
          <w:tcPr>
            <w:tcW w:w="1418"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50905</w:t>
            </w:r>
          </w:p>
        </w:tc>
        <w:tc>
          <w:tcPr>
            <w:tcW w:w="2410"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离退休费</w:t>
            </w:r>
          </w:p>
        </w:tc>
        <w:tc>
          <w:tcPr>
            <w:tcW w:w="2126" w:type="dxa"/>
            <w:gridSpan w:val="5"/>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1843" w:type="dxa"/>
            <w:gridSpan w:val="4"/>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9.69</w:t>
            </w:r>
          </w:p>
        </w:tc>
        <w:tc>
          <w:tcPr>
            <w:tcW w:w="2126" w:type="dxa"/>
            <w:gridSpan w:val="4"/>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85" w:hRule="atLeast"/>
        </w:trPr>
        <w:tc>
          <w:tcPr>
            <w:tcW w:w="15920" w:type="dxa"/>
            <w:gridSpan w:val="29"/>
            <w:tcBorders>
              <w:top w:val="nil"/>
              <w:left w:val="nil"/>
              <w:bottom w:val="nil"/>
              <w:right w:val="nil"/>
            </w:tcBorders>
            <w:shd w:val="clear" w:color="auto" w:fill="auto"/>
            <w:vAlign w:val="center"/>
          </w:tcPr>
          <w:p>
            <w:pPr>
              <w:widowControl/>
              <w:jc w:val="both"/>
              <w:rPr>
                <w:rFonts w:hint="eastAsia" w:ascii="宋体" w:hAnsi="宋体" w:cs="宋体"/>
                <w:kern w:val="0"/>
                <w:sz w:val="18"/>
                <w:szCs w:val="18"/>
                <w:highlight w:val="none"/>
              </w:rPr>
            </w:pPr>
          </w:p>
          <w:p>
            <w:pPr>
              <w:widowControl/>
              <w:jc w:val="right"/>
              <w:rPr>
                <w:rFonts w:hint="eastAsia" w:ascii="宋体" w:hAnsi="宋体" w:cs="宋体"/>
                <w:kern w:val="0"/>
                <w:sz w:val="18"/>
                <w:szCs w:val="18"/>
                <w:highlight w:val="none"/>
              </w:rPr>
            </w:pPr>
          </w:p>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预算07表</w:t>
            </w:r>
          </w:p>
        </w:tc>
      </w:tr>
      <w:tr>
        <w:tblPrEx>
          <w:tblLayout w:type="fixed"/>
          <w:tblCellMar>
            <w:top w:w="0" w:type="dxa"/>
            <w:left w:w="108" w:type="dxa"/>
            <w:bottom w:w="0" w:type="dxa"/>
            <w:right w:w="108" w:type="dxa"/>
          </w:tblCellMar>
        </w:tblPrEx>
        <w:trPr>
          <w:trHeight w:val="783" w:hRule="atLeast"/>
        </w:trPr>
        <w:tc>
          <w:tcPr>
            <w:tcW w:w="15920" w:type="dxa"/>
            <w:gridSpan w:val="29"/>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年支出经济分类汇总表</w:t>
            </w:r>
          </w:p>
        </w:tc>
      </w:tr>
      <w:tr>
        <w:tblPrEx>
          <w:tblLayout w:type="fixed"/>
          <w:tblCellMar>
            <w:top w:w="0" w:type="dxa"/>
            <w:left w:w="108" w:type="dxa"/>
            <w:bottom w:w="0" w:type="dxa"/>
            <w:right w:w="108" w:type="dxa"/>
          </w:tblCellMar>
        </w:tblPrEx>
        <w:trPr>
          <w:trHeight w:val="325" w:hRule="atLeast"/>
        </w:trPr>
        <w:tc>
          <w:tcPr>
            <w:tcW w:w="3818" w:type="dxa"/>
            <w:gridSpan w:val="6"/>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left"/>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部门名称： </w:t>
            </w:r>
            <w:r>
              <w:rPr>
                <w:rFonts w:hint="eastAsia" w:ascii="宋体" w:hAnsi="宋体" w:cs="宋体"/>
                <w:kern w:val="0"/>
                <w:sz w:val="18"/>
                <w:szCs w:val="18"/>
                <w:highlight w:val="none"/>
                <w:lang w:val="en-US" w:eastAsia="zh-CN"/>
              </w:rPr>
              <w:t xml:space="preserve">中共新乡市卫滨区委组织部  </w:t>
            </w:r>
          </w:p>
        </w:tc>
        <w:tc>
          <w:tcPr>
            <w:tcW w:w="5715" w:type="dxa"/>
            <w:gridSpan w:val="10"/>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both"/>
              <w:textAlignment w:val="auto"/>
              <w:outlineLvl w:val="9"/>
              <w:rPr>
                <w:rFonts w:hint="eastAsia" w:ascii="宋体" w:hAnsi="宋体" w:cs="宋体"/>
                <w:kern w:val="0"/>
                <w:sz w:val="15"/>
                <w:szCs w:val="15"/>
                <w:highlight w:val="none"/>
              </w:rPr>
            </w:pPr>
          </w:p>
        </w:tc>
        <w:tc>
          <w:tcPr>
            <w:tcW w:w="6387" w:type="dxa"/>
            <w:gridSpan w:val="13"/>
            <w:tcBorders>
              <w:top w:val="nil"/>
              <w:left w:val="nil"/>
              <w:bottom w:val="nil"/>
              <w:right w:val="nil"/>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lang w:val="en-US" w:eastAsia="zh-CN"/>
              </w:rPr>
              <w:t xml:space="preserve">                                                                </w:t>
            </w:r>
            <w:r>
              <w:rPr>
                <w:rFonts w:hint="eastAsia" w:ascii="宋体" w:hAnsi="宋体" w:cs="宋体"/>
                <w:kern w:val="0"/>
                <w:sz w:val="15"/>
                <w:szCs w:val="15"/>
                <w:highlight w:val="none"/>
              </w:rPr>
              <w:t>单位：万元</w:t>
            </w:r>
          </w:p>
        </w:tc>
      </w:tr>
      <w:tr>
        <w:tblPrEx>
          <w:tblLayout w:type="fixed"/>
          <w:tblCellMar>
            <w:top w:w="0" w:type="dxa"/>
            <w:left w:w="108" w:type="dxa"/>
            <w:bottom w:w="0" w:type="dxa"/>
            <w:right w:w="108" w:type="dxa"/>
          </w:tblCellMar>
        </w:tblPrEx>
        <w:trPr>
          <w:trHeight w:val="285" w:hRule="atLeast"/>
        </w:trPr>
        <w:tc>
          <w:tcPr>
            <w:tcW w:w="38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部门预算经济分类  </w:t>
            </w:r>
          </w:p>
        </w:tc>
        <w:tc>
          <w:tcPr>
            <w:tcW w:w="2587" w:type="dxa"/>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政府预算经济分类</w:t>
            </w:r>
          </w:p>
        </w:tc>
        <w:tc>
          <w:tcPr>
            <w:tcW w:w="8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总计</w:t>
            </w:r>
          </w:p>
        </w:tc>
        <w:tc>
          <w:tcPr>
            <w:tcW w:w="1725" w:type="dxa"/>
            <w:gridSpan w:val="3"/>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一般公共预算</w:t>
            </w:r>
          </w:p>
        </w:tc>
        <w:tc>
          <w:tcPr>
            <w:tcW w:w="7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政府性基金</w:t>
            </w:r>
          </w:p>
        </w:tc>
        <w:tc>
          <w:tcPr>
            <w:tcW w:w="8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国有资本经营预算</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上年结转结余</w:t>
            </w:r>
          </w:p>
        </w:tc>
        <w:tc>
          <w:tcPr>
            <w:tcW w:w="11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财政专户管理资金收入</w:t>
            </w:r>
          </w:p>
        </w:tc>
        <w:tc>
          <w:tcPr>
            <w:tcW w:w="5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上级补助收入</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附属单位上缴收入</w:t>
            </w:r>
          </w:p>
        </w:tc>
        <w:tc>
          <w:tcPr>
            <w:tcW w:w="7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事业单位经营收入</w:t>
            </w:r>
          </w:p>
        </w:tc>
        <w:tc>
          <w:tcPr>
            <w:tcW w:w="6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其他收入  </w:t>
            </w:r>
          </w:p>
        </w:tc>
      </w:tr>
      <w:tr>
        <w:tblPrEx>
          <w:tblLayout w:type="fixed"/>
          <w:tblCellMar>
            <w:top w:w="0" w:type="dxa"/>
            <w:left w:w="108" w:type="dxa"/>
            <w:bottom w:w="0" w:type="dxa"/>
            <w:right w:w="108" w:type="dxa"/>
          </w:tblCellMar>
        </w:tblPrEx>
        <w:trPr>
          <w:trHeight w:val="5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 xml:space="preserve"> 类</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款</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科目名称</w:t>
            </w:r>
          </w:p>
        </w:tc>
        <w:tc>
          <w:tcPr>
            <w:tcW w:w="863"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小计</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r>
              <w:rPr>
                <w:rFonts w:hint="eastAsia" w:ascii="宋体" w:hAnsi="宋体" w:cs="宋体"/>
                <w:kern w:val="0"/>
                <w:sz w:val="15"/>
                <w:szCs w:val="15"/>
                <w:highlight w:val="none"/>
              </w:rPr>
              <w:t>其中：财政拨款</w:t>
            </w:r>
          </w:p>
        </w:tc>
        <w:tc>
          <w:tcPr>
            <w:tcW w:w="78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4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111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54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90"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855"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720" w:type="dxa"/>
            <w:gridSpan w:val="2"/>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c>
          <w:tcPr>
            <w:tcW w:w="672"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320" w:lineRule="exact"/>
              <w:ind w:left="0" w:leftChars="0" w:right="0" w:rightChars="0" w:firstLine="0" w:firstLineChars="0"/>
              <w:jc w:val="center"/>
              <w:textAlignment w:val="auto"/>
              <w:outlineLvl w:val="9"/>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27"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合计</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582"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318.46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295.04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295.04</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23.42</w:t>
            </w: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54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005</w:t>
            </w:r>
          </w:p>
        </w:tc>
        <w:tc>
          <w:tcPr>
            <w:tcW w:w="500"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525"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480" w:type="dxa"/>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1582" w:type="dxa"/>
            <w:gridSpan w:val="2"/>
            <w:tcBorders>
              <w:top w:val="nil"/>
              <w:left w:val="nil"/>
              <w:bottom w:val="single" w:color="000000" w:sz="4" w:space="0"/>
              <w:right w:val="single" w:color="000000" w:sz="4" w:space="0"/>
            </w:tcBorders>
            <w:shd w:val="clear" w:color="auto" w:fill="auto"/>
            <w:vAlign w:val="center"/>
          </w:tcPr>
          <w:p>
            <w:pPr>
              <w:jc w:val="center"/>
              <w:rPr>
                <w:rFonts w:hint="eastAsia" w:ascii="宋体" w:hAnsi="宋体" w:cs="宋体"/>
                <w:kern w:val="0"/>
                <w:sz w:val="15"/>
                <w:szCs w:val="15"/>
                <w:highlight w:val="none"/>
              </w:rPr>
            </w:pP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318.46</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295.04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295.04</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23.42</w:t>
            </w: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303</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退休费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05</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离退休费</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9.69</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9.69</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9.69</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07</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绩效工资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505</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工资福利支出</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32.20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32.20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32.20</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奖金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14.70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14.70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14.70</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基本工资</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96.74</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96.74</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96.74</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津贴补贴</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工资奖金津补贴</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36.33</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36.33</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36.33</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其他商品和服务支出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99</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其他商品和服务支出</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22.21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22.21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22.21</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工会经费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2.37</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2.37</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2.37</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公务用车运行维护费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08</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公务用车运行维护费</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1.10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1.10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1.10</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7.50</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7.50</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7.50</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302</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其他交通费用</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502</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01</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办公经费</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8.19</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8.19</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8.19</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399</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99</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其他支出</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599</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99</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其他支出</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23.42</w:t>
            </w:r>
          </w:p>
        </w:tc>
        <w:tc>
          <w:tcPr>
            <w:tcW w:w="91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23.42</w:t>
            </w: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64"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08</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机关事业单位基本养老保险缴费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社会保障缴费</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28.71</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28.71</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28.71</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285"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10</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职工基本医疗保险缴费</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02</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社会保障缴费</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13.58</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13.58</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13.58</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r>
        <w:tblPrEx>
          <w:tblLayout w:type="fixed"/>
          <w:tblCellMar>
            <w:top w:w="0" w:type="dxa"/>
            <w:left w:w="108" w:type="dxa"/>
            <w:bottom w:w="0" w:type="dxa"/>
            <w:right w:w="108" w:type="dxa"/>
          </w:tblCellMar>
        </w:tblPrEx>
        <w:trPr>
          <w:trHeight w:val="379" w:hRule="atLeast"/>
        </w:trPr>
        <w:tc>
          <w:tcPr>
            <w:tcW w:w="50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301</w:t>
            </w:r>
          </w:p>
        </w:tc>
        <w:tc>
          <w:tcPr>
            <w:tcW w:w="50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13</w:t>
            </w:r>
          </w:p>
        </w:tc>
        <w:tc>
          <w:tcPr>
            <w:tcW w:w="2818" w:type="dxa"/>
            <w:gridSpan w:val="3"/>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住房公积金</w:t>
            </w:r>
          </w:p>
        </w:tc>
        <w:tc>
          <w:tcPr>
            <w:tcW w:w="52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501</w:t>
            </w:r>
          </w:p>
        </w:tc>
        <w:tc>
          <w:tcPr>
            <w:tcW w:w="48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03</w:t>
            </w:r>
          </w:p>
        </w:tc>
        <w:tc>
          <w:tcPr>
            <w:tcW w:w="1582"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住房公积金</w:t>
            </w:r>
          </w:p>
        </w:tc>
        <w:tc>
          <w:tcPr>
            <w:tcW w:w="863"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21.72</w:t>
            </w:r>
          </w:p>
        </w:tc>
        <w:tc>
          <w:tcPr>
            <w:tcW w:w="9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21.72</w:t>
            </w:r>
          </w:p>
        </w:tc>
        <w:tc>
          <w:tcPr>
            <w:tcW w:w="810" w:type="dxa"/>
            <w:gridSpan w:val="2"/>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5"/>
                <w:szCs w:val="15"/>
                <w:highlight w:val="none"/>
              </w:rPr>
            </w:pPr>
            <w:r>
              <w:rPr>
                <w:rFonts w:ascii="宋体" w:hAnsi="宋体" w:eastAsia="宋体" w:cs="宋体"/>
                <w:i w:val="0"/>
                <w:color w:val="000000"/>
                <w:kern w:val="0"/>
                <w:sz w:val="18"/>
                <w:szCs w:val="18"/>
                <w:u w:val="none"/>
                <w:lang w:val="en-US" w:eastAsia="zh-CN" w:bidi="ar"/>
              </w:rPr>
              <w:t>21.72</w:t>
            </w:r>
          </w:p>
        </w:tc>
        <w:tc>
          <w:tcPr>
            <w:tcW w:w="78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4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111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54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90"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855"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720" w:type="dxa"/>
            <w:gridSpan w:val="2"/>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c>
          <w:tcPr>
            <w:tcW w:w="6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5"/>
                <w:szCs w:val="15"/>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3032" w:type="dxa"/>
        <w:tblInd w:w="1101" w:type="dxa"/>
        <w:tblLayout w:type="fixed"/>
        <w:tblCellMar>
          <w:top w:w="0" w:type="dxa"/>
          <w:left w:w="108" w:type="dxa"/>
          <w:bottom w:w="0" w:type="dxa"/>
          <w:right w:w="108" w:type="dxa"/>
        </w:tblCellMar>
      </w:tblPr>
      <w:tblGrid>
        <w:gridCol w:w="3252"/>
        <w:gridCol w:w="885"/>
        <w:gridCol w:w="1875"/>
        <w:gridCol w:w="2340"/>
        <w:gridCol w:w="2340"/>
        <w:gridCol w:w="2340"/>
      </w:tblGrid>
      <w:tr>
        <w:tblPrEx>
          <w:tblLayout w:type="fixed"/>
          <w:tblCellMar>
            <w:top w:w="0" w:type="dxa"/>
            <w:left w:w="108" w:type="dxa"/>
            <w:bottom w:w="0" w:type="dxa"/>
            <w:right w:w="108" w:type="dxa"/>
          </w:tblCellMar>
        </w:tblPrEx>
        <w:trPr>
          <w:trHeight w:val="285" w:hRule="atLeast"/>
        </w:trPr>
        <w:tc>
          <w:tcPr>
            <w:tcW w:w="13032"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预算08表</w:t>
            </w:r>
          </w:p>
        </w:tc>
      </w:tr>
      <w:tr>
        <w:tblPrEx>
          <w:tblLayout w:type="fixed"/>
          <w:tblCellMar>
            <w:top w:w="0" w:type="dxa"/>
            <w:left w:w="108" w:type="dxa"/>
            <w:bottom w:w="0" w:type="dxa"/>
            <w:right w:w="108" w:type="dxa"/>
          </w:tblCellMar>
        </w:tblPrEx>
        <w:trPr>
          <w:trHeight w:val="570" w:hRule="atLeast"/>
        </w:trPr>
        <w:tc>
          <w:tcPr>
            <w:tcW w:w="13032"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年一般公共预算“三公”经费</w:t>
            </w:r>
            <w:r>
              <w:rPr>
                <w:rFonts w:hint="eastAsia" w:ascii="宋体" w:hAnsi="宋体" w:cs="宋体"/>
                <w:b/>
                <w:bCs/>
                <w:kern w:val="0"/>
                <w:sz w:val="38"/>
                <w:szCs w:val="38"/>
                <w:highlight w:val="none"/>
                <w:lang w:eastAsia="zh-CN"/>
              </w:rPr>
              <w:t>支出情况</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3252" w:type="dxa"/>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中共新乡市卫滨区委组织部  </w:t>
            </w:r>
          </w:p>
        </w:tc>
        <w:tc>
          <w:tcPr>
            <w:tcW w:w="7440" w:type="dxa"/>
            <w:gridSpan w:val="4"/>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p>
        </w:tc>
        <w:tc>
          <w:tcPr>
            <w:tcW w:w="2340" w:type="dxa"/>
            <w:tcBorders>
              <w:top w:val="nil"/>
              <w:left w:val="nil"/>
              <w:bottom w:val="nil"/>
              <w:right w:val="nil"/>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32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“三公”经费合计</w:t>
            </w:r>
          </w:p>
        </w:tc>
        <w:tc>
          <w:tcPr>
            <w:tcW w:w="8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因公出国（境）费</w:t>
            </w:r>
          </w:p>
        </w:tc>
        <w:tc>
          <w:tcPr>
            <w:tcW w:w="655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公务用车购置及运行费</w:t>
            </w:r>
          </w:p>
        </w:tc>
        <w:tc>
          <w:tcPr>
            <w:tcW w:w="2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公务接待费</w:t>
            </w:r>
          </w:p>
        </w:tc>
      </w:tr>
      <w:tr>
        <w:tblPrEx>
          <w:tblLayout w:type="fixed"/>
          <w:tblCellMar>
            <w:top w:w="0" w:type="dxa"/>
            <w:left w:w="108" w:type="dxa"/>
            <w:bottom w:w="0" w:type="dxa"/>
            <w:right w:w="108" w:type="dxa"/>
          </w:tblCellMar>
        </w:tblPrEx>
        <w:trPr>
          <w:trHeight w:val="285" w:hRule="atLeast"/>
        </w:trPr>
        <w:tc>
          <w:tcPr>
            <w:tcW w:w="325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5"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小计</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公务用车购置费</w:t>
            </w:r>
          </w:p>
        </w:tc>
        <w:tc>
          <w:tcPr>
            <w:tcW w:w="234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公务用车运行费</w:t>
            </w:r>
          </w:p>
        </w:tc>
        <w:tc>
          <w:tcPr>
            <w:tcW w:w="234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3252"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1.10</w:t>
            </w:r>
          </w:p>
        </w:tc>
        <w:tc>
          <w:tcPr>
            <w:tcW w:w="885"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187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1.10</w:t>
            </w:r>
          </w:p>
        </w:tc>
        <w:tc>
          <w:tcPr>
            <w:tcW w:w="23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c>
          <w:tcPr>
            <w:tcW w:w="234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1.10</w:t>
            </w:r>
          </w:p>
        </w:tc>
        <w:tc>
          <w:tcPr>
            <w:tcW w:w="2340" w:type="dxa"/>
            <w:tcBorders>
              <w:top w:val="nil"/>
              <w:left w:val="nil"/>
              <w:bottom w:val="single" w:color="000000" w:sz="4" w:space="0"/>
              <w:right w:val="single" w:color="000000" w:sz="4" w:space="0"/>
            </w:tcBorders>
            <w:shd w:val="clear" w:color="auto" w:fill="auto"/>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448" w:hRule="atLeast"/>
        </w:trPr>
        <w:tc>
          <w:tcPr>
            <w:tcW w:w="13032" w:type="dxa"/>
            <w:gridSpan w:val="6"/>
            <w:tcBorders>
              <w:top w:val="nil"/>
              <w:left w:val="nil"/>
              <w:bottom w:val="nil"/>
              <w:right w:val="nil"/>
            </w:tcBorders>
            <w:shd w:val="clear" w:color="auto" w:fill="auto"/>
            <w:vAlign w:val="center"/>
          </w:tcPr>
          <w:p>
            <w:pPr>
              <w:widowControl/>
              <w:jc w:val="left"/>
              <w:rPr>
                <w:rFonts w:ascii="宋体" w:hAnsi="宋体" w:cs="宋体"/>
                <w:kern w:val="0"/>
                <w:sz w:val="18"/>
                <w:szCs w:val="18"/>
                <w:highlight w:val="none"/>
              </w:rPr>
            </w:pPr>
            <w:r>
              <w:rPr>
                <w:rFonts w:hint="eastAsia" w:ascii="宋体" w:hAnsi="宋体" w:cs="宋体"/>
                <w:kern w:val="0"/>
                <w:sz w:val="18"/>
                <w:szCs w:val="18"/>
                <w:highlight w:val="none"/>
              </w:rPr>
              <w:t>注：按照党中央、国务院有关规定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pPr w:leftFromText="180" w:rightFromText="180" w:vertAnchor="text" w:horzAnchor="page" w:tblpX="916" w:tblpY="357"/>
        <w:tblOverlap w:val="never"/>
        <w:tblW w:w="15270" w:type="dxa"/>
        <w:tblInd w:w="0" w:type="dxa"/>
        <w:tblLayout w:type="fixed"/>
        <w:tblCellMar>
          <w:top w:w="0" w:type="dxa"/>
          <w:left w:w="108" w:type="dxa"/>
          <w:bottom w:w="0" w:type="dxa"/>
          <w:right w:w="108" w:type="dxa"/>
        </w:tblCellMar>
      </w:tblPr>
      <w:tblGrid>
        <w:gridCol w:w="495"/>
        <w:gridCol w:w="495"/>
        <w:gridCol w:w="495"/>
        <w:gridCol w:w="735"/>
        <w:gridCol w:w="2460"/>
        <w:gridCol w:w="1170"/>
        <w:gridCol w:w="1170"/>
        <w:gridCol w:w="1170"/>
        <w:gridCol w:w="1170"/>
        <w:gridCol w:w="1170"/>
        <w:gridCol w:w="1170"/>
        <w:gridCol w:w="1170"/>
        <w:gridCol w:w="1170"/>
        <w:gridCol w:w="1230"/>
      </w:tblGrid>
      <w:tr>
        <w:tblPrEx>
          <w:tblLayout w:type="fixed"/>
          <w:tblCellMar>
            <w:top w:w="0" w:type="dxa"/>
            <w:left w:w="108" w:type="dxa"/>
            <w:bottom w:w="0" w:type="dxa"/>
            <w:right w:w="108" w:type="dxa"/>
          </w:tblCellMar>
        </w:tblPrEx>
        <w:trPr>
          <w:trHeight w:val="285" w:hRule="atLeast"/>
        </w:trPr>
        <w:tc>
          <w:tcPr>
            <w:tcW w:w="15270" w:type="dxa"/>
            <w:gridSpan w:val="14"/>
            <w:tcBorders>
              <w:top w:val="nil"/>
              <w:left w:val="nil"/>
              <w:bottom w:val="nil"/>
              <w:right w:val="nil"/>
            </w:tcBorders>
            <w:shd w:val="clear" w:color="auto" w:fill="auto"/>
            <w:vAlign w:val="center"/>
          </w:tcPr>
          <w:p>
            <w:pPr>
              <w:widowControl/>
              <w:jc w:val="right"/>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预算09表</w:t>
            </w:r>
          </w:p>
        </w:tc>
      </w:tr>
      <w:tr>
        <w:tblPrEx>
          <w:tblLayout w:type="fixed"/>
          <w:tblCellMar>
            <w:top w:w="0" w:type="dxa"/>
            <w:left w:w="108" w:type="dxa"/>
            <w:bottom w:w="0" w:type="dxa"/>
            <w:right w:w="108" w:type="dxa"/>
          </w:tblCellMar>
        </w:tblPrEx>
        <w:trPr>
          <w:trHeight w:val="570" w:hRule="atLeast"/>
        </w:trPr>
        <w:tc>
          <w:tcPr>
            <w:tcW w:w="15270" w:type="dxa"/>
            <w:gridSpan w:val="14"/>
            <w:tcBorders>
              <w:top w:val="nil"/>
              <w:left w:val="nil"/>
              <w:bottom w:val="nil"/>
              <w:right w:val="nil"/>
            </w:tcBorders>
            <w:shd w:val="clear" w:color="auto" w:fill="auto"/>
            <w:vAlign w:val="center"/>
          </w:tcPr>
          <w:p>
            <w:pPr>
              <w:widowControl/>
              <w:jc w:val="center"/>
              <w:textAlignment w:val="center"/>
              <w:rPr>
                <w:rFonts w:ascii="宋体" w:hAnsi="宋体" w:cs="宋体"/>
                <w:b/>
                <w:bCs/>
                <w:color w:val="000000"/>
                <w:sz w:val="38"/>
                <w:szCs w:val="38"/>
                <w:highlight w:val="none"/>
              </w:rPr>
            </w:pPr>
            <w:r>
              <w:rPr>
                <w:rFonts w:ascii="宋体" w:hAnsi="宋体" w:cs="宋体"/>
                <w:b/>
                <w:bCs/>
                <w:color w:val="000000"/>
                <w:kern w:val="0"/>
                <w:sz w:val="38"/>
                <w:szCs w:val="38"/>
                <w:highlight w:val="none"/>
              </w:rPr>
              <w:t>202</w:t>
            </w:r>
            <w:r>
              <w:rPr>
                <w:rFonts w:hint="eastAsia" w:ascii="宋体" w:hAnsi="宋体" w:cs="宋体"/>
                <w:b/>
                <w:bCs/>
                <w:color w:val="000000"/>
                <w:kern w:val="0"/>
                <w:sz w:val="38"/>
                <w:szCs w:val="38"/>
                <w:highlight w:val="none"/>
                <w:lang w:val="en-US" w:eastAsia="zh-CN"/>
              </w:rPr>
              <w:t>4</w:t>
            </w:r>
            <w:r>
              <w:rPr>
                <w:rFonts w:ascii="宋体" w:hAnsi="宋体" w:cs="宋体"/>
                <w:b/>
                <w:bCs/>
                <w:color w:val="000000"/>
                <w:kern w:val="0"/>
                <w:sz w:val="38"/>
                <w:szCs w:val="38"/>
                <w:highlight w:val="none"/>
              </w:rPr>
              <w:t>年政府性基金</w:t>
            </w:r>
            <w:r>
              <w:rPr>
                <w:rFonts w:hint="eastAsia" w:ascii="宋体" w:hAnsi="宋体" w:cs="宋体"/>
                <w:b/>
                <w:bCs/>
                <w:color w:val="000000"/>
                <w:kern w:val="0"/>
                <w:sz w:val="38"/>
                <w:szCs w:val="38"/>
                <w:highlight w:val="none"/>
                <w:lang w:eastAsia="zh-CN"/>
              </w:rPr>
              <w:t>预算</w:t>
            </w:r>
            <w:r>
              <w:rPr>
                <w:rFonts w:ascii="宋体" w:hAnsi="宋体" w:cs="宋体"/>
                <w:b/>
                <w:bCs/>
                <w:color w:val="000000"/>
                <w:kern w:val="0"/>
                <w:sz w:val="38"/>
                <w:szCs w:val="38"/>
                <w:highlight w:val="none"/>
              </w:rPr>
              <w:t>支出</w:t>
            </w:r>
            <w:r>
              <w:rPr>
                <w:rFonts w:hint="eastAsia" w:ascii="宋体" w:hAnsi="宋体" w:cs="宋体"/>
                <w:b/>
                <w:bCs/>
                <w:color w:val="000000"/>
                <w:kern w:val="0"/>
                <w:sz w:val="38"/>
                <w:szCs w:val="38"/>
                <w:highlight w:val="none"/>
                <w:lang w:eastAsia="zh-CN"/>
              </w:rPr>
              <w:t>情况</w:t>
            </w:r>
            <w:r>
              <w:rPr>
                <w:rFonts w:ascii="宋体" w:hAnsi="宋体" w:cs="宋体"/>
                <w:b/>
                <w:bCs/>
                <w:color w:val="000000"/>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485" w:type="dxa"/>
            <w:gridSpan w:val="3"/>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部门名称：</w:t>
            </w:r>
          </w:p>
        </w:tc>
        <w:tc>
          <w:tcPr>
            <w:tcW w:w="12555" w:type="dxa"/>
            <w:gridSpan w:val="10"/>
            <w:tcBorders>
              <w:top w:val="nil"/>
              <w:left w:val="nil"/>
              <w:bottom w:val="nil"/>
              <w:right w:val="nil"/>
            </w:tcBorders>
            <w:shd w:val="clear" w:color="auto" w:fill="auto"/>
            <w:vAlign w:val="center"/>
          </w:tcPr>
          <w:p>
            <w:pPr>
              <w:widowControl/>
              <w:jc w:val="left"/>
              <w:textAlignment w:val="center"/>
              <w:rPr>
                <w:rFonts w:ascii="宋体" w:hAnsi="宋体" w:cs="宋体"/>
                <w:color w:val="000000"/>
                <w:sz w:val="18"/>
                <w:szCs w:val="18"/>
                <w:highlight w:val="none"/>
              </w:rPr>
            </w:pPr>
            <w:r>
              <w:rPr>
                <w:rFonts w:hint="eastAsia" w:ascii="宋体" w:hAnsi="宋体" w:cs="宋体"/>
                <w:kern w:val="0"/>
                <w:sz w:val="18"/>
                <w:szCs w:val="18"/>
                <w:highlight w:val="none"/>
                <w:lang w:val="en-US" w:eastAsia="zh-CN"/>
              </w:rPr>
              <w:t xml:space="preserve">中共新乡市卫滨区委组织部  </w:t>
            </w:r>
          </w:p>
        </w:tc>
        <w:tc>
          <w:tcPr>
            <w:tcW w:w="1230" w:type="dxa"/>
            <w:tcBorders>
              <w:top w:val="nil"/>
              <w:left w:val="nil"/>
              <w:bottom w:val="nil"/>
              <w:right w:val="nil"/>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48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科目编码</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单位代码</w:t>
            </w:r>
          </w:p>
        </w:tc>
        <w:tc>
          <w:tcPr>
            <w:tcW w:w="24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单位（科目名称）</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基本支出  </w:t>
            </w:r>
          </w:p>
        </w:tc>
        <w:tc>
          <w:tcPr>
            <w:tcW w:w="357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项目支出</w:t>
            </w:r>
          </w:p>
        </w:tc>
      </w:tr>
      <w:tr>
        <w:tblPrEx>
          <w:tblLayout w:type="fixed"/>
          <w:tblCellMar>
            <w:top w:w="0" w:type="dxa"/>
            <w:left w:w="108" w:type="dxa"/>
            <w:bottom w:w="0" w:type="dxa"/>
            <w:right w:w="108" w:type="dxa"/>
          </w:tblCellMar>
        </w:tblPrEx>
        <w:trPr>
          <w:trHeight w:val="285" w:hRule="atLeast"/>
        </w:trPr>
        <w:tc>
          <w:tcPr>
            <w:tcW w:w="148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人员经费</w:t>
            </w:r>
          </w:p>
        </w:tc>
        <w:tc>
          <w:tcPr>
            <w:tcW w:w="2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公用经费</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小计</w:t>
            </w:r>
          </w:p>
        </w:tc>
        <w:tc>
          <w:tcPr>
            <w:tcW w:w="1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其他运转类</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特定目标类</w:t>
            </w:r>
          </w:p>
        </w:tc>
      </w:tr>
      <w:tr>
        <w:tblPrEx>
          <w:tblLayout w:type="fixed"/>
          <w:tblCellMar>
            <w:top w:w="0" w:type="dxa"/>
            <w:left w:w="108" w:type="dxa"/>
            <w:bottom w:w="0" w:type="dxa"/>
            <w:right w:w="108" w:type="dxa"/>
          </w:tblCellMar>
        </w:tblPrEx>
        <w:trPr>
          <w:trHeight w:val="679"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类</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款</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项</w:t>
            </w: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工资福利支出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对个人和家庭的补助</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商品和服务支出</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资本性支出</w:t>
            </w: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1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 xml:space="preserve"> </w:t>
            </w: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18"/>
                <w:szCs w:val="18"/>
                <w:highlight w:val="none"/>
              </w:rPr>
            </w:pPr>
            <w:r>
              <w:rPr>
                <w:rFonts w:ascii="宋体" w:hAnsi="宋体" w:cs="宋体"/>
                <w:color w:val="000000"/>
                <w:kern w:val="0"/>
                <w:sz w:val="18"/>
                <w:szCs w:val="18"/>
                <w:highlight w:val="none"/>
              </w:rPr>
              <w:t>合计</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52"/>
              </w:tabs>
              <w:jc w:val="lef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r>
        <w:tblPrEx>
          <w:tblLayout w:type="fixed"/>
          <w:tblCellMar>
            <w:top w:w="0" w:type="dxa"/>
            <w:left w:w="108" w:type="dxa"/>
            <w:bottom w:w="0" w:type="dxa"/>
            <w:right w:w="108" w:type="dxa"/>
          </w:tblCellMar>
        </w:tblPrEx>
        <w:trPr>
          <w:trHeight w:val="285" w:hRule="atLeast"/>
        </w:trPr>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49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246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c>
          <w:tcPr>
            <w:tcW w:w="12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ascii="宋体" w:hAnsi="宋体" w:cs="宋体"/>
                <w:color w:val="000000"/>
                <w:sz w:val="18"/>
                <w:szCs w:val="18"/>
                <w:highlight w:val="none"/>
              </w:rPr>
            </w:pPr>
          </w:p>
        </w:tc>
      </w:tr>
    </w:tbl>
    <w:p>
      <w:pPr>
        <w:kinsoku w:val="0"/>
        <w:overflowPunct w:val="0"/>
        <w:adjustRightInd w:val="0"/>
        <w:snapToGrid w:val="0"/>
        <w:spacing w:line="360" w:lineRule="auto"/>
        <w:ind w:right="51"/>
        <w:jc w:val="left"/>
        <w:rPr>
          <w:rFonts w:ascii="仿宋_GB2312" w:eastAsia="仿宋_GB2312"/>
          <w:sz w:val="32"/>
          <w:szCs w:val="32"/>
          <w:highlight w:val="none"/>
        </w:rPr>
      </w:pPr>
    </w:p>
    <w:p>
      <w:pPr>
        <w:kinsoku w:val="0"/>
        <w:overflowPunct w:val="0"/>
        <w:adjustRightInd w:val="0"/>
        <w:snapToGrid w:val="0"/>
        <w:spacing w:line="360" w:lineRule="auto"/>
        <w:ind w:right="51"/>
        <w:jc w:val="left"/>
        <w:rPr>
          <w:rFonts w:ascii="黑体" w:hAnsi="Times New Roman" w:eastAsia="黑体" w:cs="黑体"/>
          <w:color w:val="auto"/>
          <w:sz w:val="22"/>
          <w:szCs w:val="22"/>
          <w:highlight w:val="none"/>
          <w:shd w:val="clear" w:color="auto" w:fill="auto"/>
        </w:rPr>
      </w:pPr>
      <w:r>
        <w:rPr>
          <w:rFonts w:hint="eastAsia" w:ascii="宋体" w:hAnsi="宋体" w:cs="宋体"/>
          <w:kern w:val="0"/>
          <w:sz w:val="18"/>
          <w:szCs w:val="18"/>
          <w:highlight w:val="none"/>
          <w:lang w:eastAsia="zh-CN"/>
        </w:rPr>
        <w:t>说明：</w:t>
      </w:r>
      <w:r>
        <w:rPr>
          <w:rFonts w:hint="eastAsia" w:asciiTheme="majorEastAsia" w:hAnsiTheme="majorEastAsia" w:eastAsiaTheme="majorEastAsia" w:cstheme="majorEastAsia"/>
          <w:color w:val="auto"/>
          <w:kern w:val="2"/>
          <w:sz w:val="20"/>
          <w:szCs w:val="20"/>
          <w:highlight w:val="none"/>
          <w:shd w:val="clear" w:color="auto" w:fill="auto"/>
          <w:lang w:val="en-US" w:eastAsia="zh-CN" w:bidi="ar-SA"/>
        </w:rPr>
        <w:t>我们单位没有政府性基金收入，也没有使用政府性基金安排支出，故此表无数据。</w:t>
      </w: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15468" w:type="dxa"/>
        <w:tblInd w:w="0" w:type="dxa"/>
        <w:tblLayout w:type="fixed"/>
        <w:tblCellMar>
          <w:top w:w="0" w:type="dxa"/>
          <w:left w:w="108" w:type="dxa"/>
          <w:bottom w:w="0" w:type="dxa"/>
          <w:right w:w="108" w:type="dxa"/>
        </w:tblCellMar>
      </w:tblPr>
      <w:tblGrid>
        <w:gridCol w:w="1353"/>
        <w:gridCol w:w="2130"/>
        <w:gridCol w:w="1871"/>
        <w:gridCol w:w="864"/>
        <w:gridCol w:w="898"/>
        <w:gridCol w:w="1120"/>
        <w:gridCol w:w="1281"/>
        <w:gridCol w:w="1241"/>
        <w:gridCol w:w="1779"/>
        <w:gridCol w:w="1185"/>
        <w:gridCol w:w="864"/>
        <w:gridCol w:w="882"/>
      </w:tblGrid>
      <w:tr>
        <w:tblPrEx>
          <w:tblLayout w:type="fixed"/>
          <w:tblCellMar>
            <w:top w:w="0" w:type="dxa"/>
            <w:left w:w="108" w:type="dxa"/>
            <w:bottom w:w="0" w:type="dxa"/>
            <w:right w:w="108" w:type="dxa"/>
          </w:tblCellMar>
        </w:tblPrEx>
        <w:trPr>
          <w:trHeight w:val="285" w:hRule="atLeast"/>
        </w:trPr>
        <w:tc>
          <w:tcPr>
            <w:tcW w:w="15468" w:type="dxa"/>
            <w:gridSpan w:val="12"/>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预算10表</w:t>
            </w:r>
          </w:p>
        </w:tc>
      </w:tr>
      <w:tr>
        <w:tblPrEx>
          <w:tblLayout w:type="fixed"/>
          <w:tblCellMar>
            <w:top w:w="0" w:type="dxa"/>
            <w:left w:w="108" w:type="dxa"/>
            <w:bottom w:w="0" w:type="dxa"/>
            <w:right w:w="108" w:type="dxa"/>
          </w:tblCellMar>
        </w:tblPrEx>
        <w:trPr>
          <w:trHeight w:val="429" w:hRule="atLeast"/>
        </w:trPr>
        <w:tc>
          <w:tcPr>
            <w:tcW w:w="15468" w:type="dxa"/>
            <w:gridSpan w:val="12"/>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lang w:val="en-US" w:eastAsia="zh-CN"/>
              </w:rPr>
              <w:t>2024年</w:t>
            </w:r>
            <w:r>
              <w:rPr>
                <w:rFonts w:hint="eastAsia" w:ascii="宋体" w:hAnsi="宋体" w:cs="宋体"/>
                <w:b/>
                <w:bCs/>
                <w:kern w:val="0"/>
                <w:sz w:val="38"/>
                <w:szCs w:val="38"/>
                <w:highlight w:val="none"/>
              </w:rPr>
              <w:t>项目支出表</w:t>
            </w:r>
          </w:p>
        </w:tc>
      </w:tr>
      <w:tr>
        <w:tblPrEx>
          <w:tblLayout w:type="fixed"/>
          <w:tblCellMar>
            <w:top w:w="0" w:type="dxa"/>
            <w:left w:w="108" w:type="dxa"/>
            <w:bottom w:w="0" w:type="dxa"/>
            <w:right w:w="108" w:type="dxa"/>
          </w:tblCellMar>
        </w:tblPrEx>
        <w:trPr>
          <w:trHeight w:val="285" w:hRule="atLeast"/>
        </w:trPr>
        <w:tc>
          <w:tcPr>
            <w:tcW w:w="15468" w:type="dxa"/>
            <w:gridSpan w:val="12"/>
            <w:tcBorders>
              <w:top w:val="nil"/>
              <w:left w:val="nil"/>
              <w:bottom w:val="nil"/>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中共新乡市卫滨区委组织部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13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类型</w:t>
            </w:r>
          </w:p>
        </w:tc>
        <w:tc>
          <w:tcPr>
            <w:tcW w:w="2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项目名称</w:t>
            </w:r>
          </w:p>
        </w:tc>
        <w:tc>
          <w:tcPr>
            <w:tcW w:w="1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项目单位</w:t>
            </w: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合计</w:t>
            </w:r>
          </w:p>
        </w:tc>
        <w:tc>
          <w:tcPr>
            <w:tcW w:w="3299"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本年拨款</w:t>
            </w:r>
          </w:p>
        </w:tc>
        <w:tc>
          <w:tcPr>
            <w:tcW w:w="4205" w:type="dxa"/>
            <w:gridSpan w:val="3"/>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财政拨款结转结余</w:t>
            </w: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8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单位资金</w:t>
            </w:r>
          </w:p>
        </w:tc>
      </w:tr>
      <w:tr>
        <w:tblPrEx>
          <w:tblLayout w:type="fixed"/>
          <w:tblCellMar>
            <w:top w:w="0" w:type="dxa"/>
            <w:left w:w="108" w:type="dxa"/>
            <w:bottom w:w="0" w:type="dxa"/>
            <w:right w:w="108" w:type="dxa"/>
          </w:tblCellMar>
        </w:tblPrEx>
        <w:trPr>
          <w:trHeight w:val="454" w:hRule="atLeast"/>
        </w:trPr>
        <w:tc>
          <w:tcPr>
            <w:tcW w:w="1353"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3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871"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6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98"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120"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28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1241"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一般公共预算</w:t>
            </w:r>
          </w:p>
        </w:tc>
        <w:tc>
          <w:tcPr>
            <w:tcW w:w="1779"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政府性基金预算</w:t>
            </w:r>
          </w:p>
        </w:tc>
        <w:tc>
          <w:tcPr>
            <w:tcW w:w="1185"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宋体"/>
                <w:kern w:val="0"/>
                <w:sz w:val="18"/>
                <w:szCs w:val="18"/>
                <w:highlight w:val="none"/>
              </w:rPr>
            </w:pPr>
            <w:r>
              <w:rPr>
                <w:rFonts w:hint="eastAsia" w:ascii="宋体" w:hAnsi="宋体" w:cs="宋体"/>
                <w:kern w:val="0"/>
                <w:sz w:val="18"/>
                <w:szCs w:val="18"/>
                <w:highlight w:val="none"/>
              </w:rPr>
              <w:t>国有资本经营预算</w:t>
            </w:r>
          </w:p>
        </w:tc>
        <w:tc>
          <w:tcPr>
            <w:tcW w:w="864"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882"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r>
      <w:tr>
        <w:tblPrEx>
          <w:tblLayout w:type="fixed"/>
        </w:tblPrEx>
        <w:trPr>
          <w:trHeight w:val="285" w:hRule="atLeast"/>
        </w:trPr>
        <w:tc>
          <w:tcPr>
            <w:tcW w:w="1353"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30"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1871" w:type="dxa"/>
            <w:tcBorders>
              <w:top w:val="nil"/>
              <w:left w:val="nil"/>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8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8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177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6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8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89" w:hRule="atLeast"/>
        </w:trPr>
        <w:tc>
          <w:tcPr>
            <w:tcW w:w="1353" w:type="dxa"/>
            <w:tcBorders>
              <w:top w:val="nil"/>
              <w:left w:val="single" w:color="000000" w:sz="4" w:space="0"/>
              <w:bottom w:val="single" w:color="000000" w:sz="4" w:space="0"/>
              <w:right w:val="single" w:color="000000" w:sz="4" w:space="0"/>
            </w:tcBorders>
            <w:shd w:val="clear" w:color="auto" w:fill="auto"/>
            <w:vAlign w:val="center"/>
          </w:tcPr>
          <w:p>
            <w:pPr>
              <w:rPr>
                <w:rFonts w:ascii="宋体" w:hAnsi="宋体" w:cs="宋体"/>
                <w:kern w:val="0"/>
                <w:sz w:val="18"/>
                <w:szCs w:val="18"/>
                <w:highlight w:val="none"/>
              </w:rPr>
            </w:pPr>
          </w:p>
        </w:tc>
        <w:tc>
          <w:tcPr>
            <w:tcW w:w="213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005</w:t>
            </w:r>
          </w:p>
        </w:tc>
        <w:tc>
          <w:tcPr>
            <w:tcW w:w="18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8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22.00</w:t>
            </w:r>
          </w:p>
        </w:tc>
        <w:tc>
          <w:tcPr>
            <w:tcW w:w="11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4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23.42</w:t>
            </w:r>
          </w:p>
        </w:tc>
        <w:tc>
          <w:tcPr>
            <w:tcW w:w="177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6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8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39" w:hRule="atLeast"/>
        </w:trPr>
        <w:tc>
          <w:tcPr>
            <w:tcW w:w="135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213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组织业务工作</w:t>
            </w:r>
          </w:p>
        </w:tc>
        <w:tc>
          <w:tcPr>
            <w:tcW w:w="187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898"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1120"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41"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779"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5"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64"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82" w:type="dxa"/>
            <w:tcBorders>
              <w:top w:val="nil"/>
              <w:left w:val="nil"/>
              <w:bottom w:val="single" w:color="000000"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438" w:hRule="atLeast"/>
        </w:trPr>
        <w:tc>
          <w:tcPr>
            <w:tcW w:w="1353" w:type="dxa"/>
            <w:tcBorders>
              <w:top w:val="nil"/>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2130"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关心下一代工作委员会活动业务经费</w:t>
            </w:r>
          </w:p>
        </w:tc>
        <w:tc>
          <w:tcPr>
            <w:tcW w:w="1871"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898" w:type="dxa"/>
            <w:tcBorders>
              <w:top w:val="nil"/>
              <w:left w:val="nil"/>
              <w:bottom w:val="single" w:color="auto" w:sz="4" w:space="0"/>
              <w:right w:val="single" w:color="000000"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1120"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81"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241"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779"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1185"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64"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c>
          <w:tcPr>
            <w:tcW w:w="882" w:type="dxa"/>
            <w:tcBorders>
              <w:top w:val="nil"/>
              <w:left w:val="nil"/>
              <w:bottom w:val="single" w:color="auto" w:sz="4" w:space="0"/>
              <w:right w:val="single" w:color="000000" w:sz="4" w:space="0"/>
            </w:tcBorders>
            <w:shd w:val="clear" w:color="auto" w:fill="auto"/>
            <w:vAlign w:val="center"/>
          </w:tcPr>
          <w:p>
            <w:pPr>
              <w:jc w:val="right"/>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14" w:hRule="atLeast"/>
        </w:trPr>
        <w:tc>
          <w:tcPr>
            <w:tcW w:w="13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其他运转类</w:t>
            </w:r>
          </w:p>
        </w:tc>
        <w:tc>
          <w:tcPr>
            <w:tcW w:w="2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老干部活动业务经费</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6.00</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6.00</w:t>
            </w: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77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r>
      <w:tr>
        <w:tblPrEx>
          <w:tblLayout w:type="fixed"/>
        </w:tblPrEx>
        <w:trPr>
          <w:trHeight w:val="653" w:hRule="atLeast"/>
        </w:trPr>
        <w:tc>
          <w:tcPr>
            <w:tcW w:w="13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资金新财2023.107 2022年选调生到村工作财政补助资金</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1.56</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1.56</w:t>
            </w:r>
          </w:p>
        </w:tc>
        <w:tc>
          <w:tcPr>
            <w:tcW w:w="177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56" w:hRule="atLeast"/>
        </w:trPr>
        <w:tc>
          <w:tcPr>
            <w:tcW w:w="13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新财预2023.63号结算2023年度选调生到村工作中央财政补助资金</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5.33</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5.33</w:t>
            </w:r>
          </w:p>
        </w:tc>
        <w:tc>
          <w:tcPr>
            <w:tcW w:w="177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701" w:hRule="atLeast"/>
        </w:trPr>
        <w:tc>
          <w:tcPr>
            <w:tcW w:w="13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新财预2023.385号结算2023年下派选调生到村工作财政补助资金</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0.55</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0.55</w:t>
            </w:r>
          </w:p>
        </w:tc>
        <w:tc>
          <w:tcPr>
            <w:tcW w:w="177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56" w:hRule="atLeast"/>
        </w:trPr>
        <w:tc>
          <w:tcPr>
            <w:tcW w:w="13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新财预2023.179 2023年度“五星”支部创建专项经费</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2.79</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2.79</w:t>
            </w:r>
          </w:p>
        </w:tc>
        <w:tc>
          <w:tcPr>
            <w:tcW w:w="177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716" w:hRule="atLeast"/>
        </w:trPr>
        <w:tc>
          <w:tcPr>
            <w:tcW w:w="13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新财预2023.24号 2023年度农村基层干部待遇市级配套资金</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2.98</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2.98</w:t>
            </w:r>
          </w:p>
        </w:tc>
        <w:tc>
          <w:tcPr>
            <w:tcW w:w="177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r>
        <w:tblPrEx>
          <w:tblLayout w:type="fixed"/>
        </w:tblPrEx>
        <w:trPr>
          <w:trHeight w:val="454" w:hRule="atLeast"/>
        </w:trPr>
        <w:tc>
          <w:tcPr>
            <w:tcW w:w="135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特定目标类</w:t>
            </w:r>
          </w:p>
        </w:tc>
        <w:tc>
          <w:tcPr>
            <w:tcW w:w="2130"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新财预2023.253号“五星”支部省级奖励资金</w:t>
            </w:r>
          </w:p>
        </w:tc>
        <w:tc>
          <w:tcPr>
            <w:tcW w:w="187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10.21</w:t>
            </w:r>
          </w:p>
        </w:tc>
        <w:tc>
          <w:tcPr>
            <w:tcW w:w="898"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ascii="宋体" w:hAnsi="宋体" w:cs="宋体"/>
                <w:kern w:val="0"/>
                <w:sz w:val="18"/>
                <w:szCs w:val="18"/>
                <w:highlight w:val="none"/>
              </w:rPr>
            </w:pPr>
          </w:p>
        </w:tc>
        <w:tc>
          <w:tcPr>
            <w:tcW w:w="1120"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81"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241"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10.21</w:t>
            </w:r>
          </w:p>
        </w:tc>
        <w:tc>
          <w:tcPr>
            <w:tcW w:w="1779"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1185"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64"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c>
          <w:tcPr>
            <w:tcW w:w="882" w:type="dxa"/>
            <w:tcBorders>
              <w:top w:val="single" w:color="auto" w:sz="4" w:space="0"/>
              <w:left w:val="single" w:color="auto" w:sz="4" w:space="0"/>
              <w:bottom w:val="single" w:color="auto" w:sz="4" w:space="0"/>
              <w:right w:val="single" w:color="auto" w:sz="4" w:space="0"/>
            </w:tcBorders>
            <w:shd w:val="clear" w:color="auto" w:fill="auto"/>
            <w:vAlign w:val="center"/>
          </w:tcPr>
          <w:p>
            <w:pPr>
              <w:jc w:val="right"/>
              <w:rPr>
                <w:rFonts w:hint="eastAsia" w:ascii="宋体" w:hAnsi="宋体" w:cs="宋体"/>
                <w:kern w:val="0"/>
                <w:sz w:val="18"/>
                <w:szCs w:val="18"/>
                <w:highlight w:val="none"/>
              </w:rPr>
            </w:pPr>
          </w:p>
        </w:tc>
      </w:tr>
    </w:tbl>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pPr>
    </w:p>
    <w:p>
      <w:pPr>
        <w:kinsoku w:val="0"/>
        <w:overflowPunct w:val="0"/>
        <w:adjustRightInd w:val="0"/>
        <w:snapToGrid w:val="0"/>
        <w:spacing w:line="560" w:lineRule="exact"/>
        <w:rPr>
          <w:rFonts w:ascii="黑体" w:hAnsi="Times New Roman" w:eastAsia="黑体" w:cs="黑体"/>
          <w:sz w:val="32"/>
          <w:szCs w:val="32"/>
          <w:highlight w:val="none"/>
        </w:rPr>
        <w:sectPr>
          <w:pgSz w:w="16838" w:h="11906" w:orient="landscape"/>
          <w:pgMar w:top="1559" w:right="567" w:bottom="1701" w:left="567" w:header="851" w:footer="992" w:gutter="0"/>
          <w:cols w:space="720" w:num="1"/>
          <w:docGrid w:type="lines" w:linePitch="312" w:charSpace="0"/>
        </w:sectPr>
      </w:pPr>
    </w:p>
    <w:p>
      <w:pPr>
        <w:kinsoku w:val="0"/>
        <w:overflowPunct w:val="0"/>
        <w:adjustRightInd w:val="0"/>
        <w:snapToGrid w:val="0"/>
        <w:spacing w:line="560" w:lineRule="exact"/>
        <w:rPr>
          <w:rFonts w:ascii="黑体" w:hAnsi="Times New Roman" w:eastAsia="黑体" w:cs="黑体"/>
          <w:sz w:val="32"/>
          <w:szCs w:val="32"/>
          <w:highlight w:val="none"/>
        </w:rPr>
      </w:pPr>
    </w:p>
    <w:tbl>
      <w:tblPr>
        <w:tblStyle w:val="8"/>
        <w:tblW w:w="9440" w:type="dxa"/>
        <w:tblInd w:w="93" w:type="dxa"/>
        <w:tblLayout w:type="fixed"/>
        <w:tblCellMar>
          <w:top w:w="0" w:type="dxa"/>
          <w:left w:w="108" w:type="dxa"/>
          <w:bottom w:w="0" w:type="dxa"/>
          <w:right w:w="108" w:type="dxa"/>
        </w:tblCellMar>
      </w:tblPr>
      <w:tblGrid>
        <w:gridCol w:w="1350"/>
        <w:gridCol w:w="1449"/>
        <w:gridCol w:w="2038"/>
        <w:gridCol w:w="1110"/>
        <w:gridCol w:w="3458"/>
        <w:gridCol w:w="35"/>
      </w:tblGrid>
      <w:tr>
        <w:tblPrEx>
          <w:tblLayout w:type="fixed"/>
          <w:tblCellMar>
            <w:top w:w="0" w:type="dxa"/>
            <w:left w:w="108" w:type="dxa"/>
            <w:bottom w:w="0" w:type="dxa"/>
            <w:right w:w="108" w:type="dxa"/>
          </w:tblCellMar>
        </w:tblPrEx>
        <w:trPr>
          <w:trHeight w:val="285" w:hRule="atLeast"/>
        </w:trPr>
        <w:tc>
          <w:tcPr>
            <w:tcW w:w="9440" w:type="dxa"/>
            <w:gridSpan w:val="6"/>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预算11表</w:t>
            </w:r>
          </w:p>
        </w:tc>
      </w:tr>
      <w:tr>
        <w:tblPrEx>
          <w:tblLayout w:type="fixed"/>
          <w:tblCellMar>
            <w:top w:w="0" w:type="dxa"/>
            <w:left w:w="108" w:type="dxa"/>
            <w:bottom w:w="0" w:type="dxa"/>
            <w:right w:w="108" w:type="dxa"/>
          </w:tblCellMar>
        </w:tblPrEx>
        <w:trPr>
          <w:trHeight w:val="570" w:hRule="atLeast"/>
        </w:trPr>
        <w:tc>
          <w:tcPr>
            <w:tcW w:w="9440"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38"/>
                <w:szCs w:val="38"/>
                <w:highlight w:val="none"/>
              </w:rPr>
            </w:pPr>
            <w:r>
              <w:rPr>
                <w:rFonts w:hint="eastAsia" w:ascii="宋体" w:hAnsi="宋体" w:cs="宋体"/>
                <w:b/>
                <w:bCs/>
                <w:kern w:val="0"/>
                <w:sz w:val="38"/>
                <w:szCs w:val="38"/>
                <w:highlight w:val="none"/>
              </w:rPr>
              <w:t>部门整体绩效目标表</w:t>
            </w:r>
          </w:p>
        </w:tc>
      </w:tr>
      <w:tr>
        <w:tblPrEx>
          <w:tblLayout w:type="fixed"/>
          <w:tblCellMar>
            <w:top w:w="0" w:type="dxa"/>
            <w:left w:w="108" w:type="dxa"/>
            <w:bottom w:w="0" w:type="dxa"/>
            <w:right w:w="108" w:type="dxa"/>
          </w:tblCellMar>
        </w:tblPrEx>
        <w:trPr>
          <w:trHeight w:val="285" w:hRule="atLeast"/>
        </w:trPr>
        <w:tc>
          <w:tcPr>
            <w:tcW w:w="9440" w:type="dxa"/>
            <w:gridSpan w:val="6"/>
            <w:tcBorders>
              <w:top w:val="nil"/>
              <w:left w:val="nil"/>
              <w:bottom w:val="nil"/>
              <w:right w:val="nil"/>
            </w:tcBorders>
            <w:shd w:val="clear" w:color="auto" w:fill="auto"/>
            <w:vAlign w:val="center"/>
          </w:tcPr>
          <w:p>
            <w:pPr>
              <w:widowControl/>
              <w:jc w:val="center"/>
              <w:rPr>
                <w:rFonts w:ascii="宋体" w:hAnsi="宋体" w:cs="宋体"/>
                <w:b/>
                <w:bCs/>
                <w:kern w:val="0"/>
                <w:sz w:val="24"/>
                <w:szCs w:val="24"/>
                <w:highlight w:val="none"/>
              </w:rPr>
            </w:pPr>
            <w:r>
              <w:rPr>
                <w:rFonts w:hint="eastAsia" w:ascii="宋体" w:hAnsi="宋体" w:cs="宋体"/>
                <w:b/>
                <w:bCs/>
                <w:kern w:val="0"/>
                <w:sz w:val="24"/>
                <w:szCs w:val="24"/>
                <w:highlight w:val="none"/>
              </w:rPr>
              <w:t>（202</w:t>
            </w:r>
            <w:r>
              <w:rPr>
                <w:rFonts w:hint="eastAsia" w:ascii="宋体" w:hAnsi="宋体" w:cs="宋体"/>
                <w:b/>
                <w:bCs/>
                <w:kern w:val="0"/>
                <w:sz w:val="24"/>
                <w:szCs w:val="24"/>
                <w:highlight w:val="none"/>
                <w:lang w:val="en-US" w:eastAsia="zh-CN"/>
              </w:rPr>
              <w:t>4</w:t>
            </w:r>
            <w:r>
              <w:rPr>
                <w:rFonts w:hint="eastAsia" w:ascii="宋体" w:hAnsi="宋体" w:cs="宋体"/>
                <w:b/>
                <w:bCs/>
                <w:kern w:val="0"/>
                <w:sz w:val="24"/>
                <w:szCs w:val="24"/>
                <w:highlight w:val="none"/>
              </w:rPr>
              <w:t xml:space="preserve">年度）  </w:t>
            </w:r>
          </w:p>
        </w:tc>
      </w:tr>
      <w:tr>
        <w:tblPrEx>
          <w:tblLayout w:type="fixed"/>
          <w:tblCellMar>
            <w:top w:w="0" w:type="dxa"/>
            <w:left w:w="108" w:type="dxa"/>
            <w:bottom w:w="0" w:type="dxa"/>
            <w:right w:w="108" w:type="dxa"/>
          </w:tblCellMar>
        </w:tblPrEx>
        <w:trPr>
          <w:trHeight w:val="285" w:hRule="atLeast"/>
        </w:trPr>
        <w:tc>
          <w:tcPr>
            <w:tcW w:w="9440" w:type="dxa"/>
            <w:gridSpan w:val="6"/>
            <w:tcBorders>
              <w:top w:val="nil"/>
              <w:left w:val="nil"/>
              <w:bottom w:val="single" w:color="000000" w:sz="4" w:space="0"/>
              <w:right w:val="nil"/>
            </w:tcBorders>
            <w:shd w:val="clear" w:color="auto" w:fill="auto"/>
            <w:vAlign w:val="center"/>
          </w:tcPr>
          <w:p>
            <w:pPr>
              <w:widowControl/>
              <w:jc w:val="both"/>
              <w:rPr>
                <w:rFonts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中共新乡市卫滨区委组织部                            </w:t>
            </w:r>
            <w:r>
              <w:rPr>
                <w:rFonts w:hint="eastAsia" w:ascii="宋体" w:hAnsi="宋体" w:cs="宋体"/>
                <w:kern w:val="0"/>
                <w:sz w:val="18"/>
                <w:szCs w:val="18"/>
                <w:highlight w:val="none"/>
              </w:rPr>
              <w:t xml:space="preserve">                               单位：万元</w:t>
            </w:r>
          </w:p>
        </w:tc>
      </w:tr>
      <w:tr>
        <w:tblPrEx>
          <w:shd w:val="clear" w:color="auto" w:fill="auto"/>
          <w:tblLayout w:type="fixed"/>
          <w:tblCellMar>
            <w:top w:w="0" w:type="dxa"/>
            <w:left w:w="0" w:type="dxa"/>
            <w:bottom w:w="0" w:type="dxa"/>
            <w:right w:w="0" w:type="dxa"/>
          </w:tblCellMar>
        </w:tblPrEx>
        <w:trPr>
          <w:gridAfter w:val="1"/>
          <w:wAfter w:w="35" w:type="dxa"/>
          <w:trHeight w:val="854"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年度履职目标</w:t>
            </w:r>
          </w:p>
        </w:tc>
        <w:tc>
          <w:tcPr>
            <w:tcW w:w="8055"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努力做好党员培训、干部考核、老干部工作、党建工作、干部管理工作等。</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年度主要任务</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任务名称</w:t>
            </w:r>
          </w:p>
        </w:tc>
        <w:tc>
          <w:tcPr>
            <w:tcW w:w="4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主要内容</w:t>
            </w:r>
          </w:p>
        </w:tc>
      </w:tr>
      <w:tr>
        <w:tblPrEx>
          <w:shd w:val="clear" w:color="auto" w:fill="auto"/>
          <w:tblLayout w:type="fixed"/>
          <w:tblCellMar>
            <w:top w:w="0" w:type="dxa"/>
            <w:left w:w="0" w:type="dxa"/>
            <w:bottom w:w="0" w:type="dxa"/>
            <w:right w:w="0" w:type="dxa"/>
          </w:tblCellMar>
        </w:tblPrEx>
        <w:trPr>
          <w:gridAfter w:val="1"/>
          <w:wAfter w:w="35" w:type="dxa"/>
          <w:trHeight w:val="45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组织各项工作</w:t>
            </w:r>
          </w:p>
        </w:tc>
        <w:tc>
          <w:tcPr>
            <w:tcW w:w="4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认真做好党建、党员培训、党员管理、干部考核等各项工作</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预算情况  </w:t>
            </w:r>
          </w:p>
        </w:tc>
        <w:tc>
          <w:tcPr>
            <w:tcW w:w="348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部门预算总额（万元）</w:t>
            </w:r>
          </w:p>
        </w:tc>
        <w:tc>
          <w:tcPr>
            <w:tcW w:w="4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318.46</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1、资金来源：</w:t>
            </w:r>
          </w:p>
        </w:tc>
        <w:tc>
          <w:tcPr>
            <w:tcW w:w="203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（1）政府预算资金</w:t>
            </w:r>
          </w:p>
        </w:tc>
        <w:tc>
          <w:tcPr>
            <w:tcW w:w="4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318.46</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03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（2）财政专户管理资金</w:t>
            </w:r>
          </w:p>
        </w:tc>
        <w:tc>
          <w:tcPr>
            <w:tcW w:w="4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rPr>
                <w:rFonts w:hint="eastAsia" w:ascii="宋体" w:hAnsi="宋体" w:eastAsia="宋体" w:cs="宋体"/>
                <w:i w:val="0"/>
                <w:color w:val="000000"/>
                <w:sz w:val="18"/>
                <w:szCs w:val="18"/>
                <w:u w:val="none"/>
              </w:rPr>
            </w:pPr>
          </w:p>
        </w:tc>
        <w:tc>
          <w:tcPr>
            <w:tcW w:w="203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（3）单位资金</w:t>
            </w:r>
          </w:p>
        </w:tc>
        <w:tc>
          <w:tcPr>
            <w:tcW w:w="4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2、资金结构：</w:t>
            </w:r>
          </w:p>
        </w:tc>
        <w:tc>
          <w:tcPr>
            <w:tcW w:w="203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（1）基本支出</w:t>
            </w:r>
          </w:p>
        </w:tc>
        <w:tc>
          <w:tcPr>
            <w:tcW w:w="4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273.04</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000000"/>
                <w:sz w:val="18"/>
                <w:szCs w:val="18"/>
                <w:u w:val="none"/>
              </w:rPr>
            </w:pPr>
          </w:p>
        </w:tc>
        <w:tc>
          <w:tcPr>
            <w:tcW w:w="2038"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（2）项目支出</w:t>
            </w:r>
          </w:p>
        </w:tc>
        <w:tc>
          <w:tcPr>
            <w:tcW w:w="456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45.42</w:t>
            </w:r>
          </w:p>
        </w:tc>
      </w:tr>
      <w:tr>
        <w:tblPrEx>
          <w:shd w:val="clear" w:color="auto" w:fill="auto"/>
          <w:tblLayout w:type="fixed"/>
          <w:tblCellMar>
            <w:top w:w="0" w:type="dxa"/>
            <w:left w:w="0" w:type="dxa"/>
            <w:bottom w:w="0" w:type="dxa"/>
            <w:right w:w="0" w:type="dxa"/>
          </w:tblCellMar>
        </w:tblPrEx>
        <w:trPr>
          <w:gridAfter w:val="1"/>
          <w:wAfter w:w="35" w:type="dxa"/>
          <w:trHeight w:val="286" w:hRule="atLeast"/>
        </w:trPr>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一级指标</w:t>
            </w:r>
          </w:p>
        </w:tc>
        <w:tc>
          <w:tcPr>
            <w:tcW w:w="14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二级指标</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三级指标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指标值说明</w:t>
            </w:r>
          </w:p>
        </w:tc>
      </w:tr>
      <w:tr>
        <w:tblPrEx>
          <w:shd w:val="clear" w:color="auto" w:fill="auto"/>
          <w:tblLayout w:type="fixed"/>
          <w:tblCellMar>
            <w:top w:w="0" w:type="dxa"/>
            <w:left w:w="0" w:type="dxa"/>
            <w:bottom w:w="0" w:type="dxa"/>
            <w:right w:w="0" w:type="dxa"/>
          </w:tblCellMar>
        </w:tblPrEx>
        <w:trPr>
          <w:gridAfter w:val="1"/>
          <w:wAfter w:w="35" w:type="dxa"/>
          <w:trHeight w:val="1809"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投入管理指标  </w:t>
            </w: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工作目标管理  </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年度履职目标相关性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相关</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年度履职目标是否符合国家、省委省政府战略部署和发展规划，与国家、省宏观政策、行业政策一致；2.年度履职目标是否与部门职责、工作规划和重点工作相关；3.确定的预算项目是否合理，是否与工作目标密切相关；4.工作任务和项目预算安排是否合理。</w:t>
            </w:r>
          </w:p>
        </w:tc>
      </w:tr>
      <w:tr>
        <w:tblPrEx>
          <w:shd w:val="clear" w:color="auto" w:fill="auto"/>
          <w:tblLayout w:type="fixed"/>
          <w:tblCellMar>
            <w:top w:w="0" w:type="dxa"/>
            <w:left w:w="0" w:type="dxa"/>
            <w:bottom w:w="0" w:type="dxa"/>
            <w:right w:w="0" w:type="dxa"/>
          </w:tblCellMar>
        </w:tblPrEx>
        <w:trPr>
          <w:gridAfter w:val="1"/>
          <w:wAfter w:w="35" w:type="dxa"/>
          <w:trHeight w:val="158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工作任务科学性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科学</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工作任务是否有明确的绩效目标，绩效目标是否与部门年度履职目标一致，是否能体现工作任务的产出和效果；2.工作任务对应的预算项目是否有明确的绩效目标，绩效目标是否与部门职责目标、工作任务目标一致，是否能体现预算项目的产出和效果</w:t>
            </w:r>
          </w:p>
        </w:tc>
      </w:tr>
      <w:tr>
        <w:tblPrEx>
          <w:shd w:val="clear" w:color="auto" w:fill="auto"/>
          <w:tblLayout w:type="fixed"/>
          <w:tblCellMar>
            <w:top w:w="0" w:type="dxa"/>
            <w:left w:w="0" w:type="dxa"/>
            <w:bottom w:w="0" w:type="dxa"/>
            <w:right w:w="0" w:type="dxa"/>
          </w:tblCellMar>
        </w:tblPrEx>
        <w:trPr>
          <w:gridAfter w:val="1"/>
          <w:wAfter w:w="35" w:type="dxa"/>
          <w:trHeight w:val="158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绩效指标合理性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合理</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工作任务、预算项目绩效指标设置是否准确反映部门绩效完成情况；2.工作任务、预算项目绩效指标是否清晰、细化、可评价、可衡量；3.工作任务、预算项目绩效指标的评价标准是否清晰、可衡量；4.是否与部门年度的任务数或计划数相对应</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预算和财务管理  </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预算编制完整性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完整</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1.部门所有收入是否全部纳入部门预算；2.部门支出预算是否统筹各类资金来源，全部纳入部门预算管理</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专项资金细化率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专项资金细化率=（已细化到具体市县和承担单位的资金数/部门参与分配资金总数）×100%。</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预算执行率=（预算完成数/预算数）×100%。预算完成数指部门实际执行的预算数；预算数指财政部门批复的本年度部门的（调整）预算数。</w:t>
            </w:r>
          </w:p>
        </w:tc>
      </w:tr>
      <w:tr>
        <w:tblPrEx>
          <w:shd w:val="clear" w:color="auto" w:fill="auto"/>
          <w:tblLayout w:type="fixed"/>
          <w:tblCellMar>
            <w:top w:w="0" w:type="dxa"/>
            <w:left w:w="0" w:type="dxa"/>
            <w:bottom w:w="0" w:type="dxa"/>
            <w:right w:w="0" w:type="dxa"/>
          </w:tblCellMar>
        </w:tblPrEx>
        <w:trPr>
          <w:gridAfter w:val="1"/>
          <w:wAfter w:w="35" w:type="dxa"/>
          <w:trHeight w:val="158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预算调整率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≤20%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算调整率=（预算调整数-年初预算数）/年初预算数×100%。预算调整数：部门在本年度内涉及预算的追加、追减或结构调整的资金总和（因落实国家政策、发生不可抗力、上级部门或本级党委政府临时交办而产生的调整除外）。</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结转结余率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结转结余率=结转结余总额/预算数*100%。结转结余总额是指部门本年度的结转结余资金之和。预算数是指财政部门批复的本年度部门的（调整）预算数</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“三公经费”控制率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“三公经费”控制率=本年度“三公经费”实际支出数/“三公经费”预算数*100%</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政府采购执行率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政府采购执行率=（实际政府采购金额/政府采购预算数）×100%。政府采购预算：采购机关根据事业发展计划和行政任务编制的、并经过规定程序批准的年度政府采购计划。</w:t>
            </w:r>
          </w:p>
        </w:tc>
      </w:tr>
      <w:tr>
        <w:tblPrEx>
          <w:shd w:val="clear" w:color="auto" w:fill="auto"/>
          <w:tblLayout w:type="fixed"/>
          <w:tblCellMar>
            <w:top w:w="0" w:type="dxa"/>
            <w:left w:w="0" w:type="dxa"/>
            <w:bottom w:w="0" w:type="dxa"/>
            <w:right w:w="0" w:type="dxa"/>
          </w:tblCellMar>
        </w:tblPrEx>
        <w:trPr>
          <w:gridAfter w:val="1"/>
          <w:wAfter w:w="35" w:type="dxa"/>
          <w:trHeight w:val="678"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决算真实性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真实</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反映本部门决算工作情况。决算编制数据是否账表一致，即决算报表数据与会计账簿数据是否一致。</w:t>
            </w:r>
          </w:p>
        </w:tc>
      </w:tr>
      <w:tr>
        <w:tblPrEx>
          <w:shd w:val="clear" w:color="auto" w:fill="auto"/>
          <w:tblLayout w:type="fixed"/>
          <w:tblCellMar>
            <w:top w:w="0" w:type="dxa"/>
            <w:left w:w="0" w:type="dxa"/>
            <w:bottom w:w="0" w:type="dxa"/>
            <w:right w:w="0" w:type="dxa"/>
          </w:tblCellMar>
        </w:tblPrEx>
        <w:trPr>
          <w:gridAfter w:val="1"/>
          <w:wAfter w:w="35" w:type="dxa"/>
          <w:trHeight w:val="29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资金使用合规性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合规</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是否按照相关法律法规以及资金管理办法规定的用途使用预算资金，用以反映和考核部门(单位）预算资金的规范运行情况。1.是否符合国家财经法规和财务管理制度规定以及有关专项资金管理办法的规定；2.资金的拨付是否有完整的审批程序和手续；3.项目的重大开支是否经过评估论证；4.是否符合部门预算批复的用途；5.是否存在截留支出情况；6.是否存在挤占支出情况；7.是否存在挪用支出情况；8.是否存在虚列支出情况。</w:t>
            </w:r>
          </w:p>
        </w:tc>
      </w:tr>
      <w:tr>
        <w:tblPrEx>
          <w:shd w:val="clear" w:color="auto" w:fill="auto"/>
          <w:tblLayout w:type="fixed"/>
          <w:tblCellMar>
            <w:top w:w="0" w:type="dxa"/>
            <w:left w:w="0" w:type="dxa"/>
            <w:bottom w:w="0" w:type="dxa"/>
            <w:right w:w="0" w:type="dxa"/>
          </w:tblCellMar>
        </w:tblPrEx>
        <w:trPr>
          <w:gridAfter w:val="1"/>
          <w:wAfter w:w="35" w:type="dxa"/>
          <w:trHeight w:val="2035"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管理制度健全性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健全</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为加强预算管理，规范财务行为而制定的管理制度是否健全完整，用以反映和考核部门（单位）预算管理制度为完成主要职责或促成事业发展的保障情况。1.是否已制定或具有预算资金管理办法、内部管理制度、会计核算制度、会计岗位制度等管理制度；2.相关管理制度是否得到有效执行。</w:t>
            </w:r>
          </w:p>
        </w:tc>
      </w:tr>
      <w:tr>
        <w:tblPrEx>
          <w:shd w:val="clear" w:color="auto" w:fill="auto"/>
          <w:tblLayout w:type="fixed"/>
          <w:tblCellMar>
            <w:top w:w="0" w:type="dxa"/>
            <w:left w:w="0" w:type="dxa"/>
            <w:bottom w:w="0" w:type="dxa"/>
            <w:right w:w="0" w:type="dxa"/>
          </w:tblCellMar>
        </w:tblPrEx>
        <w:trPr>
          <w:gridAfter w:val="1"/>
          <w:wAfter w:w="35" w:type="dxa"/>
          <w:trHeight w:val="1582"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预决算信息公开性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公开</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是否按照政府信息公开有关规定公开部门预算、执行、决算、监督、绩效等相关预决算信息，用以反映和考核部门（单位）预决算管理的公开透明情况。1.是否按规定内容公开预决算信息；2.是否按规定时限公开预决算信息。</w:t>
            </w:r>
          </w:p>
        </w:tc>
      </w:tr>
      <w:tr>
        <w:tblPrEx>
          <w:shd w:val="clear" w:color="auto" w:fill="auto"/>
          <w:tblLayout w:type="fixed"/>
          <w:tblCellMar>
            <w:top w:w="0" w:type="dxa"/>
            <w:left w:w="0" w:type="dxa"/>
            <w:bottom w:w="0" w:type="dxa"/>
            <w:right w:w="0" w:type="dxa"/>
          </w:tblCellMar>
        </w:tblPrEx>
        <w:trPr>
          <w:gridAfter w:val="1"/>
          <w:wAfter w:w="35" w:type="dxa"/>
          <w:trHeight w:val="2939"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资产管理规范性</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规范</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的资产配置、使用是否合规，处置是否规范，收入是否及时足额上缴，用以反映和考核部门（单位）资产管理的规范程度。1.资产是否及时规范入账，资产报表数据与会计账簿数据是否相符，资产实物与财务账、资产账是否相符；2.新增资产是否符合规定程序和规定标准，新增资产是否考虑闲置存量资产；3.资产对外有偿使用（出租出借等）、对外投资、担保、资产处置等事项是否按规定报批；4.资产收益是否及时足额上交财政。</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绩效管理  </w:t>
            </w:r>
          </w:p>
        </w:tc>
        <w:tc>
          <w:tcPr>
            <w:tcW w:w="2038"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绩效目标编制完成率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部门（单位）按要求编制绩效目标的项目数量占应编制绩效目标项目总数的比重。部门目标编制完成率=已完成绩效目标编制项目数量/部门应编制绩效目标项目总数*100%</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绩效监控完成率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部门（单位）按要求实施绩效监控的项目数量占应实施绩效监控项目总数的比重。部门绩效监控完成率=已完成绩效监控项目数量/部门项目总数*100%</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绩效自评完成率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部门（单位）按要求实施绩效自评的项目数量占应实施绩效自评项目总数的比重。部门绩效自评完成率=已完成评价项目数量/部门项目总数*100%</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部门绩效评价完成率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部门重点绩效评价项目评价完成情况。部门绩效评价完成率=已完成评价项目数量/部门重点绩效评价项目数*100%</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评价结果应用率</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100%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绩效监控、单位自评、部门绩效评价、财政重点绩效评价结果应用情况。评价结果应用率=评价提出的意见建议采纳数/提出的意见建议总数*100%</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产出指标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重点工作任务完成</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组织业务工作</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≥95%</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反映本部门负责的重点工作任务进展情况。分项具体列示本部门重点工作任务推进情况，相关情况应予以细化、量化表述。</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履职目标实现</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做好组织业务相关工作</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≥95%</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反映本部门制定的年度工作目标达成情况。分项具体列示本部门年度工作目标达成情况，相关情况应予以细化、量化表述。</w:t>
            </w:r>
          </w:p>
        </w:tc>
      </w:tr>
      <w:tr>
        <w:tblPrEx>
          <w:shd w:val="clear" w:color="auto" w:fill="auto"/>
          <w:tblLayout w:type="fixed"/>
          <w:tblCellMar>
            <w:top w:w="0" w:type="dxa"/>
            <w:left w:w="0" w:type="dxa"/>
            <w:bottom w:w="0" w:type="dxa"/>
            <w:right w:w="0" w:type="dxa"/>
          </w:tblCellMar>
        </w:tblPrEx>
        <w:trPr>
          <w:gridAfter w:val="1"/>
          <w:wAfter w:w="35" w:type="dxa"/>
          <w:trHeight w:val="904" w:hRule="atLeast"/>
        </w:trPr>
        <w:tc>
          <w:tcPr>
            <w:tcW w:w="13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效益指标  </w:t>
            </w:r>
          </w:p>
        </w:tc>
        <w:tc>
          <w:tcPr>
            <w:tcW w:w="14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履职效益</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圆满完成组织业务相关工作</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≥90%</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反映部门履职对经济社会发展等所带来的直接或间接影响。可根据部门实际情况有选择的进行设置，并将三级指标细化为相应的个性化指标。</w:t>
            </w:r>
          </w:p>
        </w:tc>
      </w:tr>
      <w:tr>
        <w:tblPrEx>
          <w:shd w:val="clear" w:color="auto" w:fill="auto"/>
          <w:tblLayout w:type="fixed"/>
          <w:tblCellMar>
            <w:top w:w="0" w:type="dxa"/>
            <w:left w:w="0" w:type="dxa"/>
            <w:bottom w:w="0" w:type="dxa"/>
            <w:right w:w="0" w:type="dxa"/>
          </w:tblCellMar>
        </w:tblPrEx>
        <w:trPr>
          <w:gridAfter w:val="1"/>
          <w:wAfter w:w="35" w:type="dxa"/>
          <w:trHeight w:val="1130" w:hRule="atLeast"/>
        </w:trPr>
        <w:tc>
          <w:tcPr>
            <w:tcW w:w="13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18"/>
                <w:szCs w:val="18"/>
                <w:u w:val="none"/>
              </w:rPr>
            </w:pPr>
          </w:p>
        </w:tc>
        <w:tc>
          <w:tcPr>
            <w:tcW w:w="14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满意度</w:t>
            </w:r>
          </w:p>
        </w:tc>
        <w:tc>
          <w:tcPr>
            <w:tcW w:w="203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 xml:space="preserve"> 干部群众满意</w:t>
            </w:r>
          </w:p>
        </w:tc>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≥95%</w:t>
            </w:r>
          </w:p>
        </w:tc>
        <w:tc>
          <w:tcPr>
            <w:tcW w:w="34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反映社会公众或服务对象在部门履职效果、解决民众关心的热点问题等方面的满意程度。可根据部门实际情况有选择的进行设置，并将三级指标细化为相应的个性化指标。</w:t>
            </w:r>
          </w:p>
        </w:tc>
      </w:tr>
    </w:tbl>
    <w:p>
      <w:pPr>
        <w:kinsoku w:val="0"/>
        <w:overflowPunct w:val="0"/>
        <w:adjustRightInd w:val="0"/>
        <w:snapToGrid w:val="0"/>
        <w:spacing w:line="560" w:lineRule="exact"/>
        <w:rPr>
          <w:rFonts w:ascii="黑体" w:hAnsi="Times New Roman" w:eastAsia="黑体" w:cs="黑体"/>
          <w:sz w:val="32"/>
          <w:szCs w:val="32"/>
          <w:highlight w:val="none"/>
        </w:rPr>
        <w:sectPr>
          <w:pgSz w:w="11906" w:h="16838"/>
          <w:pgMar w:top="567" w:right="1701" w:bottom="567" w:left="1559" w:header="851" w:footer="992" w:gutter="0"/>
          <w:cols w:space="720" w:num="1"/>
          <w:docGrid w:type="lines" w:linePitch="312" w:charSpace="0"/>
        </w:sectPr>
      </w:pPr>
    </w:p>
    <w:tbl>
      <w:tblPr>
        <w:tblStyle w:val="8"/>
        <w:tblW w:w="15920" w:type="dxa"/>
        <w:tblInd w:w="0" w:type="dxa"/>
        <w:tblLayout w:type="fixed"/>
        <w:tblCellMar>
          <w:top w:w="0" w:type="dxa"/>
          <w:left w:w="108" w:type="dxa"/>
          <w:bottom w:w="0" w:type="dxa"/>
          <w:right w:w="108" w:type="dxa"/>
        </w:tblCellMar>
      </w:tblPr>
      <w:tblGrid>
        <w:gridCol w:w="2170"/>
        <w:gridCol w:w="1586"/>
        <w:gridCol w:w="695"/>
        <w:gridCol w:w="711"/>
        <w:gridCol w:w="603"/>
        <w:gridCol w:w="572"/>
        <w:gridCol w:w="1100"/>
        <w:gridCol w:w="1035"/>
        <w:gridCol w:w="1314"/>
        <w:gridCol w:w="1461"/>
        <w:gridCol w:w="1315"/>
        <w:gridCol w:w="1021"/>
        <w:gridCol w:w="1461"/>
        <w:gridCol w:w="876"/>
      </w:tblGrid>
      <w:tr>
        <w:tblPrEx>
          <w:tblLayout w:type="fixed"/>
          <w:tblCellMar>
            <w:top w:w="0" w:type="dxa"/>
            <w:left w:w="108" w:type="dxa"/>
            <w:bottom w:w="0" w:type="dxa"/>
            <w:right w:w="108" w:type="dxa"/>
          </w:tblCellMar>
        </w:tblPrEx>
        <w:trPr>
          <w:trHeight w:val="285" w:hRule="atLeast"/>
        </w:trPr>
        <w:tc>
          <w:tcPr>
            <w:tcW w:w="15920" w:type="dxa"/>
            <w:gridSpan w:val="14"/>
            <w:tcBorders>
              <w:top w:val="nil"/>
              <w:left w:val="nil"/>
              <w:bottom w:val="nil"/>
              <w:right w:val="nil"/>
            </w:tcBorders>
            <w:shd w:val="clear" w:color="auto" w:fill="auto"/>
            <w:vAlign w:val="center"/>
          </w:tcPr>
          <w:p>
            <w:pPr>
              <w:widowControl/>
              <w:jc w:val="right"/>
              <w:rPr>
                <w:rFonts w:ascii="宋体" w:hAnsi="宋体" w:cs="宋体"/>
                <w:kern w:val="0"/>
                <w:sz w:val="18"/>
                <w:szCs w:val="18"/>
                <w:highlight w:val="none"/>
              </w:rPr>
            </w:pPr>
            <w:r>
              <w:rPr>
                <w:rFonts w:hint="eastAsia" w:ascii="宋体" w:hAnsi="宋体" w:cs="宋体"/>
                <w:kern w:val="0"/>
                <w:sz w:val="18"/>
                <w:szCs w:val="18"/>
                <w:highlight w:val="none"/>
              </w:rPr>
              <w:t>预算12表</w:t>
            </w:r>
          </w:p>
        </w:tc>
      </w:tr>
      <w:tr>
        <w:tblPrEx>
          <w:tblLayout w:type="fixed"/>
          <w:tblCellMar>
            <w:top w:w="0" w:type="dxa"/>
            <w:left w:w="108" w:type="dxa"/>
            <w:bottom w:w="0" w:type="dxa"/>
            <w:right w:w="108" w:type="dxa"/>
          </w:tblCellMar>
        </w:tblPrEx>
        <w:trPr>
          <w:trHeight w:val="570" w:hRule="atLeast"/>
        </w:trPr>
        <w:tc>
          <w:tcPr>
            <w:tcW w:w="15920" w:type="dxa"/>
            <w:gridSpan w:val="14"/>
            <w:tcBorders>
              <w:top w:val="nil"/>
              <w:left w:val="nil"/>
              <w:bottom w:val="nil"/>
              <w:right w:val="nil"/>
            </w:tcBorders>
            <w:shd w:val="clear" w:color="auto" w:fill="auto"/>
            <w:vAlign w:val="center"/>
          </w:tcPr>
          <w:p>
            <w:pPr>
              <w:widowControl/>
              <w:jc w:val="center"/>
              <w:rPr>
                <w:rFonts w:hint="eastAsia" w:ascii="宋体" w:hAnsi="宋体" w:cs="宋体"/>
                <w:b/>
                <w:bCs/>
                <w:kern w:val="0"/>
                <w:sz w:val="38"/>
                <w:szCs w:val="38"/>
                <w:highlight w:val="none"/>
              </w:rPr>
            </w:pPr>
            <w:r>
              <w:rPr>
                <w:rFonts w:hint="eastAsia" w:ascii="宋体" w:hAnsi="宋体" w:cs="宋体"/>
                <w:b/>
                <w:bCs/>
                <w:kern w:val="0"/>
                <w:sz w:val="38"/>
                <w:szCs w:val="38"/>
                <w:highlight w:val="none"/>
              </w:rPr>
              <w:t>202</w:t>
            </w:r>
            <w:r>
              <w:rPr>
                <w:rFonts w:hint="eastAsia" w:ascii="宋体" w:hAnsi="宋体" w:cs="宋体"/>
                <w:b/>
                <w:bCs/>
                <w:kern w:val="0"/>
                <w:sz w:val="38"/>
                <w:szCs w:val="38"/>
                <w:highlight w:val="none"/>
                <w:lang w:val="en-US" w:eastAsia="zh-CN"/>
              </w:rPr>
              <w:t>4</w:t>
            </w:r>
            <w:r>
              <w:rPr>
                <w:rFonts w:hint="eastAsia" w:ascii="宋体" w:hAnsi="宋体" w:cs="宋体"/>
                <w:b/>
                <w:bCs/>
                <w:kern w:val="0"/>
                <w:sz w:val="38"/>
                <w:szCs w:val="38"/>
                <w:highlight w:val="none"/>
              </w:rPr>
              <w:t>年部门预算项目绩效目标</w:t>
            </w:r>
            <w:r>
              <w:rPr>
                <w:rFonts w:hint="eastAsia" w:ascii="宋体" w:hAnsi="宋体" w:cs="宋体"/>
                <w:b/>
                <w:bCs/>
                <w:kern w:val="0"/>
                <w:sz w:val="38"/>
                <w:szCs w:val="38"/>
                <w:highlight w:val="none"/>
                <w:lang w:eastAsia="zh-CN"/>
              </w:rPr>
              <w:t>汇总</w:t>
            </w:r>
            <w:r>
              <w:rPr>
                <w:rFonts w:hint="eastAsia" w:ascii="宋体" w:hAnsi="宋体" w:cs="宋体"/>
                <w:b/>
                <w:bCs/>
                <w:kern w:val="0"/>
                <w:sz w:val="38"/>
                <w:szCs w:val="38"/>
                <w:highlight w:val="none"/>
              </w:rPr>
              <w:t>表</w:t>
            </w:r>
          </w:p>
        </w:tc>
      </w:tr>
      <w:tr>
        <w:tblPrEx>
          <w:tblLayout w:type="fixed"/>
          <w:tblCellMar>
            <w:top w:w="0" w:type="dxa"/>
            <w:left w:w="108" w:type="dxa"/>
            <w:bottom w:w="0" w:type="dxa"/>
            <w:right w:w="108" w:type="dxa"/>
          </w:tblCellMar>
        </w:tblPrEx>
        <w:trPr>
          <w:trHeight w:val="285" w:hRule="atLeast"/>
        </w:trPr>
        <w:tc>
          <w:tcPr>
            <w:tcW w:w="15920" w:type="dxa"/>
            <w:gridSpan w:val="14"/>
            <w:tcBorders>
              <w:top w:val="nil"/>
              <w:left w:val="nil"/>
              <w:bottom w:val="nil"/>
              <w:right w:val="nil"/>
            </w:tcBorders>
            <w:shd w:val="clear" w:color="auto" w:fill="auto"/>
            <w:vAlign w:val="center"/>
          </w:tcPr>
          <w:p>
            <w:pPr>
              <w:widowControl/>
              <w:jc w:val="left"/>
              <w:rPr>
                <w:rFonts w:hint="eastAsia" w:ascii="宋体" w:hAnsi="宋体" w:cs="宋体"/>
                <w:kern w:val="0"/>
                <w:sz w:val="18"/>
                <w:szCs w:val="18"/>
                <w:highlight w:val="none"/>
              </w:rPr>
            </w:pPr>
            <w:r>
              <w:rPr>
                <w:rFonts w:hint="eastAsia" w:ascii="宋体" w:hAnsi="宋体" w:cs="宋体"/>
                <w:kern w:val="0"/>
                <w:sz w:val="18"/>
                <w:szCs w:val="18"/>
                <w:highlight w:val="none"/>
              </w:rPr>
              <w:t>部门名称：</w:t>
            </w:r>
            <w:r>
              <w:rPr>
                <w:rFonts w:hint="eastAsia" w:ascii="宋体" w:hAnsi="宋体" w:cs="宋体"/>
                <w:kern w:val="0"/>
                <w:sz w:val="18"/>
                <w:szCs w:val="18"/>
                <w:highlight w:val="none"/>
                <w:lang w:val="en-US" w:eastAsia="zh-CN"/>
              </w:rPr>
              <w:t xml:space="preserve"> 中共新乡市卫滨区委组织部                                                                                                                       </w:t>
            </w:r>
            <w:r>
              <w:rPr>
                <w:rFonts w:hint="eastAsia" w:ascii="宋体" w:hAnsi="宋体" w:cs="宋体"/>
                <w:kern w:val="0"/>
                <w:sz w:val="18"/>
                <w:szCs w:val="18"/>
                <w:highlight w:val="none"/>
              </w:rPr>
              <w:t>单位：万元</w:t>
            </w:r>
          </w:p>
        </w:tc>
      </w:tr>
      <w:tr>
        <w:tblPrEx>
          <w:tblLayout w:type="fixed"/>
          <w:tblCellMar>
            <w:top w:w="0" w:type="dxa"/>
            <w:left w:w="108" w:type="dxa"/>
            <w:bottom w:w="0" w:type="dxa"/>
            <w:right w:w="108" w:type="dxa"/>
          </w:tblCellMar>
        </w:tblPrEx>
        <w:trPr>
          <w:trHeight w:val="285" w:hRule="atLeast"/>
        </w:trPr>
        <w:tc>
          <w:tcPr>
            <w:tcW w:w="21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单位编码（项目编码）</w:t>
            </w:r>
          </w:p>
        </w:tc>
        <w:tc>
          <w:tcPr>
            <w:tcW w:w="15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项目单位 （项目名称）</w:t>
            </w:r>
          </w:p>
        </w:tc>
        <w:tc>
          <w:tcPr>
            <w:tcW w:w="258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项目金额（万元）</w:t>
            </w:r>
          </w:p>
        </w:tc>
        <w:tc>
          <w:tcPr>
            <w:tcW w:w="9583" w:type="dxa"/>
            <w:gridSpan w:val="8"/>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绩效目标</w:t>
            </w:r>
          </w:p>
        </w:tc>
      </w:tr>
      <w:tr>
        <w:tblPrEx>
          <w:tblLayout w:type="fixed"/>
          <w:tblCellMar>
            <w:top w:w="0" w:type="dxa"/>
            <w:left w:w="108" w:type="dxa"/>
            <w:bottom w:w="0" w:type="dxa"/>
            <w:right w:w="108" w:type="dxa"/>
          </w:tblCellMar>
        </w:tblPrEx>
        <w:trPr>
          <w:trHeight w:val="338" w:hRule="atLeast"/>
        </w:trPr>
        <w:tc>
          <w:tcPr>
            <w:tcW w:w="21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581" w:type="dxa"/>
            <w:gridSpan w:val="4"/>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213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成本指标  </w:t>
            </w:r>
          </w:p>
        </w:tc>
        <w:tc>
          <w:tcPr>
            <w:tcW w:w="2775"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产出指标  </w:t>
            </w:r>
          </w:p>
        </w:tc>
        <w:tc>
          <w:tcPr>
            <w:tcW w:w="2336"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效益指标  </w:t>
            </w:r>
          </w:p>
        </w:tc>
        <w:tc>
          <w:tcPr>
            <w:tcW w:w="2337" w:type="dxa"/>
            <w:gridSpan w:val="2"/>
            <w:tcBorders>
              <w:top w:val="single" w:color="000000" w:sz="4" w:space="0"/>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 xml:space="preserve">满意度指标  </w:t>
            </w:r>
          </w:p>
        </w:tc>
      </w:tr>
      <w:tr>
        <w:tblPrEx>
          <w:tblLayout w:type="fixed"/>
        </w:tblPrEx>
        <w:trPr>
          <w:trHeight w:val="702" w:hRule="atLeast"/>
        </w:trPr>
        <w:tc>
          <w:tcPr>
            <w:tcW w:w="2170"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1586" w:type="dxa"/>
            <w:vMerge w:val="continue"/>
            <w:tcBorders>
              <w:top w:val="single" w:color="000000" w:sz="4" w:space="0"/>
              <w:left w:val="single" w:color="000000" w:sz="4" w:space="0"/>
              <w:bottom w:val="single" w:color="000000" w:sz="4" w:space="0"/>
              <w:right w:val="single" w:color="000000" w:sz="4" w:space="0"/>
            </w:tcBorders>
            <w:vAlign w:val="center"/>
          </w:tcPr>
          <w:p>
            <w:pPr>
              <w:widowControl/>
              <w:jc w:val="left"/>
              <w:rPr>
                <w:rFonts w:ascii="宋体" w:hAnsi="宋体" w:cs="宋体"/>
                <w:kern w:val="0"/>
                <w:sz w:val="18"/>
                <w:szCs w:val="18"/>
                <w:highlight w:val="none"/>
              </w:rPr>
            </w:pPr>
          </w:p>
        </w:tc>
        <w:tc>
          <w:tcPr>
            <w:tcW w:w="69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资金总额</w:t>
            </w:r>
          </w:p>
        </w:tc>
        <w:tc>
          <w:tcPr>
            <w:tcW w:w="71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政府预算资金</w:t>
            </w:r>
          </w:p>
        </w:tc>
        <w:tc>
          <w:tcPr>
            <w:tcW w:w="603"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财政专户管理资金</w:t>
            </w:r>
          </w:p>
        </w:tc>
        <w:tc>
          <w:tcPr>
            <w:tcW w:w="572"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单位资金</w:t>
            </w:r>
          </w:p>
        </w:tc>
        <w:tc>
          <w:tcPr>
            <w:tcW w:w="1100"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3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314"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46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315"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102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c>
          <w:tcPr>
            <w:tcW w:w="1461"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三级指标</w:t>
            </w:r>
          </w:p>
        </w:tc>
        <w:tc>
          <w:tcPr>
            <w:tcW w:w="876" w:type="dxa"/>
            <w:tcBorders>
              <w:top w:val="nil"/>
              <w:left w:val="nil"/>
              <w:bottom w:val="single" w:color="000000" w:sz="4" w:space="0"/>
              <w:right w:val="single" w:color="000000" w:sz="4" w:space="0"/>
            </w:tcBorders>
            <w:shd w:val="clear" w:color="auto" w:fill="auto"/>
            <w:vAlign w:val="center"/>
          </w:tcPr>
          <w:p>
            <w:pPr>
              <w:widowControl/>
              <w:jc w:val="center"/>
              <w:rPr>
                <w:rFonts w:hint="eastAsia" w:ascii="宋体" w:hAnsi="宋体" w:cs="宋体"/>
                <w:kern w:val="0"/>
                <w:sz w:val="18"/>
                <w:szCs w:val="18"/>
                <w:highlight w:val="none"/>
              </w:rPr>
            </w:pPr>
            <w:r>
              <w:rPr>
                <w:rFonts w:hint="eastAsia" w:ascii="宋体" w:hAnsi="宋体" w:cs="宋体"/>
                <w:kern w:val="0"/>
                <w:sz w:val="18"/>
                <w:szCs w:val="18"/>
                <w:highlight w:val="none"/>
              </w:rPr>
              <w:t>指标值</w:t>
            </w:r>
          </w:p>
        </w:tc>
      </w:tr>
      <w:tr>
        <w:tblPrEx>
          <w:tblLayout w:type="fixed"/>
          <w:tblCellMar>
            <w:top w:w="0" w:type="dxa"/>
            <w:left w:w="108" w:type="dxa"/>
            <w:bottom w:w="0" w:type="dxa"/>
            <w:right w:w="108" w:type="dxa"/>
          </w:tblCellMar>
        </w:tblPrEx>
        <w:trPr>
          <w:trHeight w:val="285" w:hRule="atLeast"/>
        </w:trPr>
        <w:tc>
          <w:tcPr>
            <w:tcW w:w="217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005</w:t>
            </w:r>
          </w:p>
        </w:tc>
        <w:tc>
          <w:tcPr>
            <w:tcW w:w="1586" w:type="dxa"/>
            <w:tcBorders>
              <w:top w:val="nil"/>
              <w:left w:val="nil"/>
              <w:bottom w:val="single" w:color="000000" w:sz="4" w:space="0"/>
              <w:right w:val="single" w:color="000000" w:sz="4" w:space="0"/>
            </w:tcBorders>
            <w:shd w:val="clear" w:color="auto" w:fill="auto"/>
            <w:vAlign w:val="center"/>
          </w:tcPr>
          <w:p>
            <w:pPr>
              <w:jc w:val="left"/>
              <w:rPr>
                <w:rFonts w:hint="eastAsia" w:ascii="宋体" w:hAnsi="宋体" w:cs="宋体"/>
                <w:kern w:val="0"/>
                <w:sz w:val="18"/>
                <w:szCs w:val="18"/>
                <w:highlight w:val="none"/>
              </w:rPr>
            </w:pPr>
          </w:p>
        </w:tc>
        <w:tc>
          <w:tcPr>
            <w:tcW w:w="6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71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603"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762" w:hRule="atLeast"/>
        </w:trPr>
        <w:tc>
          <w:tcPr>
            <w:tcW w:w="217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005001</w:t>
            </w:r>
          </w:p>
        </w:tc>
        <w:tc>
          <w:tcPr>
            <w:tcW w:w="158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中共新乡市卫滨区委组织部</w:t>
            </w:r>
          </w:p>
        </w:tc>
        <w:tc>
          <w:tcPr>
            <w:tcW w:w="69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71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45.42</w:t>
            </w:r>
          </w:p>
        </w:tc>
        <w:tc>
          <w:tcPr>
            <w:tcW w:w="603"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72" w:type="dxa"/>
            <w:tcBorders>
              <w:top w:val="nil"/>
              <w:left w:val="nil"/>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9" w:hRule="atLeast"/>
        </w:trPr>
        <w:tc>
          <w:tcPr>
            <w:tcW w:w="2170"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410703230000000055901</w:t>
            </w:r>
          </w:p>
        </w:tc>
        <w:tc>
          <w:tcPr>
            <w:tcW w:w="1586"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老干部活动业务经费</w:t>
            </w:r>
          </w:p>
        </w:tc>
        <w:tc>
          <w:tcPr>
            <w:tcW w:w="69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6.00</w:t>
            </w:r>
          </w:p>
        </w:tc>
        <w:tc>
          <w:tcPr>
            <w:tcW w:w="711"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6.00</w:t>
            </w:r>
          </w:p>
        </w:tc>
        <w:tc>
          <w:tcPr>
            <w:tcW w:w="603"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72" w:type="dxa"/>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22" w:hRule="atLeast"/>
        </w:trPr>
        <w:tc>
          <w:tcPr>
            <w:tcW w:w="2170"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410703240000000015601</w:t>
            </w:r>
          </w:p>
        </w:tc>
        <w:tc>
          <w:tcPr>
            <w:tcW w:w="1586"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组织业务工作</w:t>
            </w:r>
          </w:p>
        </w:tc>
        <w:tc>
          <w:tcPr>
            <w:tcW w:w="695"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711" w:type="dxa"/>
            <w:vMerge w:val="restart"/>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15.00</w:t>
            </w:r>
          </w:p>
        </w:tc>
        <w:tc>
          <w:tcPr>
            <w:tcW w:w="603"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572" w:type="dxa"/>
            <w:vMerge w:val="restart"/>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100"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组织业务经费总成本</w:t>
            </w:r>
          </w:p>
        </w:tc>
        <w:tc>
          <w:tcPr>
            <w:tcW w:w="103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≤22万元</w:t>
            </w:r>
          </w:p>
        </w:tc>
        <w:tc>
          <w:tcPr>
            <w:tcW w:w="13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组织活动次数</w:t>
            </w:r>
          </w:p>
        </w:tc>
        <w:tc>
          <w:tcPr>
            <w:tcW w:w="146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≥4次</w:t>
            </w:r>
          </w:p>
        </w:tc>
        <w:tc>
          <w:tcPr>
            <w:tcW w:w="1315"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提高党员工作水平、工作积极性</w:t>
            </w:r>
          </w:p>
        </w:tc>
        <w:tc>
          <w:tcPr>
            <w:tcW w:w="102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提高</w:t>
            </w:r>
          </w:p>
        </w:tc>
        <w:tc>
          <w:tcPr>
            <w:tcW w:w="146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人民对党员满意度</w:t>
            </w:r>
          </w:p>
        </w:tc>
        <w:tc>
          <w:tcPr>
            <w:tcW w:w="876"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≥85%</w:t>
            </w:r>
          </w:p>
        </w:tc>
      </w:tr>
      <w:tr>
        <w:tblPrEx>
          <w:tblLayout w:type="fixed"/>
          <w:tblCellMar>
            <w:top w:w="0" w:type="dxa"/>
            <w:left w:w="108" w:type="dxa"/>
            <w:bottom w:w="0" w:type="dxa"/>
            <w:right w:w="108" w:type="dxa"/>
          </w:tblCellMar>
        </w:tblPrEx>
        <w:trPr>
          <w:trHeight w:val="522" w:hRule="atLeast"/>
        </w:trPr>
        <w:tc>
          <w:tcPr>
            <w:tcW w:w="2170"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1586" w:type="dxa"/>
            <w:vMerge w:val="continue"/>
            <w:tcBorders>
              <w:top w:val="nil"/>
              <w:left w:val="single" w:color="000000" w:sz="4" w:space="0"/>
              <w:bottom w:val="single" w:color="000000" w:sz="4" w:space="0"/>
              <w:right w:val="single" w:color="000000" w:sz="4" w:space="0"/>
            </w:tcBorders>
            <w:vAlign w:val="center"/>
          </w:tcPr>
          <w:p>
            <w:pPr>
              <w:jc w:val="center"/>
              <w:rPr>
                <w:rFonts w:ascii="宋体" w:hAnsi="宋体" w:cs="宋体"/>
                <w:kern w:val="0"/>
                <w:sz w:val="18"/>
                <w:szCs w:val="18"/>
                <w:highlight w:val="none"/>
              </w:rPr>
            </w:pPr>
          </w:p>
        </w:tc>
        <w:tc>
          <w:tcPr>
            <w:tcW w:w="695"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711"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603"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572" w:type="dxa"/>
            <w:vMerge w:val="continue"/>
            <w:tcBorders>
              <w:top w:val="nil"/>
              <w:left w:val="single" w:color="000000" w:sz="4" w:space="0"/>
              <w:bottom w:val="single" w:color="000000" w:sz="4" w:space="0"/>
              <w:right w:val="single" w:color="000000" w:sz="4" w:space="0"/>
            </w:tcBorders>
            <w:vAlign w:val="center"/>
          </w:tcPr>
          <w:p>
            <w:pPr>
              <w:jc w:val="right"/>
              <w:rPr>
                <w:rFonts w:ascii="宋体" w:hAnsi="宋体" w:cs="宋体"/>
                <w:kern w:val="0"/>
                <w:sz w:val="18"/>
                <w:szCs w:val="18"/>
                <w:highlight w:val="none"/>
              </w:rPr>
            </w:pPr>
          </w:p>
        </w:tc>
        <w:tc>
          <w:tcPr>
            <w:tcW w:w="110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组织活动成功率</w:t>
            </w:r>
          </w:p>
        </w:tc>
        <w:tc>
          <w:tcPr>
            <w:tcW w:w="146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≥95%</w:t>
            </w: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49" w:hRule="atLeast"/>
        </w:trPr>
        <w:tc>
          <w:tcPr>
            <w:tcW w:w="2170"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1586" w:type="dxa"/>
            <w:vMerge w:val="continue"/>
            <w:tcBorders>
              <w:top w:val="nil"/>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kern w:val="0"/>
                <w:sz w:val="18"/>
                <w:szCs w:val="18"/>
                <w:highlight w:val="none"/>
              </w:rPr>
            </w:pPr>
          </w:p>
        </w:tc>
        <w:tc>
          <w:tcPr>
            <w:tcW w:w="695"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711"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603"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572" w:type="dxa"/>
            <w:vMerge w:val="continue"/>
            <w:tcBorders>
              <w:top w:val="nil"/>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cs="宋体"/>
                <w:kern w:val="0"/>
                <w:sz w:val="18"/>
                <w:szCs w:val="18"/>
                <w:highlight w:val="none"/>
              </w:rPr>
            </w:pPr>
          </w:p>
        </w:tc>
        <w:tc>
          <w:tcPr>
            <w:tcW w:w="1100"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活动完成时间</w:t>
            </w:r>
          </w:p>
        </w:tc>
        <w:tc>
          <w:tcPr>
            <w:tcW w:w="1461" w:type="dxa"/>
            <w:tcBorders>
              <w:top w:val="nil"/>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12月底前完成</w:t>
            </w:r>
          </w:p>
        </w:tc>
        <w:tc>
          <w:tcPr>
            <w:tcW w:w="1315"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nil"/>
              <w:left w:val="nil"/>
              <w:bottom w:val="single" w:color="000000"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90" w:hRule="atLeast"/>
        </w:trPr>
        <w:tc>
          <w:tcPr>
            <w:tcW w:w="2170" w:type="dxa"/>
            <w:tcBorders>
              <w:top w:val="nil"/>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410703240000000020802</w:t>
            </w:r>
          </w:p>
        </w:tc>
        <w:tc>
          <w:tcPr>
            <w:tcW w:w="1586" w:type="dxa"/>
            <w:tcBorders>
              <w:top w:val="nil"/>
              <w:left w:val="single" w:color="000000" w:sz="4" w:space="0"/>
              <w:bottom w:val="single" w:color="auto" w:sz="4" w:space="0"/>
              <w:right w:val="single" w:color="000000"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关心下一代工作委员会活动业务经费</w:t>
            </w:r>
          </w:p>
        </w:tc>
        <w:tc>
          <w:tcPr>
            <w:tcW w:w="695" w:type="dxa"/>
            <w:tcBorders>
              <w:top w:val="nil"/>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711" w:type="dxa"/>
            <w:tcBorders>
              <w:top w:val="nil"/>
              <w:left w:val="single" w:color="000000" w:sz="4" w:space="0"/>
              <w:bottom w:val="single" w:color="auto" w:sz="4" w:space="0"/>
              <w:right w:val="single" w:color="000000"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1.00</w:t>
            </w:r>
          </w:p>
        </w:tc>
        <w:tc>
          <w:tcPr>
            <w:tcW w:w="603" w:type="dxa"/>
            <w:tcBorders>
              <w:top w:val="nil"/>
              <w:left w:val="single" w:color="000000" w:sz="4" w:space="0"/>
              <w:bottom w:val="single" w:color="auto" w:sz="4" w:space="0"/>
              <w:right w:val="single" w:color="000000" w:sz="4" w:space="0"/>
            </w:tcBorders>
            <w:vAlign w:val="center"/>
          </w:tcPr>
          <w:p>
            <w:pPr>
              <w:jc w:val="right"/>
              <w:rPr>
                <w:rFonts w:ascii="宋体" w:hAnsi="宋体" w:cs="宋体"/>
                <w:kern w:val="0"/>
                <w:sz w:val="18"/>
                <w:szCs w:val="18"/>
                <w:highlight w:val="none"/>
              </w:rPr>
            </w:pPr>
          </w:p>
        </w:tc>
        <w:tc>
          <w:tcPr>
            <w:tcW w:w="572" w:type="dxa"/>
            <w:tcBorders>
              <w:top w:val="nil"/>
              <w:left w:val="single" w:color="000000" w:sz="4" w:space="0"/>
              <w:bottom w:val="single" w:color="auto" w:sz="4" w:space="0"/>
              <w:right w:val="single" w:color="000000" w:sz="4" w:space="0"/>
            </w:tcBorders>
            <w:vAlign w:val="center"/>
          </w:tcPr>
          <w:p>
            <w:pPr>
              <w:jc w:val="right"/>
              <w:rPr>
                <w:rFonts w:ascii="宋体" w:hAnsi="宋体" w:cs="宋体"/>
                <w:kern w:val="0"/>
                <w:sz w:val="18"/>
                <w:szCs w:val="18"/>
                <w:highlight w:val="none"/>
              </w:rPr>
            </w:pPr>
          </w:p>
        </w:tc>
        <w:tc>
          <w:tcPr>
            <w:tcW w:w="1100" w:type="dxa"/>
            <w:tcBorders>
              <w:top w:val="nil"/>
              <w:left w:val="nil"/>
              <w:bottom w:val="single" w:color="auto"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nil"/>
              <w:left w:val="nil"/>
              <w:bottom w:val="single" w:color="auto"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nil"/>
              <w:left w:val="nil"/>
              <w:bottom w:val="single" w:color="auto"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auto"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nil"/>
              <w:left w:val="nil"/>
              <w:bottom w:val="single" w:color="auto"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nil"/>
              <w:left w:val="nil"/>
              <w:bottom w:val="single" w:color="auto"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nil"/>
              <w:left w:val="nil"/>
              <w:bottom w:val="single" w:color="auto" w:sz="4" w:space="0"/>
              <w:right w:val="single" w:color="000000"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nil"/>
              <w:left w:val="nil"/>
              <w:bottom w:val="single" w:color="auto" w:sz="4" w:space="0"/>
              <w:right w:val="single" w:color="000000"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71" w:hRule="atLeast"/>
        </w:trPr>
        <w:tc>
          <w:tcPr>
            <w:tcW w:w="21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410703240000000044416</w:t>
            </w:r>
          </w:p>
        </w:tc>
        <w:tc>
          <w:tcPr>
            <w:tcW w:w="1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新财预2023.253号“五星”支部省级奖励资金</w:t>
            </w:r>
          </w:p>
        </w:tc>
        <w:tc>
          <w:tcPr>
            <w:tcW w:w="6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10.21</w:t>
            </w:r>
          </w:p>
        </w:tc>
        <w:tc>
          <w:tcPr>
            <w:tcW w:w="7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10.21</w:t>
            </w:r>
          </w:p>
        </w:tc>
        <w:tc>
          <w:tcPr>
            <w:tcW w:w="603"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572"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83" w:hRule="atLeast"/>
        </w:trPr>
        <w:tc>
          <w:tcPr>
            <w:tcW w:w="21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410703240000000044428</w:t>
            </w:r>
          </w:p>
        </w:tc>
        <w:tc>
          <w:tcPr>
            <w:tcW w:w="1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资金新财预2023.107 2022年选调生到村工作财政补助资金</w:t>
            </w:r>
          </w:p>
        </w:tc>
        <w:tc>
          <w:tcPr>
            <w:tcW w:w="6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1.56</w:t>
            </w:r>
          </w:p>
        </w:tc>
        <w:tc>
          <w:tcPr>
            <w:tcW w:w="7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1.56</w:t>
            </w:r>
          </w:p>
        </w:tc>
        <w:tc>
          <w:tcPr>
            <w:tcW w:w="603"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572"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1235" w:hRule="atLeast"/>
        </w:trPr>
        <w:tc>
          <w:tcPr>
            <w:tcW w:w="21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410703240000000044429</w:t>
            </w:r>
          </w:p>
        </w:tc>
        <w:tc>
          <w:tcPr>
            <w:tcW w:w="1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新财预2023.63号结算2023年度选调生到村工作中央财政补助资金</w:t>
            </w:r>
          </w:p>
        </w:tc>
        <w:tc>
          <w:tcPr>
            <w:tcW w:w="6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5.33</w:t>
            </w:r>
          </w:p>
        </w:tc>
        <w:tc>
          <w:tcPr>
            <w:tcW w:w="7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5.33</w:t>
            </w:r>
          </w:p>
        </w:tc>
        <w:tc>
          <w:tcPr>
            <w:tcW w:w="603"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572"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848" w:hRule="atLeast"/>
        </w:trPr>
        <w:tc>
          <w:tcPr>
            <w:tcW w:w="21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410703240000000044431</w:t>
            </w:r>
          </w:p>
        </w:tc>
        <w:tc>
          <w:tcPr>
            <w:tcW w:w="1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新财预2023.24号 2023年度农村基层干部待遇市级配套资金</w:t>
            </w:r>
          </w:p>
        </w:tc>
        <w:tc>
          <w:tcPr>
            <w:tcW w:w="6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2.98</w:t>
            </w:r>
          </w:p>
        </w:tc>
        <w:tc>
          <w:tcPr>
            <w:tcW w:w="7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2.98</w:t>
            </w:r>
          </w:p>
        </w:tc>
        <w:tc>
          <w:tcPr>
            <w:tcW w:w="603"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572"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863" w:hRule="atLeast"/>
        </w:trPr>
        <w:tc>
          <w:tcPr>
            <w:tcW w:w="21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410703240000000044817</w:t>
            </w:r>
          </w:p>
        </w:tc>
        <w:tc>
          <w:tcPr>
            <w:tcW w:w="1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新财预2023.385号结算2023年下派选调生到村工作财政补助资金</w:t>
            </w:r>
          </w:p>
        </w:tc>
        <w:tc>
          <w:tcPr>
            <w:tcW w:w="6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0.55</w:t>
            </w:r>
          </w:p>
        </w:tc>
        <w:tc>
          <w:tcPr>
            <w:tcW w:w="7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0.55</w:t>
            </w:r>
          </w:p>
        </w:tc>
        <w:tc>
          <w:tcPr>
            <w:tcW w:w="603"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572"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873" w:hRule="atLeast"/>
        </w:trPr>
        <w:tc>
          <w:tcPr>
            <w:tcW w:w="217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410703240000000044818</w:t>
            </w:r>
          </w:p>
        </w:tc>
        <w:tc>
          <w:tcPr>
            <w:tcW w:w="1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新财预2023.179 2023年度“五星”支部创建专项经费</w:t>
            </w:r>
          </w:p>
        </w:tc>
        <w:tc>
          <w:tcPr>
            <w:tcW w:w="695"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2.79</w:t>
            </w:r>
          </w:p>
        </w:tc>
        <w:tc>
          <w:tcPr>
            <w:tcW w:w="711"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right"/>
              <w:textAlignment w:val="center"/>
              <w:rPr>
                <w:rFonts w:ascii="宋体" w:hAnsi="宋体" w:cs="宋体"/>
                <w:kern w:val="0"/>
                <w:sz w:val="18"/>
                <w:szCs w:val="18"/>
                <w:highlight w:val="none"/>
              </w:rPr>
            </w:pPr>
            <w:r>
              <w:rPr>
                <w:rFonts w:ascii="宋体" w:hAnsi="宋体" w:eastAsia="宋体" w:cs="宋体"/>
                <w:i w:val="0"/>
                <w:color w:val="000000"/>
                <w:kern w:val="0"/>
                <w:sz w:val="18"/>
                <w:szCs w:val="18"/>
                <w:u w:val="none"/>
                <w:lang w:val="en-US" w:eastAsia="zh-CN" w:bidi="ar"/>
              </w:rPr>
              <w:t>2.79</w:t>
            </w:r>
          </w:p>
        </w:tc>
        <w:tc>
          <w:tcPr>
            <w:tcW w:w="603"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572" w:type="dxa"/>
            <w:tcBorders>
              <w:top w:val="single" w:color="auto" w:sz="4" w:space="0"/>
              <w:left w:val="single" w:color="auto" w:sz="4" w:space="0"/>
              <w:bottom w:val="single" w:color="auto" w:sz="4" w:space="0"/>
              <w:right w:val="single" w:color="auto" w:sz="4" w:space="0"/>
            </w:tcBorders>
            <w:vAlign w:val="center"/>
          </w:tcPr>
          <w:p>
            <w:pPr>
              <w:jc w:val="right"/>
              <w:rPr>
                <w:rFonts w:ascii="宋体" w:hAnsi="宋体" w:cs="宋体"/>
                <w:kern w:val="0"/>
                <w:sz w:val="18"/>
                <w:szCs w:val="18"/>
                <w:highlight w:val="none"/>
              </w:rPr>
            </w:pPr>
          </w:p>
        </w:tc>
        <w:tc>
          <w:tcPr>
            <w:tcW w:w="110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3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315"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02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146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c>
          <w:tcPr>
            <w:tcW w:w="876"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宋体" w:hAnsi="宋体" w:cs="宋体"/>
                <w:kern w:val="0"/>
                <w:sz w:val="18"/>
                <w:szCs w:val="18"/>
                <w:highlight w:val="none"/>
              </w:rPr>
            </w:pPr>
          </w:p>
        </w:tc>
      </w:tr>
    </w:tbl>
    <w:p>
      <w:pPr>
        <w:kinsoku w:val="0"/>
        <w:overflowPunct w:val="0"/>
        <w:adjustRightInd w:val="0"/>
        <w:snapToGrid w:val="0"/>
        <w:spacing w:line="560" w:lineRule="exact"/>
        <w:rPr>
          <w:rFonts w:hint="eastAsia" w:ascii="黑体" w:hAnsi="Times New Roman" w:eastAsia="黑体" w:cs="黑体"/>
          <w:sz w:val="32"/>
          <w:szCs w:val="32"/>
          <w:highlight w:val="none"/>
        </w:rPr>
      </w:pPr>
      <w:bookmarkStart w:id="0" w:name="_GoBack"/>
      <w:bookmarkEnd w:id="0"/>
    </w:p>
    <w:sectPr>
      <w:pgSz w:w="16838" w:h="11906" w:orient="landscape"/>
      <w:pgMar w:top="1701" w:right="567" w:bottom="1559" w:left="56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script"/>
    <w:pitch w:val="default"/>
    <w:sig w:usb0="00000001" w:usb1="080E0000" w:usb2="00000000" w:usb3="00000000" w:csb0="00040000" w:csb1="00000000"/>
  </w:font>
  <w:font w:name="仿宋">
    <w:altName w:val="Arial Unicode MS"/>
    <w:panose1 w:val="02010609060101010101"/>
    <w:charset w:val="86"/>
    <w:family w:val="modern"/>
    <w:pitch w:val="default"/>
    <w:sig w:usb0="00000000" w:usb1="00000000"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
    <w:altName w:val="楷体_GB2312"/>
    <w:panose1 w:val="02010609060101010101"/>
    <w:charset w:val="86"/>
    <w:family w:val="modern"/>
    <w:pitch w:val="default"/>
    <w:sig w:usb0="00000000" w:usb1="00000000" w:usb2="00000016" w:usb3="00000000" w:csb0="00040001" w:csb1="00000000"/>
  </w:font>
  <w:font w:name="Gulim">
    <w:panose1 w:val="020B0600000101010101"/>
    <w:charset w:val="81"/>
    <w:family w:val="auto"/>
    <w:pitch w:val="default"/>
    <w:sig w:usb0="B00002AF" w:usb1="69D77CFB" w:usb2="00000030" w:usb3="00000000" w:csb0="4008009F" w:csb1="DFD70000"/>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00007A87" w:usb1="80000000" w:usb2="00000008" w:usb3="00000000" w:csb0="400001FF" w:csb1="FFFF0000"/>
  </w:font>
  <w:font w:name="方正姚体">
    <w:panose1 w:val="02010601030101010101"/>
    <w:charset w:val="86"/>
    <w:family w:val="auto"/>
    <w:pitch w:val="default"/>
    <w:sig w:usb0="00000003" w:usb1="080E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080E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Algerian">
    <w:panose1 w:val="04020705040A02060702"/>
    <w:charset w:val="00"/>
    <w:family w:val="auto"/>
    <w:pitch w:val="default"/>
    <w:sig w:usb0="00000003" w:usb1="00000000" w:usb2="00000000" w:usb3="00000000" w:csb0="20000001" w:csb1="00000000"/>
  </w:font>
  <w:font w:name="Arial Black">
    <w:panose1 w:val="020B0A04020102020204"/>
    <w:charset w:val="00"/>
    <w:family w:val="auto"/>
    <w:pitch w:val="default"/>
    <w:sig w:usb0="00000287" w:usb1="00000000" w:usb2="00000000" w:usb3="00000000" w:csb0="2000009F" w:csb1="DFD70000"/>
  </w:font>
  <w:font w:name="Arial Narrow">
    <w:panose1 w:val="020B0606020202030204"/>
    <w:charset w:val="00"/>
    <w:family w:val="auto"/>
    <w:pitch w:val="default"/>
    <w:sig w:usb0="00000287" w:usb1="00000800" w:usb2="00000000" w:usb3="00000000" w:csb0="2000009F" w:csb1="DFD70000"/>
  </w:font>
  <w:font w:name="Baskerville Old Face">
    <w:panose1 w:val="02020602080505020303"/>
    <w:charset w:val="00"/>
    <w:family w:val="auto"/>
    <w:pitch w:val="default"/>
    <w:sig w:usb0="00000003" w:usb1="00000000" w:usb2="00000000" w:usb3="00000000" w:csb0="20000001" w:csb1="00000000"/>
  </w:font>
  <w:font w:name="Bauhaus 93">
    <w:panose1 w:val="04030905020B02020C02"/>
    <w:charset w:val="00"/>
    <w:family w:val="auto"/>
    <w:pitch w:val="default"/>
    <w:sig w:usb0="00000003" w:usb1="00000000" w:usb2="00000000" w:usb3="00000000" w:csb0="20000001" w:csb1="00000000"/>
  </w:font>
  <w:font w:name="Bell MT">
    <w:panose1 w:val="02020503060305020303"/>
    <w:charset w:val="00"/>
    <w:family w:val="auto"/>
    <w:pitch w:val="default"/>
    <w:sig w:usb0="00000003" w:usb1="00000000" w:usb2="00000000" w:usb3="00000000" w:csb0="20000001" w:csb1="00000000"/>
  </w:font>
  <w:font w:name="Berlin Sans FB">
    <w:panose1 w:val="020E0602020502020306"/>
    <w:charset w:val="00"/>
    <w:family w:val="auto"/>
    <w:pitch w:val="default"/>
    <w:sig w:usb0="00000003" w:usb1="00000000" w:usb2="00000000" w:usb3="00000000" w:csb0="20000001" w:csb1="00000000"/>
  </w:font>
  <w:font w:name="Bernard MT Condensed">
    <w:panose1 w:val="02050806060905020404"/>
    <w:charset w:val="00"/>
    <w:family w:val="auto"/>
    <w:pitch w:val="default"/>
    <w:sig w:usb0="00000003" w:usb1="00000000" w:usb2="00000000" w:usb3="00000000" w:csb0="20000001" w:csb1="00000000"/>
  </w:font>
  <w:font w:name="Blackadder ITC">
    <w:panose1 w:val="04020505051007020D02"/>
    <w:charset w:val="00"/>
    <w:family w:val="auto"/>
    <w:pitch w:val="default"/>
    <w:sig w:usb0="00000003" w:usb1="00000000" w:usb2="00000000" w:usb3="00000000" w:csb0="20000001" w:csb1="00000000"/>
  </w:font>
  <w:font w:name="Bodoni MT">
    <w:panose1 w:val="02070603080606020203"/>
    <w:charset w:val="00"/>
    <w:family w:val="auto"/>
    <w:pitch w:val="default"/>
    <w:sig w:usb0="00000003" w:usb1="00000000" w:usb2="00000000" w:usb3="00000000" w:csb0="20000001" w:csb1="00000000"/>
  </w:font>
  <w:font w:name="Bodoni MT Black">
    <w:panose1 w:val="02070A03080606020203"/>
    <w:charset w:val="00"/>
    <w:family w:val="auto"/>
    <w:pitch w:val="default"/>
    <w:sig w:usb0="00000003" w:usb1="00000000" w:usb2="00000000" w:usb3="00000000" w:csb0="20000001" w:csb1="00000000"/>
  </w:font>
  <w:font w:name="Bodoni MT Condensed">
    <w:panose1 w:val="02070606080606020203"/>
    <w:charset w:val="00"/>
    <w:family w:val="auto"/>
    <w:pitch w:val="default"/>
    <w:sig w:usb0="00000003" w:usb1="00000000" w:usb2="00000000" w:usb3="00000000" w:csb0="20000001" w:csb1="00000000"/>
  </w:font>
  <w:font w:name="Bodoni MT Poster Compressed">
    <w:panose1 w:val="02070706080601050204"/>
    <w:charset w:val="00"/>
    <w:family w:val="auto"/>
    <w:pitch w:val="default"/>
    <w:sig w:usb0="00000003" w:usb1="00000000" w:usb2="00000000" w:usb3="00000000" w:csb0="20000011" w:csb1="00000000"/>
  </w:font>
  <w:font w:name="Bookman Old Style">
    <w:panose1 w:val="02050604050505020204"/>
    <w:charset w:val="00"/>
    <w:family w:val="auto"/>
    <w:pitch w:val="default"/>
    <w:sig w:usb0="00000287" w:usb1="00000000" w:usb2="00000000" w:usb3="00000000" w:csb0="2000009F" w:csb1="DFD70000"/>
  </w:font>
  <w:font w:name="Bookshelf Symbol 7">
    <w:panose1 w:val="05010101010101010101"/>
    <w:charset w:val="00"/>
    <w:family w:val="auto"/>
    <w:pitch w:val="default"/>
    <w:sig w:usb0="00000000" w:usb1="00000000" w:usb2="00000000" w:usb3="00000000" w:csb0="80000000" w:csb1="00000000"/>
  </w:font>
  <w:font w:name="Britannic Bold">
    <w:panose1 w:val="020B0903060703020204"/>
    <w:charset w:val="00"/>
    <w:family w:val="auto"/>
    <w:pitch w:val="default"/>
    <w:sig w:usb0="00000003" w:usb1="00000000" w:usb2="00000000" w:usb3="00000000" w:csb0="20000001" w:csb1="00000000"/>
  </w:font>
  <w:font w:name="Broadway">
    <w:panose1 w:val="04040905080B02020502"/>
    <w:charset w:val="00"/>
    <w:family w:val="auto"/>
    <w:pitch w:val="default"/>
    <w:sig w:usb0="00000003" w:usb1="00000000" w:usb2="00000000" w:usb3="00000000" w:csb0="20000001" w:csb1="00000000"/>
  </w:font>
  <w:font w:name="Cambria Math">
    <w:panose1 w:val="02040503050406030204"/>
    <w:charset w:val="00"/>
    <w:family w:val="auto"/>
    <w:pitch w:val="default"/>
    <w:sig w:usb0="A00002EF" w:usb1="420020EB" w:usb2="00000000" w:usb3="00000000" w:csb0="2000009F" w:csb1="00000000"/>
  </w:font>
  <w:font w:name="Century Gothic">
    <w:panose1 w:val="020B0502020202020204"/>
    <w:charset w:val="00"/>
    <w:family w:val="auto"/>
    <w:pitch w:val="default"/>
    <w:sig w:usb0="00000287" w:usb1="00000000" w:usb2="00000000" w:usb3="00000000" w:csb0="2000009F" w:csb1="DFD70000"/>
  </w:font>
  <w:font w:name="Comic Sans MS">
    <w:panose1 w:val="030F0702030302020204"/>
    <w:charset w:val="00"/>
    <w:family w:val="auto"/>
    <w:pitch w:val="default"/>
    <w:sig w:usb0="00000287" w:usb1="00000000" w:usb2="00000000" w:usb3="00000000" w:csb0="2000009F" w:csb1="00000000"/>
  </w:font>
  <w:font w:name="Colonna MT">
    <w:panose1 w:val="04020805060202030203"/>
    <w:charset w:val="00"/>
    <w:family w:val="auto"/>
    <w:pitch w:val="default"/>
    <w:sig w:usb0="00000003" w:usb1="00000000" w:usb2="00000000" w:usb3="00000000" w:csb0="20000001" w:csb1="00000000"/>
  </w:font>
  <w:font w:name="Consolas">
    <w:panose1 w:val="020B0609020204030204"/>
    <w:charset w:val="00"/>
    <w:family w:val="auto"/>
    <w:pitch w:val="default"/>
    <w:sig w:usb0="A00002EF" w:usb1="4000204B" w:usb2="00000000" w:usb3="00000000" w:csb0="2000009F" w:csb1="00000000"/>
  </w:font>
  <w:font w:name="Constantia">
    <w:panose1 w:val="02030602050306030303"/>
    <w:charset w:val="00"/>
    <w:family w:val="auto"/>
    <w:pitch w:val="default"/>
    <w:sig w:usb0="A00002EF" w:usb1="4000204B" w:usb2="00000000" w:usb3="00000000" w:csb0="2000009F" w:csb1="00000000"/>
  </w:font>
  <w:font w:name="Cooper Black">
    <w:panose1 w:val="0208090404030B020404"/>
    <w:charset w:val="00"/>
    <w:family w:val="auto"/>
    <w:pitch w:val="default"/>
    <w:sig w:usb0="00000003" w:usb1="00000000" w:usb2="00000000" w:usb3="00000000" w:csb0="20000001" w:csb1="00000000"/>
  </w:font>
  <w:font w:name="Copperplate Gothic Bold">
    <w:panose1 w:val="020E0705020206020404"/>
    <w:charset w:val="00"/>
    <w:family w:val="auto"/>
    <w:pitch w:val="default"/>
    <w:sig w:usb0="00000003" w:usb1="00000000" w:usb2="00000000" w:usb3="00000000" w:csb0="20000001" w:csb1="00000000"/>
  </w:font>
  <w:font w:name="Curlz MT">
    <w:panose1 w:val="04040404050702020202"/>
    <w:charset w:val="00"/>
    <w:family w:val="auto"/>
    <w:pitch w:val="default"/>
    <w:sig w:usb0="00000003" w:usb1="00000000" w:usb2="00000000" w:usb3="00000000" w:csb0="20000001" w:csb1="00000000"/>
  </w:font>
  <w:font w:name="Edwardian Script ITC">
    <w:panose1 w:val="030303020407070D0804"/>
    <w:charset w:val="00"/>
    <w:family w:val="auto"/>
    <w:pitch w:val="default"/>
    <w:sig w:usb0="00000003" w:usb1="00000000" w:usb2="00000000" w:usb3="00000000" w:csb0="20000001" w:csb1="00000000"/>
  </w:font>
  <w:font w:name="Elephant">
    <w:panose1 w:val="02020904090505020303"/>
    <w:charset w:val="00"/>
    <w:family w:val="auto"/>
    <w:pitch w:val="default"/>
    <w:sig w:usb0="00000003" w:usb1="00000000" w:usb2="00000000" w:usb3="00000000" w:csb0="20000001" w:csb1="00000000"/>
  </w:font>
  <w:font w:name="Engravers MT">
    <w:panose1 w:val="020907070805050203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Medium ITC">
    <w:panose1 w:val="020B0602030504020804"/>
    <w:charset w:val="00"/>
    <w:family w:val="auto"/>
    <w:pitch w:val="default"/>
    <w:sig w:usb0="00000003" w:usb1="00000000" w:usb2="00000000" w:usb3="00000000" w:csb0="20000001" w:csb1="00000000"/>
  </w:font>
  <w:font w:name="Estrangelo Edessa">
    <w:panose1 w:val="03080600000000000000"/>
    <w:charset w:val="00"/>
    <w:family w:val="auto"/>
    <w:pitch w:val="default"/>
    <w:sig w:usb0="80006040" w:usb1="00000000" w:usb2="00000080" w:usb3="00000000" w:csb0="00000000" w:csb1="00000000"/>
  </w:font>
  <w:font w:name="Felix Titling">
    <w:panose1 w:val="04060505060202020A04"/>
    <w:charset w:val="00"/>
    <w:family w:val="auto"/>
    <w:pitch w:val="default"/>
    <w:sig w:usb0="00000003" w:usb1="00000000" w:usb2="00000000" w:usb3="00000000" w:csb0="20000001" w:csb1="00000000"/>
  </w:font>
  <w:font w:name="Franklin Gothic Medium Cond">
    <w:panose1 w:val="020B0606030402020204"/>
    <w:charset w:val="00"/>
    <w:family w:val="auto"/>
    <w:pitch w:val="default"/>
    <w:sig w:usb0="00000287" w:usb1="00000000" w:usb2="00000000" w:usb3="00000000" w:csb0="2000009F" w:csb1="DFD70000"/>
  </w:font>
  <w:font w:name="Freestyle Script">
    <w:panose1 w:val="030804020302050B0404"/>
    <w:charset w:val="00"/>
    <w:family w:val="auto"/>
    <w:pitch w:val="default"/>
    <w:sig w:usb0="00000003" w:usb1="00000000" w:usb2="00000000" w:usb3="00000000" w:csb0="20000001" w:csb1="00000000"/>
  </w:font>
  <w:font w:name="French Script MT">
    <w:panose1 w:val="03020402040607040605"/>
    <w:charset w:val="00"/>
    <w:family w:val="auto"/>
    <w:pitch w:val="default"/>
    <w:sig w:usb0="00000003" w:usb1="00000000" w:usb2="00000000" w:usb3="00000000" w:csb0="20000001" w:csb1="00000000"/>
  </w:font>
  <w:font w:name="Gautami">
    <w:panose1 w:val="02000500000000000000"/>
    <w:charset w:val="00"/>
    <w:family w:val="auto"/>
    <w:pitch w:val="default"/>
    <w:sig w:usb0="00200000" w:usb1="00000000" w:usb2="00000000" w:usb3="00000000" w:csb0="00000000" w:csb1="00000000"/>
  </w:font>
  <w:font w:name="Gill Sans MT Ext Condensed Bold">
    <w:panose1 w:val="020B0902020104020203"/>
    <w:charset w:val="00"/>
    <w:family w:val="auto"/>
    <w:pitch w:val="default"/>
    <w:sig w:usb0="00000003" w:usb1="00000000" w:usb2="00000000" w:usb3="00000000" w:csb0="20000003" w:csb1="00000000"/>
  </w:font>
  <w:font w:name="Goudy Old Style">
    <w:panose1 w:val="02020502050305020303"/>
    <w:charset w:val="00"/>
    <w:family w:val="auto"/>
    <w:pitch w:val="default"/>
    <w:sig w:usb0="00000003" w:usb1="00000000" w:usb2="00000000" w:usb3="00000000" w:csb0="20000001" w:csb1="00000000"/>
  </w:font>
  <w:font w:name="Haettenschweiler">
    <w:panose1 w:val="020B0706040902060204"/>
    <w:charset w:val="00"/>
    <w:family w:val="auto"/>
    <w:pitch w:val="default"/>
    <w:sig w:usb0="00000287" w:usb1="00000000" w:usb2="00000000" w:usb3="00000000" w:csb0="2000009F" w:csb1="DFD70000"/>
  </w:font>
  <w:font w:name="High Tower Text">
    <w:panose1 w:val="02040502050506030303"/>
    <w:charset w:val="00"/>
    <w:family w:val="auto"/>
    <w:pitch w:val="default"/>
    <w:sig w:usb0="00000003" w:usb1="00000000" w:usb2="00000000" w:usb3="00000000" w:csb0="20000001" w:csb1="00000000"/>
  </w:font>
  <w:font w:name="Latha">
    <w:panose1 w:val="02000400000000000000"/>
    <w:charset w:val="00"/>
    <w:family w:val="auto"/>
    <w:pitch w:val="default"/>
    <w:sig w:usb0="00100000" w:usb1="00000000" w:usb2="00000000" w:usb3="00000000" w:csb0="00000000" w:csb1="00000000"/>
  </w:font>
  <w:font w:name="Lucida Bright">
    <w:panose1 w:val="02040602050505020304"/>
    <w:charset w:val="00"/>
    <w:family w:val="auto"/>
    <w:pitch w:val="default"/>
    <w:sig w:usb0="00000003" w:usb1="00000000" w:usb2="00000000" w:usb3="00000000" w:csb0="20000001" w:csb1="00000000"/>
  </w:font>
  <w:font w:name="Lucida Fax">
    <w:panose1 w:val="02060602050505020204"/>
    <w:charset w:val="00"/>
    <w:family w:val="auto"/>
    <w:pitch w:val="default"/>
    <w:sig w:usb0="00000003" w:usb1="00000000" w:usb2="00000000" w:usb3="00000000" w:csb0="20000001" w:csb1="00000000"/>
  </w:font>
  <w:font w:name="Lucida Handwriting">
    <w:panose1 w:val="03010101010101010101"/>
    <w:charset w:val="00"/>
    <w:family w:val="auto"/>
    <w:pitch w:val="default"/>
    <w:sig w:usb0="00000003" w:usb1="00000000" w:usb2="00000000" w:usb3="00000000" w:csb0="20000001" w:csb1="00000000"/>
  </w:font>
  <w:font w:name="Lucida Sans">
    <w:panose1 w:val="020B0602030504020204"/>
    <w:charset w:val="00"/>
    <w:family w:val="auto"/>
    <w:pitch w:val="default"/>
    <w:sig w:usb0="00000003" w:usb1="00000000" w:usb2="00000000" w:usb3="00000000" w:csb0="20000001" w:csb1="00000000"/>
  </w:font>
  <w:font w:name="Magneto">
    <w:panose1 w:val="04030805050802020D02"/>
    <w:charset w:val="00"/>
    <w:family w:val="auto"/>
    <w:pitch w:val="default"/>
    <w:sig w:usb0="00000003" w:usb1="00000000" w:usb2="00000000" w:usb3="00000000" w:csb0="20000001" w:csb1="00000000"/>
  </w:font>
  <w:font w:name="Marlett">
    <w:panose1 w:val="00000000000000000000"/>
    <w:charset w:val="00"/>
    <w:family w:val="auto"/>
    <w:pitch w:val="default"/>
    <w:sig w:usb0="00000000" w:usb1="00000000" w:usb2="00000000" w:usb3="00000000" w:csb0="80000000" w:csb1="00000000"/>
  </w:font>
  <w:font w:name="Mangal">
    <w:panose1 w:val="00000400000000000000"/>
    <w:charset w:val="00"/>
    <w:family w:val="auto"/>
    <w:pitch w:val="default"/>
    <w:sig w:usb0="00008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汉仪旗黑-55">
    <w:panose1 w:val="00020600040101010101"/>
    <w:charset w:val="86"/>
    <w:family w:val="auto"/>
    <w:pitch w:val="default"/>
    <w:sig w:usb0="A00002BF" w:usb1="18EF7CFA" w:usb2="00000016" w:usb3="00000000" w:csb0="00040000" w:csb1="00000000"/>
  </w:font>
  <w:font w:name="隶书">
    <w:panose1 w:val="02010509060101010101"/>
    <w:charset w:val="86"/>
    <w:family w:val="auto"/>
    <w:pitch w:val="default"/>
    <w:sig w:usb0="00000001" w:usb1="080E0000" w:usb2="00000000" w:usb3="00000000" w:csb0="00040000" w:csb1="00000000"/>
  </w:font>
  <w:font w:name="DotumChe">
    <w:panose1 w:val="020B0609000101010101"/>
    <w:charset w:val="81"/>
    <w:family w:val="auto"/>
    <w:pitch w:val="default"/>
    <w:sig w:usb0="B00002AF" w:usb1="69D77CFB" w:usb2="00000030" w:usb3="00000000" w:csb0="4008009F" w:csb1="DFD7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A00002BF" w:usb1="68C7FCFB" w:usb2="00000010" w:usb3="00000000" w:csb0="4002009F" w:csb1="DFD70000"/>
  </w:font>
  <w:font w:name="Eras Demi ITC">
    <w:panose1 w:val="020B0805030504020804"/>
    <w:charset w:val="00"/>
    <w:family w:val="auto"/>
    <w:pitch w:val="default"/>
    <w:sig w:usb0="00000003" w:usb1="00000000" w:usb2="00000000" w:usb3="00000000" w:csb0="20000001" w:csb1="00000000"/>
  </w:font>
  <w:font w:name="Footlight MT Light">
    <w:panose1 w:val="0204060206030A020304"/>
    <w:charset w:val="00"/>
    <w:family w:val="auto"/>
    <w:pitch w:val="default"/>
    <w:sig w:usb0="00000003" w:usb1="00000000" w:usb2="00000000" w:usb3="00000000" w:csb0="20000001" w:csb1="00000000"/>
  </w:font>
  <w:font w:name="Forte">
    <w:panose1 w:val="03060902040502070203"/>
    <w:charset w:val="00"/>
    <w:family w:val="auto"/>
    <w:pitch w:val="default"/>
    <w:sig w:usb0="00000003" w:usb1="00000000" w:usb2="00000000" w:usb3="00000000" w:csb0="20000001" w:csb1="00000000"/>
  </w:font>
  <w:font w:name="Franklin Gothic Book">
    <w:panose1 w:val="020B0503020102020204"/>
    <w:charset w:val="00"/>
    <w:family w:val="auto"/>
    <w:pitch w:val="default"/>
    <w:sig w:usb0="00000287" w:usb1="00000000" w:usb2="00000000" w:usb3="00000000" w:csb0="2000009F" w:csb1="DFD70000"/>
  </w:font>
  <w:font w:name="Franklin Gothic Medium">
    <w:panose1 w:val="020B06030201020202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Gigi">
    <w:panose1 w:val="04040504061007020D02"/>
    <w:charset w:val="00"/>
    <w:family w:val="auto"/>
    <w:pitch w:val="default"/>
    <w:sig w:usb0="00000003" w:usb1="00000000" w:usb2="00000000" w:usb3="00000000" w:csb0="20000001" w:csb1="00000000"/>
  </w:font>
  <w:font w:name="Gill Sans MT">
    <w:panose1 w:val="020B0502020104020203"/>
    <w:charset w:val="00"/>
    <w:family w:val="auto"/>
    <w:pitch w:val="default"/>
    <w:sig w:usb0="00000003" w:usb1="00000000" w:usb2="00000000" w:usb3="00000000" w:csb0="20000003" w:csb1="00000000"/>
  </w:font>
  <w:font w:name="Gill Sans MT Condensed">
    <w:panose1 w:val="020B0506020104020203"/>
    <w:charset w:val="00"/>
    <w:family w:val="auto"/>
    <w:pitch w:val="default"/>
    <w:sig w:usb0="00000003" w:usb1="00000000" w:usb2="00000000" w:usb3="00000000" w:csb0="20000003" w:csb1="00000000"/>
  </w:font>
  <w:font w:name="Goudy Stout">
    <w:panose1 w:val="0202090407030B020401"/>
    <w:charset w:val="00"/>
    <w:family w:val="auto"/>
    <w:pitch w:val="default"/>
    <w:sig w:usb0="00000003" w:usb1="00000000" w:usb2="00000000" w:usb3="00000000" w:csb0="20000001" w:csb1="00000000"/>
  </w:font>
  <w:font w:name="Informal Roman">
    <w:panose1 w:val="030604020304060B0204"/>
    <w:charset w:val="00"/>
    <w:family w:val="auto"/>
    <w:pitch w:val="default"/>
    <w:sig w:usb0="00000003" w:usb1="00000000" w:usb2="00000000" w:usb3="00000000" w:csb0="20000001" w:csb1="00000000"/>
  </w:font>
  <w:font w:name="Jokerman">
    <w:panose1 w:val="04090605060D06020702"/>
    <w:charset w:val="00"/>
    <w:family w:val="auto"/>
    <w:pitch w:val="default"/>
    <w:sig w:usb0="00000003" w:usb1="00000000" w:usb2="00000000" w:usb3="00000000" w:csb0="20000001" w:csb1="00000000"/>
  </w:font>
  <w:font w:name="Kunstler Script">
    <w:panose1 w:val="030304020206070D0D06"/>
    <w:charset w:val="00"/>
    <w:family w:val="auto"/>
    <w:pitch w:val="default"/>
    <w:sig w:usb0="00000003" w:usb1="00000000" w:usb2="00000000" w:usb3="00000000" w:csb0="20000001" w:csb1="00000000"/>
  </w:font>
  <w:font w:name="Lucida Calligraphy">
    <w:panose1 w:val="03010101010101010101"/>
    <w:charset w:val="00"/>
    <w:family w:val="auto"/>
    <w:pitch w:val="default"/>
    <w:sig w:usb0="00000003" w:usb1="00000000" w:usb2="00000000" w:usb3="00000000" w:csb0="20000001" w:csb1="00000000"/>
  </w:font>
  <w:font w:name="Viner Hand ITC">
    <w:panose1 w:val="03070502030502020203"/>
    <w:charset w:val="00"/>
    <w:family w:val="auto"/>
    <w:pitch w:val="default"/>
    <w:sig w:usb0="00000003" w:usb1="00000000" w:usb2="00000000" w:usb3="00000000" w:csb0="20000001" w:csb1="00000000"/>
  </w:font>
  <w:font w:name="Verdana">
    <w:panose1 w:val="020B0604030504040204"/>
    <w:charset w:val="00"/>
    <w:family w:val="auto"/>
    <w:pitch w:val="default"/>
    <w:sig w:usb0="00000287" w:usb1="00000000" w:usb2="00000000" w:usb3="00000000" w:csb0="2000019F"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D5D584"/>
    <w:multiLevelType w:val="singleLevel"/>
    <w:tmpl w:val="A4D5D584"/>
    <w:lvl w:ilvl="0" w:tentative="0">
      <w:start w:val="6"/>
      <w:numFmt w:val="chineseCounting"/>
      <w:suff w:val="nothing"/>
      <w:lvlText w:val="%1、"/>
      <w:lvlJc w:val="left"/>
      <w:rPr>
        <w:rFonts w:hint="eastAsia"/>
      </w:rPr>
    </w:lvl>
  </w:abstractNum>
  <w:abstractNum w:abstractNumId="1">
    <w:nsid w:val="C1A4D1CB"/>
    <w:multiLevelType w:val="singleLevel"/>
    <w:tmpl w:val="C1A4D1CB"/>
    <w:lvl w:ilvl="0" w:tentative="0">
      <w:start w:val="6"/>
      <w:numFmt w:val="chineseCounting"/>
      <w:suff w:val="nothing"/>
      <w:lvlText w:val="（%1）"/>
      <w:lvlJc w:val="left"/>
      <w:rPr>
        <w:rFonts w:hint="eastAsia"/>
      </w:rPr>
    </w:lvl>
  </w:abstractNum>
  <w:abstractNum w:abstractNumId="2">
    <w:nsid w:val="F0432E1A"/>
    <w:multiLevelType w:val="singleLevel"/>
    <w:tmpl w:val="F0432E1A"/>
    <w:lvl w:ilvl="0" w:tentative="0">
      <w:start w:val="1"/>
      <w:numFmt w:val="chineseCounting"/>
      <w:suff w:val="nothing"/>
      <w:lvlText w:val="（%1）"/>
      <w:lvlJc w:val="left"/>
      <w:rPr>
        <w:rFonts w:hint="eastAsia"/>
      </w:rPr>
    </w:lvl>
  </w:abstractNum>
  <w:abstractNum w:abstractNumId="3">
    <w:nsid w:val="10EB2E05"/>
    <w:multiLevelType w:val="multilevel"/>
    <w:tmpl w:val="10EB2E05"/>
    <w:lvl w:ilvl="0" w:tentative="0">
      <w:start w:val="1"/>
      <w:numFmt w:val="japaneseCounting"/>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38F14122"/>
    <w:multiLevelType w:val="singleLevel"/>
    <w:tmpl w:val="38F14122"/>
    <w:lvl w:ilvl="0" w:tentative="0">
      <w:start w:val="3"/>
      <w:numFmt w:val="chineseCounting"/>
      <w:suff w:val="nothing"/>
      <w:lvlText w:val="（%1）"/>
      <w:lvlJc w:val="left"/>
      <w:rPr>
        <w:rFonts w:hint="eastAsia"/>
      </w:rPr>
    </w:lvl>
  </w:abstractNum>
  <w:abstractNum w:abstractNumId="5">
    <w:nsid w:val="5971C2CF"/>
    <w:multiLevelType w:val="singleLevel"/>
    <w:tmpl w:val="5971C2CF"/>
    <w:lvl w:ilvl="0" w:tentative="0">
      <w:start w:val="1"/>
      <w:numFmt w:val="decimal"/>
      <w:suff w:val="nothing"/>
      <w:lvlText w:val="%1．"/>
      <w:lvlJc w:val="left"/>
      <w:pPr>
        <w:ind w:left="167" w:firstLine="400"/>
      </w:pPr>
      <w:rPr>
        <w:rFonts w:hint="default"/>
      </w:rPr>
    </w:lvl>
  </w:abstractNum>
  <w:num w:numId="1">
    <w:abstractNumId w:val="0"/>
  </w:num>
  <w:num w:numId="2">
    <w:abstractNumId w:val="3"/>
  </w:num>
  <w:num w:numId="3">
    <w:abstractNumId w:val="5"/>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Tg1NDBkNjQ3ODZjNzI3YTg3YjJmZDYzZjQxMDg3OWYifQ=="/>
  </w:docVars>
  <w:rsids>
    <w:rsidRoot w:val="000E666A"/>
    <w:rsid w:val="000056FE"/>
    <w:rsid w:val="00007CC9"/>
    <w:rsid w:val="00015F07"/>
    <w:rsid w:val="00016ADC"/>
    <w:rsid w:val="000328AD"/>
    <w:rsid w:val="0003777B"/>
    <w:rsid w:val="000455CB"/>
    <w:rsid w:val="00046D83"/>
    <w:rsid w:val="00052730"/>
    <w:rsid w:val="00060437"/>
    <w:rsid w:val="00065B9E"/>
    <w:rsid w:val="000667EE"/>
    <w:rsid w:val="000830E3"/>
    <w:rsid w:val="00092441"/>
    <w:rsid w:val="00093C9D"/>
    <w:rsid w:val="000A07A3"/>
    <w:rsid w:val="000A18BD"/>
    <w:rsid w:val="000A1CFD"/>
    <w:rsid w:val="000A32F6"/>
    <w:rsid w:val="000A3662"/>
    <w:rsid w:val="000B2445"/>
    <w:rsid w:val="000B4262"/>
    <w:rsid w:val="000C4CC2"/>
    <w:rsid w:val="000D025C"/>
    <w:rsid w:val="000E4FFA"/>
    <w:rsid w:val="000E5387"/>
    <w:rsid w:val="000E666A"/>
    <w:rsid w:val="000E6F0D"/>
    <w:rsid w:val="000F0D3B"/>
    <w:rsid w:val="001003CC"/>
    <w:rsid w:val="0010654C"/>
    <w:rsid w:val="00120162"/>
    <w:rsid w:val="0012518F"/>
    <w:rsid w:val="001264BC"/>
    <w:rsid w:val="001316FD"/>
    <w:rsid w:val="001349FC"/>
    <w:rsid w:val="001436AF"/>
    <w:rsid w:val="00145E1A"/>
    <w:rsid w:val="00147BEE"/>
    <w:rsid w:val="00147C4E"/>
    <w:rsid w:val="0016268A"/>
    <w:rsid w:val="00166082"/>
    <w:rsid w:val="00176038"/>
    <w:rsid w:val="00177B9B"/>
    <w:rsid w:val="001847F6"/>
    <w:rsid w:val="00196982"/>
    <w:rsid w:val="001A0485"/>
    <w:rsid w:val="001A1108"/>
    <w:rsid w:val="001A15F6"/>
    <w:rsid w:val="001A45D6"/>
    <w:rsid w:val="001B4DEC"/>
    <w:rsid w:val="001C6803"/>
    <w:rsid w:val="001C7E81"/>
    <w:rsid w:val="001F24BC"/>
    <w:rsid w:val="001F64E1"/>
    <w:rsid w:val="001F657E"/>
    <w:rsid w:val="00202770"/>
    <w:rsid w:val="00204E18"/>
    <w:rsid w:val="00204F67"/>
    <w:rsid w:val="0021471A"/>
    <w:rsid w:val="002155BC"/>
    <w:rsid w:val="002155E6"/>
    <w:rsid w:val="002213D7"/>
    <w:rsid w:val="00230456"/>
    <w:rsid w:val="00236D28"/>
    <w:rsid w:val="00242997"/>
    <w:rsid w:val="00251DE8"/>
    <w:rsid w:val="00254A2A"/>
    <w:rsid w:val="002601F3"/>
    <w:rsid w:val="00267739"/>
    <w:rsid w:val="0027730D"/>
    <w:rsid w:val="002B3C2D"/>
    <w:rsid w:val="002B612E"/>
    <w:rsid w:val="002B7F7A"/>
    <w:rsid w:val="002C14D9"/>
    <w:rsid w:val="002E0122"/>
    <w:rsid w:val="002E27DE"/>
    <w:rsid w:val="002E3628"/>
    <w:rsid w:val="002E5C55"/>
    <w:rsid w:val="002E5EBE"/>
    <w:rsid w:val="002F1A34"/>
    <w:rsid w:val="002F6CC2"/>
    <w:rsid w:val="0032045B"/>
    <w:rsid w:val="00320FEA"/>
    <w:rsid w:val="00322C06"/>
    <w:rsid w:val="0032341C"/>
    <w:rsid w:val="00327A9A"/>
    <w:rsid w:val="00327ADF"/>
    <w:rsid w:val="0034481A"/>
    <w:rsid w:val="00352AD6"/>
    <w:rsid w:val="00354113"/>
    <w:rsid w:val="00356056"/>
    <w:rsid w:val="00360B9D"/>
    <w:rsid w:val="003615E5"/>
    <w:rsid w:val="00374335"/>
    <w:rsid w:val="003761B9"/>
    <w:rsid w:val="00377995"/>
    <w:rsid w:val="003B6DF2"/>
    <w:rsid w:val="003C5046"/>
    <w:rsid w:val="003C5AF1"/>
    <w:rsid w:val="003D5305"/>
    <w:rsid w:val="003E0F53"/>
    <w:rsid w:val="003E4F75"/>
    <w:rsid w:val="003F044F"/>
    <w:rsid w:val="00400480"/>
    <w:rsid w:val="00400EC6"/>
    <w:rsid w:val="004078CB"/>
    <w:rsid w:val="004119E0"/>
    <w:rsid w:val="00412872"/>
    <w:rsid w:val="00414D58"/>
    <w:rsid w:val="00417802"/>
    <w:rsid w:val="004237A3"/>
    <w:rsid w:val="00423E21"/>
    <w:rsid w:val="00424DB3"/>
    <w:rsid w:val="004256B3"/>
    <w:rsid w:val="00425DE7"/>
    <w:rsid w:val="0042656D"/>
    <w:rsid w:val="0043723E"/>
    <w:rsid w:val="0045307E"/>
    <w:rsid w:val="004566F7"/>
    <w:rsid w:val="00460D67"/>
    <w:rsid w:val="0046532A"/>
    <w:rsid w:val="00470B16"/>
    <w:rsid w:val="00470E9E"/>
    <w:rsid w:val="004738EF"/>
    <w:rsid w:val="00477172"/>
    <w:rsid w:val="004842B6"/>
    <w:rsid w:val="004842D5"/>
    <w:rsid w:val="0049768C"/>
    <w:rsid w:val="004A2735"/>
    <w:rsid w:val="004A561C"/>
    <w:rsid w:val="004B1080"/>
    <w:rsid w:val="004B1BF0"/>
    <w:rsid w:val="004C0B6C"/>
    <w:rsid w:val="004C3AD6"/>
    <w:rsid w:val="004C7BA0"/>
    <w:rsid w:val="004D069E"/>
    <w:rsid w:val="004D0CCC"/>
    <w:rsid w:val="004D2D1F"/>
    <w:rsid w:val="004F460E"/>
    <w:rsid w:val="00504D4A"/>
    <w:rsid w:val="005271CC"/>
    <w:rsid w:val="00530C66"/>
    <w:rsid w:val="00540B6A"/>
    <w:rsid w:val="00542462"/>
    <w:rsid w:val="005433FC"/>
    <w:rsid w:val="0054387D"/>
    <w:rsid w:val="00554BEE"/>
    <w:rsid w:val="00556BE7"/>
    <w:rsid w:val="00571108"/>
    <w:rsid w:val="00573E04"/>
    <w:rsid w:val="00574BEB"/>
    <w:rsid w:val="00583C97"/>
    <w:rsid w:val="00591111"/>
    <w:rsid w:val="005A7520"/>
    <w:rsid w:val="005A786C"/>
    <w:rsid w:val="005B09E4"/>
    <w:rsid w:val="005B4803"/>
    <w:rsid w:val="005B7D64"/>
    <w:rsid w:val="005C3D11"/>
    <w:rsid w:val="005C6D7D"/>
    <w:rsid w:val="005E6CB4"/>
    <w:rsid w:val="005F0E25"/>
    <w:rsid w:val="005F36D1"/>
    <w:rsid w:val="00600AAF"/>
    <w:rsid w:val="006059F4"/>
    <w:rsid w:val="00616688"/>
    <w:rsid w:val="00641E96"/>
    <w:rsid w:val="00643973"/>
    <w:rsid w:val="006463C1"/>
    <w:rsid w:val="00646934"/>
    <w:rsid w:val="006519C1"/>
    <w:rsid w:val="006533BE"/>
    <w:rsid w:val="00655CED"/>
    <w:rsid w:val="00655F9F"/>
    <w:rsid w:val="00660094"/>
    <w:rsid w:val="0066274D"/>
    <w:rsid w:val="0066604F"/>
    <w:rsid w:val="0068015A"/>
    <w:rsid w:val="006877F1"/>
    <w:rsid w:val="00691130"/>
    <w:rsid w:val="006933B5"/>
    <w:rsid w:val="006A1C28"/>
    <w:rsid w:val="006A2177"/>
    <w:rsid w:val="006A3DB9"/>
    <w:rsid w:val="006B104A"/>
    <w:rsid w:val="006B23FE"/>
    <w:rsid w:val="006B4121"/>
    <w:rsid w:val="006B4279"/>
    <w:rsid w:val="006C3AA5"/>
    <w:rsid w:val="006C4B05"/>
    <w:rsid w:val="006C6A3D"/>
    <w:rsid w:val="006C6E8C"/>
    <w:rsid w:val="006D163E"/>
    <w:rsid w:val="006D36CC"/>
    <w:rsid w:val="006F7ED2"/>
    <w:rsid w:val="0070054A"/>
    <w:rsid w:val="00705E29"/>
    <w:rsid w:val="007131C3"/>
    <w:rsid w:val="00717ABB"/>
    <w:rsid w:val="007267F5"/>
    <w:rsid w:val="00742C70"/>
    <w:rsid w:val="00754A11"/>
    <w:rsid w:val="00796560"/>
    <w:rsid w:val="007B748B"/>
    <w:rsid w:val="007C4D6A"/>
    <w:rsid w:val="007C5790"/>
    <w:rsid w:val="007C6035"/>
    <w:rsid w:val="007D582B"/>
    <w:rsid w:val="007F0C11"/>
    <w:rsid w:val="008035D5"/>
    <w:rsid w:val="00803E72"/>
    <w:rsid w:val="00811491"/>
    <w:rsid w:val="00813D8B"/>
    <w:rsid w:val="00813ECE"/>
    <w:rsid w:val="00815377"/>
    <w:rsid w:val="00817547"/>
    <w:rsid w:val="008255FC"/>
    <w:rsid w:val="00827977"/>
    <w:rsid w:val="00833376"/>
    <w:rsid w:val="008336B4"/>
    <w:rsid w:val="00836BB8"/>
    <w:rsid w:val="008413E1"/>
    <w:rsid w:val="00843659"/>
    <w:rsid w:val="00845BBD"/>
    <w:rsid w:val="00850003"/>
    <w:rsid w:val="00850526"/>
    <w:rsid w:val="00862ACE"/>
    <w:rsid w:val="008662DA"/>
    <w:rsid w:val="00871827"/>
    <w:rsid w:val="00871DCF"/>
    <w:rsid w:val="00872A52"/>
    <w:rsid w:val="00876F50"/>
    <w:rsid w:val="00880C02"/>
    <w:rsid w:val="008831B0"/>
    <w:rsid w:val="008852A0"/>
    <w:rsid w:val="008854C3"/>
    <w:rsid w:val="0089331E"/>
    <w:rsid w:val="008A07E9"/>
    <w:rsid w:val="008A6827"/>
    <w:rsid w:val="008B1E1C"/>
    <w:rsid w:val="008B22A2"/>
    <w:rsid w:val="008B29FF"/>
    <w:rsid w:val="008C1726"/>
    <w:rsid w:val="008C5433"/>
    <w:rsid w:val="008D4CC8"/>
    <w:rsid w:val="008D73FF"/>
    <w:rsid w:val="008E4192"/>
    <w:rsid w:val="008F095C"/>
    <w:rsid w:val="008F0E48"/>
    <w:rsid w:val="0090127A"/>
    <w:rsid w:val="00903AC2"/>
    <w:rsid w:val="00903B03"/>
    <w:rsid w:val="009053A0"/>
    <w:rsid w:val="00907F29"/>
    <w:rsid w:val="0091015C"/>
    <w:rsid w:val="00923715"/>
    <w:rsid w:val="00926C5B"/>
    <w:rsid w:val="00930530"/>
    <w:rsid w:val="009307BD"/>
    <w:rsid w:val="00930C3A"/>
    <w:rsid w:val="00932CBF"/>
    <w:rsid w:val="00932EE9"/>
    <w:rsid w:val="00942EB9"/>
    <w:rsid w:val="00943951"/>
    <w:rsid w:val="00947589"/>
    <w:rsid w:val="00965DD7"/>
    <w:rsid w:val="00972A21"/>
    <w:rsid w:val="00984BB7"/>
    <w:rsid w:val="0099008B"/>
    <w:rsid w:val="00997ABD"/>
    <w:rsid w:val="009A311C"/>
    <w:rsid w:val="009B779E"/>
    <w:rsid w:val="009C5886"/>
    <w:rsid w:val="009C79D8"/>
    <w:rsid w:val="009D06CC"/>
    <w:rsid w:val="009D57AB"/>
    <w:rsid w:val="009D6176"/>
    <w:rsid w:val="009E3704"/>
    <w:rsid w:val="009F5003"/>
    <w:rsid w:val="00A0219D"/>
    <w:rsid w:val="00A03886"/>
    <w:rsid w:val="00A1196B"/>
    <w:rsid w:val="00A2124E"/>
    <w:rsid w:val="00A23BB0"/>
    <w:rsid w:val="00A354EC"/>
    <w:rsid w:val="00A373A8"/>
    <w:rsid w:val="00A52BBA"/>
    <w:rsid w:val="00A55FDA"/>
    <w:rsid w:val="00A62BC3"/>
    <w:rsid w:val="00A702F0"/>
    <w:rsid w:val="00A75823"/>
    <w:rsid w:val="00A8278A"/>
    <w:rsid w:val="00A87DD7"/>
    <w:rsid w:val="00AA4E11"/>
    <w:rsid w:val="00AB18CB"/>
    <w:rsid w:val="00AB2328"/>
    <w:rsid w:val="00AB6DFB"/>
    <w:rsid w:val="00AC5410"/>
    <w:rsid w:val="00AE5C99"/>
    <w:rsid w:val="00B01857"/>
    <w:rsid w:val="00B03AAD"/>
    <w:rsid w:val="00B1453C"/>
    <w:rsid w:val="00B23D64"/>
    <w:rsid w:val="00B341FF"/>
    <w:rsid w:val="00B377C4"/>
    <w:rsid w:val="00B40914"/>
    <w:rsid w:val="00B40F74"/>
    <w:rsid w:val="00B43E66"/>
    <w:rsid w:val="00B50AE6"/>
    <w:rsid w:val="00B65C21"/>
    <w:rsid w:val="00B665C0"/>
    <w:rsid w:val="00B6705E"/>
    <w:rsid w:val="00B83046"/>
    <w:rsid w:val="00B83D04"/>
    <w:rsid w:val="00B92341"/>
    <w:rsid w:val="00B932C7"/>
    <w:rsid w:val="00B95788"/>
    <w:rsid w:val="00BA1ACD"/>
    <w:rsid w:val="00BA38DA"/>
    <w:rsid w:val="00BA5E9A"/>
    <w:rsid w:val="00BB1BED"/>
    <w:rsid w:val="00BB59DB"/>
    <w:rsid w:val="00BC7C5A"/>
    <w:rsid w:val="00BE0D16"/>
    <w:rsid w:val="00BE4D35"/>
    <w:rsid w:val="00BF0F52"/>
    <w:rsid w:val="00C0162B"/>
    <w:rsid w:val="00C03348"/>
    <w:rsid w:val="00C17E7A"/>
    <w:rsid w:val="00C21E04"/>
    <w:rsid w:val="00C23F9E"/>
    <w:rsid w:val="00C40961"/>
    <w:rsid w:val="00C4757E"/>
    <w:rsid w:val="00C562AA"/>
    <w:rsid w:val="00C63E2B"/>
    <w:rsid w:val="00C64FF5"/>
    <w:rsid w:val="00C65DCF"/>
    <w:rsid w:val="00C65E72"/>
    <w:rsid w:val="00C66F39"/>
    <w:rsid w:val="00C70F12"/>
    <w:rsid w:val="00C738E2"/>
    <w:rsid w:val="00C8160B"/>
    <w:rsid w:val="00C81BB6"/>
    <w:rsid w:val="00C934AF"/>
    <w:rsid w:val="00CA314A"/>
    <w:rsid w:val="00CA5062"/>
    <w:rsid w:val="00CB508D"/>
    <w:rsid w:val="00CC4BF6"/>
    <w:rsid w:val="00CC793C"/>
    <w:rsid w:val="00CD4C57"/>
    <w:rsid w:val="00CF458F"/>
    <w:rsid w:val="00D02658"/>
    <w:rsid w:val="00D04BF4"/>
    <w:rsid w:val="00D21C47"/>
    <w:rsid w:val="00D2375E"/>
    <w:rsid w:val="00D2537C"/>
    <w:rsid w:val="00D25951"/>
    <w:rsid w:val="00D26956"/>
    <w:rsid w:val="00D26DC2"/>
    <w:rsid w:val="00D372A9"/>
    <w:rsid w:val="00D44216"/>
    <w:rsid w:val="00D4765A"/>
    <w:rsid w:val="00D527ED"/>
    <w:rsid w:val="00D561EE"/>
    <w:rsid w:val="00D6158D"/>
    <w:rsid w:val="00D7195F"/>
    <w:rsid w:val="00D71C17"/>
    <w:rsid w:val="00D801C6"/>
    <w:rsid w:val="00D83019"/>
    <w:rsid w:val="00D8525D"/>
    <w:rsid w:val="00D92623"/>
    <w:rsid w:val="00D93A37"/>
    <w:rsid w:val="00DA0816"/>
    <w:rsid w:val="00DC5F64"/>
    <w:rsid w:val="00DC7872"/>
    <w:rsid w:val="00DD6466"/>
    <w:rsid w:val="00DD697C"/>
    <w:rsid w:val="00DE6A63"/>
    <w:rsid w:val="00DF19C8"/>
    <w:rsid w:val="00E04054"/>
    <w:rsid w:val="00E1289B"/>
    <w:rsid w:val="00E17D38"/>
    <w:rsid w:val="00E23DFD"/>
    <w:rsid w:val="00E2542E"/>
    <w:rsid w:val="00E2610B"/>
    <w:rsid w:val="00E4080C"/>
    <w:rsid w:val="00E42853"/>
    <w:rsid w:val="00E43ED0"/>
    <w:rsid w:val="00E549CB"/>
    <w:rsid w:val="00E6220D"/>
    <w:rsid w:val="00E8417A"/>
    <w:rsid w:val="00E941A6"/>
    <w:rsid w:val="00EA4AFE"/>
    <w:rsid w:val="00EB05F1"/>
    <w:rsid w:val="00EB6F57"/>
    <w:rsid w:val="00EC2C40"/>
    <w:rsid w:val="00ED7886"/>
    <w:rsid w:val="00EE05C3"/>
    <w:rsid w:val="00EE59D1"/>
    <w:rsid w:val="00F01287"/>
    <w:rsid w:val="00F1283B"/>
    <w:rsid w:val="00F25745"/>
    <w:rsid w:val="00F33362"/>
    <w:rsid w:val="00F34E65"/>
    <w:rsid w:val="00F44EC4"/>
    <w:rsid w:val="00F506ED"/>
    <w:rsid w:val="00F63CE3"/>
    <w:rsid w:val="00F649DD"/>
    <w:rsid w:val="00F903AD"/>
    <w:rsid w:val="00F93BB7"/>
    <w:rsid w:val="00F955DA"/>
    <w:rsid w:val="00FB1000"/>
    <w:rsid w:val="00FB334A"/>
    <w:rsid w:val="00FB4F52"/>
    <w:rsid w:val="00FB698F"/>
    <w:rsid w:val="00FC238F"/>
    <w:rsid w:val="00FD05B8"/>
    <w:rsid w:val="00FD493D"/>
    <w:rsid w:val="00FE0BED"/>
    <w:rsid w:val="00FE0EB5"/>
    <w:rsid w:val="00FE21B8"/>
    <w:rsid w:val="00FE3A2E"/>
    <w:rsid w:val="00FE5B62"/>
    <w:rsid w:val="00FE6833"/>
    <w:rsid w:val="00FE7E98"/>
    <w:rsid w:val="00FF37A9"/>
    <w:rsid w:val="00FF4E6F"/>
    <w:rsid w:val="00FF613C"/>
    <w:rsid w:val="00FF73A3"/>
    <w:rsid w:val="012C75C3"/>
    <w:rsid w:val="0150627C"/>
    <w:rsid w:val="01644A7E"/>
    <w:rsid w:val="022827C7"/>
    <w:rsid w:val="041C3F03"/>
    <w:rsid w:val="04361A0E"/>
    <w:rsid w:val="04E82E5D"/>
    <w:rsid w:val="04EB0D09"/>
    <w:rsid w:val="051C5A41"/>
    <w:rsid w:val="056C7ACE"/>
    <w:rsid w:val="059560F3"/>
    <w:rsid w:val="05F647F9"/>
    <w:rsid w:val="06C47767"/>
    <w:rsid w:val="06D27D2E"/>
    <w:rsid w:val="08EE5446"/>
    <w:rsid w:val="09E907EB"/>
    <w:rsid w:val="0BB322FE"/>
    <w:rsid w:val="0CEF2B00"/>
    <w:rsid w:val="0DE22EBF"/>
    <w:rsid w:val="0E30219A"/>
    <w:rsid w:val="0E812CDC"/>
    <w:rsid w:val="0FA90872"/>
    <w:rsid w:val="10D55943"/>
    <w:rsid w:val="1185724E"/>
    <w:rsid w:val="11A825AE"/>
    <w:rsid w:val="123705B9"/>
    <w:rsid w:val="12505CF9"/>
    <w:rsid w:val="125E1BB6"/>
    <w:rsid w:val="12D113BF"/>
    <w:rsid w:val="13910C45"/>
    <w:rsid w:val="15B925CF"/>
    <w:rsid w:val="163A1270"/>
    <w:rsid w:val="169267C0"/>
    <w:rsid w:val="16D14EBA"/>
    <w:rsid w:val="175F3CA6"/>
    <w:rsid w:val="17767D2A"/>
    <w:rsid w:val="17CA35FA"/>
    <w:rsid w:val="18575E4E"/>
    <w:rsid w:val="18664770"/>
    <w:rsid w:val="19FB7D8E"/>
    <w:rsid w:val="1A5B6391"/>
    <w:rsid w:val="1B9430C3"/>
    <w:rsid w:val="1C2A29FE"/>
    <w:rsid w:val="1C7012F4"/>
    <w:rsid w:val="1CDD0DBE"/>
    <w:rsid w:val="1D0B7468"/>
    <w:rsid w:val="1E541B15"/>
    <w:rsid w:val="209B625B"/>
    <w:rsid w:val="214B5492"/>
    <w:rsid w:val="219D5072"/>
    <w:rsid w:val="221D378B"/>
    <w:rsid w:val="23525FA9"/>
    <w:rsid w:val="238735C1"/>
    <w:rsid w:val="25247449"/>
    <w:rsid w:val="25E2722C"/>
    <w:rsid w:val="261F6CD3"/>
    <w:rsid w:val="26CB63C5"/>
    <w:rsid w:val="2A37305D"/>
    <w:rsid w:val="2AD76DF3"/>
    <w:rsid w:val="2B256637"/>
    <w:rsid w:val="2C1A4849"/>
    <w:rsid w:val="2E1819E5"/>
    <w:rsid w:val="2E4866B4"/>
    <w:rsid w:val="2E762FD9"/>
    <w:rsid w:val="31900060"/>
    <w:rsid w:val="31EE77C5"/>
    <w:rsid w:val="31F50A29"/>
    <w:rsid w:val="32C40B49"/>
    <w:rsid w:val="33ED7470"/>
    <w:rsid w:val="343D3BEB"/>
    <w:rsid w:val="34D04D80"/>
    <w:rsid w:val="34E576F5"/>
    <w:rsid w:val="351549CF"/>
    <w:rsid w:val="35421935"/>
    <w:rsid w:val="35D03DB1"/>
    <w:rsid w:val="365B3B1A"/>
    <w:rsid w:val="368469FD"/>
    <w:rsid w:val="39063762"/>
    <w:rsid w:val="399C7E17"/>
    <w:rsid w:val="39D92970"/>
    <w:rsid w:val="39FB1897"/>
    <w:rsid w:val="39FE093D"/>
    <w:rsid w:val="3A1F6268"/>
    <w:rsid w:val="3A523362"/>
    <w:rsid w:val="3A6F2C0F"/>
    <w:rsid w:val="3BBE24E2"/>
    <w:rsid w:val="3BD07B55"/>
    <w:rsid w:val="3BF15560"/>
    <w:rsid w:val="3D440195"/>
    <w:rsid w:val="3D8711AA"/>
    <w:rsid w:val="3E413ED1"/>
    <w:rsid w:val="3FAE2155"/>
    <w:rsid w:val="402805C1"/>
    <w:rsid w:val="41357C59"/>
    <w:rsid w:val="42E365DA"/>
    <w:rsid w:val="444149C3"/>
    <w:rsid w:val="4496246A"/>
    <w:rsid w:val="45FB1E0A"/>
    <w:rsid w:val="46365B58"/>
    <w:rsid w:val="464C58A3"/>
    <w:rsid w:val="46CA67CB"/>
    <w:rsid w:val="47D755C8"/>
    <w:rsid w:val="480E1D32"/>
    <w:rsid w:val="48401B87"/>
    <w:rsid w:val="489A151D"/>
    <w:rsid w:val="4ACC5B2F"/>
    <w:rsid w:val="4BAC1AC0"/>
    <w:rsid w:val="4C5B0632"/>
    <w:rsid w:val="4C7813AD"/>
    <w:rsid w:val="4CDA2801"/>
    <w:rsid w:val="4E1E5F5D"/>
    <w:rsid w:val="4E275F1E"/>
    <w:rsid w:val="4EDB2D8F"/>
    <w:rsid w:val="4F917FC6"/>
    <w:rsid w:val="501B68C6"/>
    <w:rsid w:val="508D27A6"/>
    <w:rsid w:val="510D0E91"/>
    <w:rsid w:val="5115798C"/>
    <w:rsid w:val="51C51D65"/>
    <w:rsid w:val="51C65ED7"/>
    <w:rsid w:val="5236524B"/>
    <w:rsid w:val="533956EC"/>
    <w:rsid w:val="53830E69"/>
    <w:rsid w:val="539364B2"/>
    <w:rsid w:val="55381AB4"/>
    <w:rsid w:val="56225567"/>
    <w:rsid w:val="57334510"/>
    <w:rsid w:val="579D29FC"/>
    <w:rsid w:val="57C60097"/>
    <w:rsid w:val="588376DF"/>
    <w:rsid w:val="58B430FF"/>
    <w:rsid w:val="59156B87"/>
    <w:rsid w:val="5959056E"/>
    <w:rsid w:val="59642F2F"/>
    <w:rsid w:val="59AA14E0"/>
    <w:rsid w:val="59E12472"/>
    <w:rsid w:val="59E52906"/>
    <w:rsid w:val="5A064CA9"/>
    <w:rsid w:val="5A155A44"/>
    <w:rsid w:val="5AF554D4"/>
    <w:rsid w:val="5C2F77C1"/>
    <w:rsid w:val="5C3B15B1"/>
    <w:rsid w:val="5C461FB7"/>
    <w:rsid w:val="5CB70498"/>
    <w:rsid w:val="5D1412C6"/>
    <w:rsid w:val="5D3272B6"/>
    <w:rsid w:val="5E211941"/>
    <w:rsid w:val="5ED512CA"/>
    <w:rsid w:val="5F3B21C3"/>
    <w:rsid w:val="5FCF2B3A"/>
    <w:rsid w:val="600E40C9"/>
    <w:rsid w:val="604E3D2F"/>
    <w:rsid w:val="62200402"/>
    <w:rsid w:val="62A55CA5"/>
    <w:rsid w:val="63277E71"/>
    <w:rsid w:val="6468013A"/>
    <w:rsid w:val="649C46F2"/>
    <w:rsid w:val="64B32C06"/>
    <w:rsid w:val="65083C0F"/>
    <w:rsid w:val="6643017F"/>
    <w:rsid w:val="68B32ADB"/>
    <w:rsid w:val="69937B96"/>
    <w:rsid w:val="69B47748"/>
    <w:rsid w:val="69CD2AD0"/>
    <w:rsid w:val="69FE7FB4"/>
    <w:rsid w:val="6B14138E"/>
    <w:rsid w:val="6B1C6BC9"/>
    <w:rsid w:val="6B2564B4"/>
    <w:rsid w:val="6B3D3082"/>
    <w:rsid w:val="6BDE3B3B"/>
    <w:rsid w:val="6DEC4DBF"/>
    <w:rsid w:val="6E6841BA"/>
    <w:rsid w:val="6FBC0099"/>
    <w:rsid w:val="6FC02BC1"/>
    <w:rsid w:val="70B24544"/>
    <w:rsid w:val="711C5429"/>
    <w:rsid w:val="7166357E"/>
    <w:rsid w:val="71A9298B"/>
    <w:rsid w:val="71D57C23"/>
    <w:rsid w:val="71EE5B0E"/>
    <w:rsid w:val="72BD29C0"/>
    <w:rsid w:val="731E3F86"/>
    <w:rsid w:val="736563C5"/>
    <w:rsid w:val="73CB561A"/>
    <w:rsid w:val="748B06D6"/>
    <w:rsid w:val="75AD3069"/>
    <w:rsid w:val="762A388D"/>
    <w:rsid w:val="766A32C7"/>
    <w:rsid w:val="767307C7"/>
    <w:rsid w:val="771E7C0A"/>
    <w:rsid w:val="7789230E"/>
    <w:rsid w:val="779C1699"/>
    <w:rsid w:val="79646D73"/>
    <w:rsid w:val="796919ED"/>
    <w:rsid w:val="797F6F0E"/>
    <w:rsid w:val="79863882"/>
    <w:rsid w:val="79DC6ADA"/>
    <w:rsid w:val="7B0E49A9"/>
    <w:rsid w:val="7B737B6E"/>
    <w:rsid w:val="7BED06EF"/>
    <w:rsid w:val="7D1D18E6"/>
    <w:rsid w:val="7DC47EB1"/>
    <w:rsid w:val="7F813A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uiPriority w:val="0"/>
  </w:style>
  <w:style w:type="paragraph" w:styleId="4">
    <w:name w:val="annotation text"/>
    <w:basedOn w:val="1"/>
    <w:qFormat/>
    <w:uiPriority w:val="0"/>
    <w:pPr>
      <w:jc w:val="left"/>
    </w:p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3"/>
    <w:basedOn w:val="1"/>
    <w:link w:val="10"/>
    <w:qFormat/>
    <w:uiPriority w:val="99"/>
    <w:pPr>
      <w:jc w:val="center"/>
    </w:pPr>
    <w:rPr>
      <w:rFonts w:ascii="方正小标宋简体" w:hAnsi="方正小标宋简体" w:eastAsia="仿宋" w:cs="方正小标宋简体"/>
      <w:sz w:val="28"/>
      <w:szCs w:val="52"/>
    </w:rPr>
  </w:style>
  <w:style w:type="character" w:customStyle="1" w:styleId="10">
    <w:name w:val="样式3 Char"/>
    <w:basedOn w:val="7"/>
    <w:link w:val="9"/>
    <w:qFormat/>
    <w:locked/>
    <w:uiPriority w:val="99"/>
    <w:rPr>
      <w:rFonts w:ascii="方正小标宋简体" w:hAnsi="方正小标宋简体" w:eastAsia="仿宋" w:cs="方正小标宋简体"/>
      <w:kern w:val="2"/>
      <w:sz w:val="28"/>
      <w:szCs w:val="52"/>
    </w:rPr>
  </w:style>
  <w:style w:type="character" w:customStyle="1" w:styleId="11">
    <w:name w:val="页脚 字符"/>
    <w:basedOn w:val="7"/>
    <w:link w:val="5"/>
    <w:qFormat/>
    <w:uiPriority w:val="0"/>
    <w:rPr>
      <w:rFonts w:ascii="Calibri" w:hAnsi="Calibri"/>
      <w:kern w:val="2"/>
      <w:sz w:val="18"/>
      <w:szCs w:val="18"/>
    </w:rPr>
  </w:style>
  <w:style w:type="character" w:customStyle="1" w:styleId="12">
    <w:name w:val="页眉 字符"/>
    <w:basedOn w:val="7"/>
    <w:link w:val="6"/>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30</Pages>
  <Words>11146</Words>
  <Characters>13017</Characters>
  <Lines>117</Lines>
  <Paragraphs>32</Paragraphs>
  <TotalTime>0</TotalTime>
  <ScaleCrop>false</ScaleCrop>
  <LinksUpToDate>false</LinksUpToDate>
  <CharactersWithSpaces>14413</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2018-02-02T06:39:00Z</dcterms:created>
  <dc:creator>谢斐</dc:creator>
  <cp:lastModifiedBy>Administrator</cp:lastModifiedBy>
  <cp:lastPrinted>2023-05-12T02:43:00Z</cp:lastPrinted>
  <dcterms:modified xsi:type="dcterms:W3CDTF">2024-03-22T02:50:19Z</dcterms:modified>
  <dc:title>2017年度省级部门预算公开参考格式</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C6D45140CB9C40BA8885CAA2EB2A15FF</vt:lpwstr>
  </property>
</Properties>
</file>