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新乡市卫滨区文化广电和旅游局202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p>
    <w:p>
      <w:pPr>
        <w:jc w:val="center"/>
        <w:rPr>
          <w:rFonts w:ascii="宋体" w:hAnsi="宋体"/>
          <w:sz w:val="84"/>
          <w:szCs w:val="84"/>
        </w:rPr>
      </w:pPr>
      <w:r>
        <w:rPr>
          <w:rFonts w:hint="eastAsia" w:ascii="方正小标宋简体" w:hAnsi="方正小标宋简体" w:eastAsia="方正小标宋简体" w:cs="方正小标宋简体"/>
          <w:sz w:val="44"/>
          <w:szCs w:val="44"/>
        </w:rPr>
        <w:t>部门预算公开</w:t>
      </w:r>
    </w:p>
    <w:p>
      <w:pPr>
        <w:kinsoku w:val="0"/>
        <w:overflowPunct w:val="0"/>
        <w:adjustRightInd w:val="0"/>
        <w:snapToGrid w:val="0"/>
        <w:spacing w:line="560" w:lineRule="exact"/>
        <w:ind w:left="-142" w:right="51" w:firstLine="58" w:firstLineChars="7"/>
        <w:jc w:val="center"/>
        <w:rPr>
          <w:rFonts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仿宋_GB2312" w:cs="黑体"/>
          <w:sz w:val="56"/>
          <w:szCs w:val="56"/>
        </w:rPr>
      </w:pPr>
    </w:p>
    <w:p>
      <w:pPr>
        <w:kinsoku w:val="0"/>
        <w:overflowPunct w:val="0"/>
        <w:adjustRightInd w:val="0"/>
        <w:snapToGrid w:val="0"/>
        <w:spacing w:line="560" w:lineRule="exact"/>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二〇二</w:t>
      </w:r>
      <w:r>
        <w:rPr>
          <w:rFonts w:hint="eastAsia" w:ascii="方正小标宋简体" w:hAnsi="方正小标宋简体" w:eastAsia="方正小标宋简体" w:cs="方正小标宋简体"/>
          <w:sz w:val="44"/>
          <w:szCs w:val="44"/>
          <w:lang w:eastAsia="zh-CN"/>
        </w:rPr>
        <w:t>四</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三</w:t>
      </w:r>
      <w:r>
        <w:rPr>
          <w:rFonts w:hint="eastAsia" w:ascii="方正小标宋简体" w:hAnsi="方正小标宋简体" w:eastAsia="方正小标宋简体" w:cs="方正小标宋简体"/>
          <w:sz w:val="44"/>
          <w:szCs w:val="44"/>
        </w:rPr>
        <w:t>月</w:t>
      </w: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p>
    <w:p>
      <w:pPr>
        <w:spacing w:line="360" w:lineRule="auto"/>
        <w:ind w:firstLine="640" w:firstLineChars="200"/>
        <w:rPr>
          <w:rFonts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ind w:firstLine="640" w:firstLineChars="200"/>
      </w:pPr>
      <w:r>
        <w:rPr>
          <w:rFonts w:hint="eastAsia" w:ascii="黑体" w:hAnsi="黑体" w:eastAsia="黑体" w:cs="黑体"/>
          <w:sz w:val="32"/>
          <w:szCs w:val="32"/>
        </w:rPr>
        <w:t>第一部分 新乡市卫滨区文化广电和旅游局概况</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insoku w:val="0"/>
        <w:overflowPunct w:val="0"/>
        <w:adjustRightInd w:val="0"/>
        <w:snapToGrid w:val="0"/>
        <w:spacing w:line="360" w:lineRule="auto"/>
        <w:ind w:right="3566"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卫滨区文化广电和旅游局</w:t>
      </w:r>
      <w:r>
        <w:rPr>
          <w:rFonts w:ascii="Times New Roman" w:hAnsi="Times New Roman" w:eastAsia="黑体"/>
          <w:sz w:val="32"/>
          <w:szCs w:val="32"/>
        </w:rPr>
        <w:t>202</w:t>
      </w:r>
      <w:r>
        <w:rPr>
          <w:rFonts w:hint="eastAsia" w:ascii="Times New Roman" w:hAnsi="Times New Roman" w:eastAsia="黑体"/>
          <w:sz w:val="32"/>
          <w:szCs w:val="32"/>
          <w:lang w:val="en-US" w:eastAsia="zh-CN"/>
        </w:rPr>
        <w:t>4</w:t>
      </w:r>
      <w:r>
        <w:rPr>
          <w:rFonts w:hint="eastAsia" w:ascii="黑体" w:hAnsi="Times New Roman" w:eastAsia="黑体" w:cs="黑体"/>
          <w:sz w:val="32"/>
          <w:szCs w:val="32"/>
        </w:rPr>
        <w:t>年度部门预算情况说明</w:t>
      </w:r>
    </w:p>
    <w:p>
      <w:pPr>
        <w:kinsoku w:val="0"/>
        <w:overflowPunct w:val="0"/>
        <w:adjustRightInd w:val="0"/>
        <w:snapToGrid w:val="0"/>
        <w:spacing w:line="360" w:lineRule="auto"/>
        <w:ind w:right="521" w:firstLine="640" w:firstLineChars="200"/>
        <w:rPr>
          <w:rFonts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二、收入预算总体情况说明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三、支出预算总体情况说明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四、财政拨款收入支出预算总体情况说明</w:t>
      </w:r>
    </w:p>
    <w:p>
      <w:pPr>
        <w:spacing w:line="360" w:lineRule="auto"/>
        <w:ind w:firstLine="640" w:firstLineChars="200"/>
        <w:rPr>
          <w:rFonts w:ascii="仿宋_GB2312" w:eastAsia="仿宋_GB2312"/>
          <w:sz w:val="32"/>
          <w:szCs w:val="32"/>
        </w:rPr>
      </w:pPr>
      <w:r>
        <w:rPr>
          <w:rFonts w:hint="eastAsia" w:ascii="仿宋_GB2312" w:hAnsi="黑体" w:eastAsia="仿宋_GB2312"/>
          <w:sz w:val="32"/>
          <w:szCs w:val="32"/>
        </w:rPr>
        <w:t>五、一般公共预算支出预算情况说明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spacing w:line="360" w:lineRule="auto"/>
        <w:ind w:firstLine="640" w:firstLineChars="200"/>
        <w:rPr>
          <w:rFonts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insoku w:val="0"/>
        <w:overflowPunct w:val="0"/>
        <w:adjustRightInd w:val="0"/>
        <w:snapToGrid w:val="0"/>
        <w:spacing w:line="360" w:lineRule="auto"/>
        <w:ind w:right="521" w:firstLine="640" w:firstLineChars="200"/>
        <w:rPr>
          <w:rFonts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insoku w:val="0"/>
        <w:overflowPunct w:val="0"/>
        <w:autoSpaceDE w:val="0"/>
        <w:autoSpaceDN w:val="0"/>
        <w:adjustRightInd w:val="0"/>
        <w:snapToGrid w:val="0"/>
        <w:spacing w:line="360" w:lineRule="auto"/>
        <w:ind w:firstLine="636" w:firstLineChars="200"/>
        <w:rPr>
          <w:rFonts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insoku w:val="0"/>
        <w:overflowPunct w:val="0"/>
        <w:adjustRightInd w:val="0"/>
        <w:snapToGrid w:val="0"/>
        <w:spacing w:line="360" w:lineRule="auto"/>
        <w:ind w:right="521" w:firstLine="640" w:firstLineChars="200"/>
        <w:rPr>
          <w:rFonts w:ascii="黑体" w:hAnsi="Times New Roman" w:eastAsia="黑体" w:cs="黑体"/>
          <w:sz w:val="32"/>
          <w:szCs w:val="32"/>
        </w:rPr>
      </w:pPr>
      <w:r>
        <w:rPr>
          <w:rFonts w:hint="eastAsia" w:ascii="黑体" w:hAnsi="Times New Roman" w:eastAsia="黑体" w:cs="黑体"/>
          <w:sz w:val="32"/>
          <w:szCs w:val="32"/>
        </w:rPr>
        <w:t>第三部分 名词解释</w:t>
      </w:r>
    </w:p>
    <w:p>
      <w:pPr>
        <w:kinsoku w:val="0"/>
        <w:overflowPunct w:val="0"/>
        <w:adjustRightInd w:val="0"/>
        <w:snapToGrid w:val="0"/>
        <w:spacing w:line="360" w:lineRule="auto"/>
        <w:ind w:firstLine="640" w:firstLineChars="200"/>
        <w:rPr>
          <w:rFonts w:ascii="黑体" w:hAnsi="Times New Roman" w:eastAsia="黑体" w:cs="黑体"/>
          <w:sz w:val="32"/>
          <w:szCs w:val="32"/>
        </w:rPr>
      </w:pPr>
      <w:r>
        <w:rPr>
          <w:rFonts w:hint="eastAsia" w:ascii="黑体" w:hAnsi="Times New Roman" w:eastAsia="黑体" w:cs="黑体"/>
          <w:sz w:val="32"/>
          <w:szCs w:val="32"/>
        </w:rPr>
        <w:t>附件：新乡市</w:t>
      </w:r>
      <w:r>
        <w:rPr>
          <w:rFonts w:hint="eastAsia" w:ascii="黑体" w:hAnsi="黑体" w:eastAsia="黑体" w:cs="黑体"/>
          <w:sz w:val="32"/>
          <w:szCs w:val="32"/>
        </w:rPr>
        <w:t>卫滨区文化广电和旅游局</w:t>
      </w:r>
      <w:r>
        <w:rPr>
          <w:rFonts w:ascii="Times New Roman" w:hAnsi="Times New Roman" w:eastAsia="黑体"/>
          <w:sz w:val="32"/>
          <w:szCs w:val="32"/>
        </w:rPr>
        <w:t>202</w:t>
      </w:r>
      <w:r>
        <w:rPr>
          <w:rFonts w:hint="eastAsia" w:ascii="Times New Roman" w:hAnsi="Times New Roman" w:eastAsia="黑体"/>
          <w:sz w:val="32"/>
          <w:szCs w:val="32"/>
          <w:lang w:val="en-US" w:eastAsia="zh-CN"/>
        </w:rPr>
        <w:t>4</w:t>
      </w:r>
      <w:r>
        <w:rPr>
          <w:rFonts w:hint="eastAsia" w:ascii="黑体" w:hAnsi="Times New Roman" w:eastAsia="黑体" w:cs="黑体"/>
          <w:sz w:val="32"/>
          <w:szCs w:val="32"/>
        </w:rPr>
        <w:t>年度部门预算公开表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一、部门收支预算表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hint="eastAsia" w:ascii="仿宋_GB2312" w:eastAsia="仿宋_GB2312"/>
          <w:sz w:val="32"/>
          <w:szCs w:val="32"/>
        </w:rPr>
        <w:t>部门收入预算表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三、</w:t>
      </w:r>
      <w:r>
        <w:rPr>
          <w:rFonts w:hint="eastAsia" w:ascii="仿宋_GB2312" w:eastAsia="仿宋_GB2312"/>
          <w:sz w:val="32"/>
          <w:szCs w:val="32"/>
        </w:rPr>
        <w:t>部门支出预算表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hAnsi="Times New Roman" w:eastAsia="仿宋_GB2312" w:cs="仿宋_GB2312"/>
          <w:sz w:val="32"/>
          <w:szCs w:val="32"/>
        </w:rPr>
        <w:t>四、财政拨款收支总体情况表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五、</w:t>
      </w:r>
      <w:r>
        <w:rPr>
          <w:rFonts w:hint="eastAsia" w:ascii="仿宋_GB2312" w:eastAsia="仿宋_GB2312"/>
          <w:sz w:val="32"/>
          <w:szCs w:val="32"/>
        </w:rPr>
        <w:t>一般公共预算支出预算表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六、一般公共预算基本支出表</w:t>
      </w:r>
    </w:p>
    <w:p>
      <w:pPr>
        <w:kinsoku w:val="0"/>
        <w:overflowPunct w:val="0"/>
        <w:adjustRightInd w:val="0"/>
        <w:snapToGrid w:val="0"/>
        <w:spacing w:line="360" w:lineRule="auto"/>
        <w:ind w:right="51" w:firstLine="640" w:firstLineChars="200"/>
        <w:jc w:val="left"/>
        <w:rPr>
          <w:rFonts w:ascii="仿宋_GB2312" w:hAnsi="Times New Roman" w:eastAsia="仿宋_GB2312" w:cs="仿宋_GB2312"/>
          <w:sz w:val="32"/>
          <w:szCs w:val="32"/>
        </w:rPr>
      </w:pPr>
      <w:r>
        <w:rPr>
          <w:rFonts w:hint="eastAsia" w:ascii="仿宋_GB2312" w:eastAsia="仿宋_GB2312"/>
          <w:sz w:val="32"/>
          <w:szCs w:val="32"/>
        </w:rPr>
        <w:t>七、支出经济分类汇总表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hAnsi="Times New Roman" w:eastAsia="仿宋_GB2312" w:cs="仿宋_GB2312"/>
          <w:sz w:val="32"/>
          <w:szCs w:val="32"/>
        </w:rPr>
        <w:t>八、</w:t>
      </w:r>
      <w:r>
        <w:rPr>
          <w:rFonts w:hint="eastAsia" w:ascii="仿宋_GB2312" w:eastAsia="仿宋_GB2312"/>
          <w:sz w:val="32"/>
          <w:szCs w:val="32"/>
        </w:rPr>
        <w:t>一般公共预算“三公”经费预算表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九、政府性基金支出预算表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十、项目支出预算表</w:t>
      </w:r>
    </w:p>
    <w:p>
      <w:pPr>
        <w:kinsoku w:val="0"/>
        <w:overflowPunct w:val="0"/>
        <w:adjustRightInd w:val="0"/>
        <w:snapToGrid w:val="0"/>
        <w:spacing w:line="360" w:lineRule="auto"/>
        <w:ind w:right="51" w:firstLine="640" w:firstLineChars="200"/>
        <w:jc w:val="left"/>
        <w:rPr>
          <w:rFonts w:ascii="仿宋_GB2312" w:eastAsia="仿宋_GB2312"/>
          <w:sz w:val="32"/>
          <w:szCs w:val="32"/>
        </w:rPr>
      </w:pPr>
      <w:r>
        <w:rPr>
          <w:rFonts w:hint="eastAsia" w:ascii="仿宋_GB2312" w:eastAsia="仿宋_GB2312"/>
          <w:sz w:val="32"/>
          <w:szCs w:val="32"/>
        </w:rPr>
        <w:t>十一</w:t>
      </w:r>
      <w:r>
        <w:rPr>
          <w:rFonts w:hint="eastAsia" w:ascii="仿宋_GB2312" w:hAnsi="Times New Roman" w:eastAsia="仿宋_GB2312" w:cs="仿宋_GB2312"/>
          <w:sz w:val="32"/>
          <w:szCs w:val="32"/>
        </w:rPr>
        <w:t>、</w:t>
      </w:r>
      <w:r>
        <w:rPr>
          <w:rFonts w:hint="eastAsia" w:ascii="仿宋_GB2312" w:eastAsia="仿宋_GB2312"/>
          <w:sz w:val="32"/>
          <w:szCs w:val="32"/>
        </w:rPr>
        <w:t>部门整体绩效目标表</w:t>
      </w:r>
    </w:p>
    <w:p>
      <w:pPr>
        <w:kinsoku w:val="0"/>
        <w:overflowPunct w:val="0"/>
        <w:adjustRightInd w:val="0"/>
        <w:snapToGrid w:val="0"/>
        <w:spacing w:line="360" w:lineRule="auto"/>
        <w:ind w:right="51" w:firstLine="640" w:firstLineChars="200"/>
        <w:jc w:val="left"/>
        <w:rPr>
          <w:rFonts w:ascii="仿宋_GB2312" w:eastAsia="仿宋_GB2312"/>
          <w:sz w:val="32"/>
          <w:szCs w:val="32"/>
          <w:highlight w:val="red"/>
        </w:rPr>
      </w:pPr>
      <w:r>
        <w:rPr>
          <w:rFonts w:hint="eastAsia" w:ascii="仿宋_GB2312" w:eastAsia="仿宋_GB2312"/>
          <w:sz w:val="32"/>
          <w:szCs w:val="32"/>
        </w:rPr>
        <w:t>十二</w:t>
      </w:r>
      <w:r>
        <w:rPr>
          <w:rFonts w:hint="eastAsia" w:ascii="仿宋_GB2312" w:hAnsi="Times New Roman" w:eastAsia="仿宋_GB2312" w:cs="仿宋_GB2312"/>
          <w:sz w:val="32"/>
          <w:szCs w:val="32"/>
        </w:rPr>
        <w:t>、</w:t>
      </w:r>
      <w:r>
        <w:rPr>
          <w:rFonts w:hint="eastAsia" w:ascii="仿宋_GB2312" w:eastAsia="仿宋_GB2312"/>
          <w:sz w:val="32"/>
          <w:szCs w:val="32"/>
        </w:rPr>
        <w:t>部门预算项目绩效目标汇总表</w:t>
      </w:r>
    </w:p>
    <w:p>
      <w:pPr>
        <w:adjustRightInd w:val="0"/>
        <w:snapToGrid w:val="0"/>
        <w:spacing w:line="360" w:lineRule="auto"/>
        <w:ind w:firstLine="1120" w:firstLineChars="350"/>
        <w:rPr>
          <w:rFonts w:ascii="黑体" w:hAnsi="黑体" w:eastAsia="黑体"/>
          <w:sz w:val="32"/>
          <w:szCs w:val="32"/>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360" w:lineRule="auto"/>
        <w:jc w:val="center"/>
        <w:rPr>
          <w:rFonts w:ascii="方正小标宋简体" w:hAnsi="方正小标宋简体" w:eastAsia="方正小标宋简体" w:cs="方正小标宋简体"/>
          <w:sz w:val="36"/>
          <w:szCs w:val="36"/>
        </w:rPr>
      </w:pPr>
    </w:p>
    <w:p>
      <w:pPr>
        <w:adjustRightInd w:val="0"/>
        <w:snapToGrid w:val="0"/>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adjustRightInd w:val="0"/>
        <w:snapToGrid w:val="0"/>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新乡市卫滨区文化广电和旅游局单位概况</w:t>
      </w:r>
    </w:p>
    <w:p>
      <w:pPr>
        <w:adjustRightInd w:val="0"/>
        <w:snapToGrid w:val="0"/>
        <w:spacing w:line="560" w:lineRule="exact"/>
        <w:jc w:val="center"/>
        <w:rPr>
          <w:rFonts w:ascii="黑体" w:hAnsi="黑体" w:eastAsia="黑体"/>
          <w:sz w:val="32"/>
          <w:szCs w:val="32"/>
        </w:rPr>
      </w:pPr>
    </w:p>
    <w:p>
      <w:pPr>
        <w:numPr>
          <w:ilvl w:val="0"/>
          <w:numId w:val="1"/>
        </w:numPr>
        <w:adjustRightInd w:val="0"/>
        <w:snapToGrid w:val="0"/>
        <w:spacing w:line="560" w:lineRule="exact"/>
        <w:rPr>
          <w:rFonts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卫滨区文化广电和旅游局</w:t>
      </w:r>
      <w:r>
        <w:rPr>
          <w:rFonts w:hint="eastAsia" w:ascii="黑体" w:hAnsi="黑体" w:eastAsia="黑体"/>
          <w:sz w:val="32"/>
          <w:szCs w:val="32"/>
        </w:rPr>
        <w:t>主要职责</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（一）贯彻落实党和国家关于文化、广播电视、文物工作的方针政策。</w:t>
      </w:r>
      <w:r>
        <w:rPr>
          <w:rFonts w:hint="eastAsia" w:ascii="仿宋_GB2312" w:hAnsi="仿宋_GB2312" w:eastAsia="仿宋_GB2312" w:cs="仿宋_GB2312"/>
          <w:sz w:val="32"/>
          <w:szCs w:val="32"/>
        </w:rPr>
        <w:t>执行国家、省有关文化、旅游、广播电视、文物方面的法律、法规、标准和规范；研究拟订全区文化、旅游、广播电视、网络视听节目服务管理、文物管理工作的政策措施并组织实施。</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（二）统筹规划全区文化事业、文化产业、旅游业和广播电视领域事业、产业发展。</w:t>
      </w:r>
      <w:r>
        <w:rPr>
          <w:rFonts w:hint="eastAsia" w:ascii="仿宋_GB2312" w:hAnsi="仿宋_GB2312" w:eastAsia="仿宋_GB2312" w:cs="仿宋_GB2312"/>
          <w:sz w:val="32"/>
          <w:szCs w:val="32"/>
        </w:rPr>
        <w:t>拟订发展规划并组织实施；推进文化和旅游融合发展，推进全区文化、旅游和广播电视领域体制机制改革。</w:t>
      </w:r>
    </w:p>
    <w:p>
      <w:pPr>
        <w:spacing w:line="560" w:lineRule="exact"/>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（三）管理全区重大文化和旅游活动。</w:t>
      </w:r>
      <w:r>
        <w:rPr>
          <w:rFonts w:hint="eastAsia" w:ascii="仿宋_GB2312" w:hAnsi="仿宋_GB2312" w:eastAsia="仿宋_GB2312" w:cs="仿宋_GB2312"/>
          <w:sz w:val="32"/>
          <w:szCs w:val="32"/>
        </w:rPr>
        <w:t>指导全区重点文化和旅游设施建设，组织全区文化和旅游整体形象宣传推广，促进文化产业和旅游产业对外合作和市场推广，拟订旅游市场开发规划并组织实施，指导、推进全域旅游。</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（四）指导、管理全区文艺事业。</w:t>
      </w:r>
      <w:r>
        <w:rPr>
          <w:rFonts w:hint="eastAsia" w:ascii="仿宋_GB2312" w:hAnsi="仿宋_GB2312" w:eastAsia="仿宋_GB2312" w:cs="仿宋_GB2312"/>
          <w:sz w:val="32"/>
          <w:szCs w:val="32"/>
        </w:rPr>
        <w:t>指导艺术创作生产，扶持体现社会主义核心价值观、具有导向性代表性示范性的文艺作品，推动各相关门类艺术、各相关艺术品种发展。</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（五）负责全区公共文化事业发展。</w:t>
      </w:r>
      <w:r>
        <w:rPr>
          <w:rFonts w:hint="eastAsia" w:ascii="仿宋_GB2312" w:hAnsi="仿宋_GB2312" w:eastAsia="仿宋_GB2312" w:cs="仿宋_GB2312"/>
          <w:sz w:val="32"/>
          <w:szCs w:val="32"/>
        </w:rPr>
        <w:t>推进公共文化服务体系建设和旅游公共服务建设，深入推进旅游惠民、推动文化惠民工程实施；负责全区广播电视领域事业发展，组织实施相关公共服务重大公益工程和公益活动。</w:t>
      </w:r>
    </w:p>
    <w:p>
      <w:pPr>
        <w:spacing w:line="560" w:lineRule="exact"/>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 xml:space="preserve">（六）指导、推进全区文化和旅游科技创新发展，推进文化和旅游行业信息化、标准化建设。 </w:t>
      </w:r>
    </w:p>
    <w:p>
      <w:pPr>
        <w:spacing w:line="560" w:lineRule="exact"/>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（七）负责全区非物质文化遗产保护，推动非物质文化遗产的传承、普及、弘扬和振兴。</w:t>
      </w:r>
    </w:p>
    <w:p>
      <w:pPr>
        <w:spacing w:line="560" w:lineRule="exact"/>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（八）统筹规划全区文化产业和旅游产业，组织实施文化和旅游资源普查、挖掘、保护和利用工作，促进文化产业和旅游产业发展。</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（九）指导全区文化和旅游市场发展。</w:t>
      </w:r>
      <w:r>
        <w:rPr>
          <w:rFonts w:hint="eastAsia" w:ascii="仿宋_GB2312" w:hAnsi="仿宋_GB2312" w:eastAsia="仿宋_GB2312" w:cs="仿宋_GB2312"/>
          <w:sz w:val="32"/>
          <w:szCs w:val="32"/>
        </w:rPr>
        <w:t>对文化和旅游市场经营进行行业监管，推进文化和旅游行业信用体系建设，依法规范文化和旅游市场，会同有关部门履行行业安全监管责任。</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（十）指导全区文化市场综合执法。</w:t>
      </w:r>
      <w:r>
        <w:rPr>
          <w:rFonts w:hint="eastAsia" w:ascii="仿宋_GB2312" w:hAnsi="仿宋_GB2312" w:eastAsia="仿宋_GB2312" w:cs="仿宋_GB2312"/>
          <w:sz w:val="32"/>
          <w:szCs w:val="32"/>
        </w:rPr>
        <w:t>组织查处全区性、跨区域文化、文物、出版、广播电视、电影、旅游等市场的违法行为，督查督办大案要案，维护市场秩序。</w:t>
      </w:r>
    </w:p>
    <w:p>
      <w:pPr>
        <w:spacing w:line="560" w:lineRule="exact"/>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（十一）指导、管理全区文化和旅游对外及对港澳交流、合作和宣传、推广工作，组织大型文化和旅游对外及对港澳交流、推广活动，推动中原文化走出去。</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（十二）拟订全区文物和博物馆事业发展规划并监督实施，负责全区世界文化遗产保护和管理的监督工作。</w:t>
      </w:r>
      <w:r>
        <w:rPr>
          <w:rFonts w:hint="eastAsia" w:ascii="仿宋_GB2312" w:hAnsi="仿宋_GB2312" w:eastAsia="仿宋_GB2312" w:cs="仿宋_GB2312"/>
          <w:sz w:val="32"/>
          <w:szCs w:val="32"/>
        </w:rPr>
        <w:t>组织世界文化遗产申报工作，协同有关部门对世界文化和自然双重遗产申报，协同有关部门负责历史文化名城、历史文化街区、名镇、名村、传统村落的推荐申报、规划、管理、保护、监督工作；组织全区文物资源调查，申报全国、省级重点文物保护单位，指导全区遗址保护、古建筑保护维修、近现代重要史迹及代表性建筑保护工作，组织实施文物保护和考古发掘项目，负责全区文物调查、勘探、考古发掘工作；负责推动完善全区文物和博物馆公共服务体系建设，指导全区文物和博物馆、纪念馆的业务工作；指导社会文物的管理、抢救、征集等工作；负责全区区域内重点项目建设中的文物抢救保护工作；拟订全区文物和博物馆科技、信息化工作规划，组织实施重大文物保护科技项目，促进文物保护科技成果转化和推广；拟订全区文物资源管理利用规划，指导全区文物和博物馆单位开放利用及文创产品的研发推广，会同有关部门做好全区文物单位的开放管理、保护利用工作，促进文旅融合；管理、指导全区文物和博物馆外事工作，开展对外及对港、澳地区的文物交流与合作。</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（十三）负责全区动漫和网络游戏相关产业规划、产业基地、项目建设、会展交易和市场监管。</w:t>
      </w:r>
      <w:r>
        <w:rPr>
          <w:rFonts w:hint="eastAsia" w:ascii="仿宋_GB2312" w:hAnsi="仿宋_GB2312" w:eastAsia="仿宋_GB2312" w:cs="仿宋_GB2312"/>
          <w:sz w:val="32"/>
          <w:szCs w:val="32"/>
        </w:rPr>
        <w:t>负责对电视动漫和网络视听中的动漫节目进行管理。</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（十四）负责对全区各类广播电视机构进行业务指导和行业监管。</w:t>
      </w:r>
      <w:r>
        <w:rPr>
          <w:rFonts w:hint="eastAsia" w:ascii="仿宋_GB2312" w:hAnsi="仿宋_GB2312" w:eastAsia="仿宋_GB2312" w:cs="仿宋_GB2312"/>
          <w:sz w:val="32"/>
          <w:szCs w:val="32"/>
        </w:rPr>
        <w:t>会同有关部门对网络视听节目服务机构进行管理；指导全区电视剧行业发展和电视剧创作生产；监督管理、审查全区广播电视节目、网络视听节目的内容和质量；指导、监管广播电视广告播放。</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（十五）负责推进全区广播电视与新媒体新技术新业态融合发展。</w:t>
      </w:r>
      <w:r>
        <w:rPr>
          <w:rFonts w:hint="eastAsia" w:ascii="仿宋_GB2312" w:hAnsi="仿宋_GB2312" w:eastAsia="仿宋_GB2312" w:cs="仿宋_GB2312"/>
          <w:sz w:val="32"/>
          <w:szCs w:val="32"/>
        </w:rPr>
        <w:t>推进广电网与电信网、互联网三网融合；组织拟订全区广播电视科技发展规划、政策并组织实施和监督检查；负责对全区广播电视节目传输覆盖、监测和安全播出进行监管，指导、推进全区“智慧广电”建设和应急广播体系建设；指导、协调广播电视系统安全和保卫工作。</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（十六）总体谋划、统筹协调、归口管理、检查督办全区外事、港澳工作，拟订全区外事、港澳工作地方性规章制度、发展战略和工作规划并组织实施。</w:t>
      </w:r>
      <w:r>
        <w:rPr>
          <w:rFonts w:hint="eastAsia" w:ascii="仿宋_GB2312" w:hAnsi="仿宋_GB2312" w:eastAsia="仿宋_GB2312" w:cs="仿宋_GB2312"/>
          <w:sz w:val="32"/>
          <w:szCs w:val="32"/>
        </w:rPr>
        <w:t>指导全区外事工作主动融入国家重大外交战略和总体外交，指导各镇办、各单位开展对外交流合作，服务全区对外开放和经济社会发展。</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（十七）负责国际形势、外事和港澳政策及法规等宣传教育。</w:t>
      </w:r>
      <w:r>
        <w:rPr>
          <w:rFonts w:hint="eastAsia" w:ascii="仿宋_GB2312" w:hAnsi="仿宋_GB2312" w:eastAsia="仿宋_GB2312" w:cs="仿宋_GB2312"/>
          <w:sz w:val="32"/>
          <w:szCs w:val="32"/>
        </w:rPr>
        <w:t>负责对外信息的收集整理和通报；审核各部门、各单位报请区委、区政府审批的外事、港澳工作文件；研究外事、港澳工作重大问题和有关动态并提出工作建议；落实中央对外党际交往相关任务；协调相关部门开展公共外交；负责我区对外缔结友好关系审核、报批工作，指导推进全区民间和友城对外交往；负责社会民间组织对外交往活动的指导、协调。</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（十八）统筹安排区委、区人大、区政府、区政协领导的外事活动。</w:t>
      </w:r>
      <w:r>
        <w:rPr>
          <w:rFonts w:hint="eastAsia" w:ascii="仿宋_GB2312" w:hAnsi="仿宋_GB2312" w:eastAsia="仿宋_GB2312" w:cs="仿宋_GB2312"/>
          <w:sz w:val="32"/>
          <w:szCs w:val="32"/>
        </w:rPr>
        <w:t>指导协调全区涉外礼宾工作，负责组织或参与接待来卫滨区访问的重要外宾和其他重要客人；负责与我驻外使(领)馆和外国驻华使(领)馆的有关事务联系和外国驻华使领馆官员来卫滨区活动管理工作；负责全区领事业务工作；指导全区涉外领事保护工作，会同有关部门协调处理各类涉外事件，协调推动全区与“一带一路”沿线国家和地区开展国际交流与合作，负责全区外向型企业在“一带一路”沿线国家和地区的安全保障工作；负责审核呈报邀请外国人来卫滨区事宜，协同有关部门做好外国人在卫滨区的管理工作；审核呈报在卫滨区举办国际会议事宜；负责外国和港澳地区记者、外国和港澳地区常驻新闻机构及记者来卫滨区采访管理有关事宜；负责协调涉外突发公共事件新闻报道的审核。</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（十九）贯彻落实中央因公出国（境）政策规定，负责归口管理全区因公出国(境)工作。</w:t>
      </w:r>
      <w:r>
        <w:rPr>
          <w:rFonts w:hint="eastAsia" w:ascii="仿宋_GB2312" w:hAnsi="仿宋_GB2312" w:eastAsia="仿宋_GB2312" w:cs="仿宋_GB2312"/>
          <w:sz w:val="32"/>
          <w:szCs w:val="32"/>
        </w:rPr>
        <w:t>审核呈报全区因公出国(境)有关事项；采集因公出国(境)电子护照信息和上报制证；负责对全区因公出国(境)团组进行出访前外事纪律教育；牵头组织有关部门监督检查全区因公出国(境)执行情况。</w:t>
      </w:r>
    </w:p>
    <w:p>
      <w:pPr>
        <w:spacing w:line="560" w:lineRule="exact"/>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（二十）负责与香港、澳门特别行政区政府及中央驻港澳机构的联络工作。</w:t>
      </w:r>
      <w:r>
        <w:rPr>
          <w:rFonts w:hint="eastAsia" w:ascii="仿宋_GB2312" w:hAnsi="仿宋_GB2312" w:eastAsia="仿宋_GB2312" w:cs="仿宋_GB2312"/>
          <w:sz w:val="32"/>
          <w:szCs w:val="32"/>
        </w:rPr>
        <w:t>负责指导和管理全区与香港、澳门地区因公往来的有关事务；参与本区内企业在香港、澳门地区的有关协调工作；承办国务院港澳办、省政府港澳办、市政府港澳办交办的有关事项。</w:t>
      </w:r>
    </w:p>
    <w:p>
      <w:pPr>
        <w:spacing w:line="560" w:lineRule="exact"/>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二十一）承担卫滨区文化体制改革工作领导小组办公室、卫滨区文化市场管理工作领导小组办公室、卫滨区文物保护管理工作领导小组办公室、卫滨区非物质文化遗产保护领导小组办公室、卫滨区旅游综合监管领导小组办公室日常工作。</w:t>
      </w:r>
    </w:p>
    <w:p>
      <w:pPr>
        <w:spacing w:line="560" w:lineRule="exact"/>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（二十二）完成区委、区政府交办的其他任务。</w:t>
      </w:r>
    </w:p>
    <w:p>
      <w:pPr>
        <w:pStyle w:val="8"/>
        <w:spacing w:line="560" w:lineRule="exact"/>
        <w:ind w:firstLine="640" w:firstLineChars="200"/>
        <w:jc w:val="both"/>
        <w:rPr>
          <w:rFonts w:ascii="黑体" w:hAnsi="黑体" w:eastAsia="黑体" w:cs="黑体"/>
          <w:sz w:val="32"/>
          <w:szCs w:val="32"/>
          <w:highlight w:val="red"/>
        </w:rPr>
      </w:pPr>
      <w:r>
        <w:rPr>
          <w:rFonts w:hint="eastAsia" w:ascii="黑体" w:hAnsi="黑体" w:eastAsia="黑体" w:cs="黑体"/>
          <w:sz w:val="32"/>
          <w:szCs w:val="32"/>
        </w:rPr>
        <w:t>二、</w:t>
      </w:r>
      <w:r>
        <w:rPr>
          <w:rFonts w:hint="eastAsia" w:ascii="黑体" w:hAnsi="Times New Roman" w:eastAsia="黑体" w:cs="黑体"/>
          <w:sz w:val="32"/>
          <w:szCs w:val="32"/>
        </w:rPr>
        <w:t>新乡市</w:t>
      </w:r>
      <w:r>
        <w:rPr>
          <w:rFonts w:hint="eastAsia" w:ascii="黑体" w:hAnsi="黑体" w:eastAsia="黑体" w:cs="黑体"/>
          <w:sz w:val="32"/>
          <w:szCs w:val="32"/>
        </w:rPr>
        <w:t>卫滨区文化广电和旅游局单位</w:t>
      </w:r>
      <w:r>
        <w:rPr>
          <w:rFonts w:hint="eastAsia" w:ascii="黑体" w:hAnsi="黑体" w:eastAsia="黑体"/>
          <w:sz w:val="32"/>
          <w:szCs w:val="32"/>
        </w:rPr>
        <w:t>构成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年度部门预算包括局本级预算和二级机构预算。</w:t>
      </w:r>
    </w:p>
    <w:p>
      <w:pPr>
        <w:spacing w:line="560" w:lineRule="exact"/>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新乡市卫滨区文化广电和旅游局设下列内设机构：</w:t>
      </w:r>
      <w:r>
        <w:rPr>
          <w:rFonts w:ascii="Times New Roman" w:hAnsi="Times New Roman" w:eastAsia="仿宋_GB2312"/>
          <w:sz w:val="32"/>
          <w:szCs w:val="32"/>
        </w:rPr>
        <w:t>综合办公室（文化文物广电室、外事旅游室）</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仿宋_GB2312" w:eastAsia="仿宋_GB2312" w:cs="仿宋_GB2312"/>
          <w:sz w:val="32"/>
          <w:szCs w:val="32"/>
        </w:rPr>
        <w:t>年度部门预算编制范围的单位共</w:t>
      </w:r>
      <w:r>
        <w:rPr>
          <w:rFonts w:hint="eastAsia" w:ascii="Times New Roman" w:hAnsi="Times New Roman" w:eastAsia="仿宋_GB2312"/>
          <w:sz w:val="32"/>
          <w:szCs w:val="32"/>
          <w:lang w:val="en-US" w:eastAsia="zh-CN"/>
        </w:rPr>
        <w:t>1</w:t>
      </w:r>
      <w:r>
        <w:rPr>
          <w:rFonts w:hint="eastAsia" w:ascii="仿宋_GB2312" w:hAnsi="仿宋_GB2312" w:eastAsia="仿宋_GB2312" w:cs="仿宋_GB2312"/>
          <w:sz w:val="32"/>
          <w:szCs w:val="32"/>
        </w:rPr>
        <w:t>个，其中二级机构</w:t>
      </w:r>
      <w:r>
        <w:rPr>
          <w:rFonts w:hint="eastAsia" w:ascii="Times New Roman" w:hAnsi="Times New Roman" w:eastAsia="仿宋_GB2312"/>
          <w:sz w:val="32"/>
          <w:szCs w:val="32"/>
          <w:lang w:val="en-US" w:eastAsia="zh-CN"/>
        </w:rPr>
        <w:t>0</w:t>
      </w:r>
      <w:r>
        <w:rPr>
          <w:rFonts w:hint="eastAsia" w:ascii="仿宋_GB2312" w:hAnsi="仿宋_GB2312" w:eastAsia="仿宋_GB2312" w:cs="仿宋_GB2312"/>
          <w:sz w:val="32"/>
          <w:szCs w:val="32"/>
        </w:rPr>
        <w:t>个，具体是：</w:t>
      </w:r>
    </w:p>
    <w:p>
      <w:pPr>
        <w:numPr>
          <w:ilvl w:val="0"/>
          <w:numId w:val="2"/>
        </w:num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新乡市卫滨区文化广电和旅游局本级</w:t>
      </w:r>
    </w:p>
    <w:p>
      <w:pPr>
        <w:adjustRightInd w:val="0"/>
        <w:snapToGrid w:val="0"/>
        <w:spacing w:line="560" w:lineRule="exact"/>
        <w:jc w:val="center"/>
        <w:rPr>
          <w:rFonts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adjustRightInd w:val="0"/>
        <w:snapToGrid w:val="0"/>
        <w:spacing w:line="560" w:lineRule="exact"/>
        <w:ind w:firstLine="720" w:firstLine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新乡市卫滨区文化广电和旅游局</w:t>
      </w:r>
      <w:r>
        <w:rPr>
          <w:rFonts w:ascii="Times New Roman" w:hAnsi="Times New Roman" w:eastAsia="方正小标宋简体"/>
          <w:sz w:val="36"/>
          <w:szCs w:val="36"/>
        </w:rPr>
        <w:t>202</w:t>
      </w:r>
      <w:r>
        <w:rPr>
          <w:rFonts w:hint="eastAsia" w:ascii="Times New Roman" w:hAnsi="Times New Roman" w:eastAsia="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一、收入支出预算总体情况说明</w:t>
      </w:r>
    </w:p>
    <w:p>
      <w:pPr>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eastAsia="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sz w:val="32"/>
          <w:szCs w:val="32"/>
          <w:lang w:val="en-US" w:eastAsia="zh-CN"/>
        </w:rPr>
        <w:t>568.23</w:t>
      </w:r>
      <w:r>
        <w:rPr>
          <w:rFonts w:hint="eastAsia" w:ascii="仿宋_GB2312" w:hAnsi="仿宋_GB2312" w:eastAsia="仿宋_GB2312" w:cs="仿宋_GB2312"/>
          <w:sz w:val="32"/>
          <w:szCs w:val="32"/>
        </w:rPr>
        <w:t>万元，支出总计</w:t>
      </w:r>
      <w:r>
        <w:rPr>
          <w:rFonts w:hint="eastAsia" w:ascii="Times New Roman" w:hAnsi="Times New Roman" w:eastAsia="仿宋_GB2312"/>
          <w:sz w:val="32"/>
          <w:szCs w:val="32"/>
          <w:lang w:val="en-US" w:eastAsia="zh-CN"/>
        </w:rPr>
        <w:t>568.23</w:t>
      </w:r>
      <w:r>
        <w:rPr>
          <w:rFonts w:hint="eastAsia" w:ascii="仿宋_GB2312" w:hAnsi="仿宋_GB2312" w:eastAsia="仿宋_GB2312" w:cs="仿宋_GB2312"/>
          <w:sz w:val="32"/>
          <w:szCs w:val="32"/>
        </w:rPr>
        <w:t>万元，与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仿宋_GB2312" w:eastAsia="仿宋_GB2312" w:cs="仿宋_GB2312"/>
          <w:sz w:val="32"/>
          <w:szCs w:val="32"/>
        </w:rPr>
        <w:t>年预算相比，收入</w:t>
      </w:r>
      <w:r>
        <w:rPr>
          <w:rFonts w:hint="eastAsia" w:ascii="仿宋_GB2312" w:hAnsi="仿宋_GB2312" w:eastAsia="仿宋_GB2312" w:cs="仿宋_GB2312"/>
          <w:sz w:val="32"/>
          <w:szCs w:val="32"/>
          <w:lang w:eastAsia="zh-CN"/>
        </w:rPr>
        <w:t>增加</w:t>
      </w:r>
      <w:r>
        <w:rPr>
          <w:rFonts w:hint="eastAsia" w:ascii="Times New Roman" w:hAnsi="Times New Roman" w:eastAsia="仿宋_GB2312"/>
          <w:sz w:val="32"/>
          <w:szCs w:val="32"/>
          <w:lang w:val="en-US" w:eastAsia="zh-CN"/>
        </w:rPr>
        <w:t>243.99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Times New Roman" w:hAnsi="Times New Roman" w:eastAsia="仿宋_GB2312"/>
          <w:sz w:val="32"/>
          <w:szCs w:val="32"/>
          <w:lang w:val="en-US" w:eastAsia="zh-CN"/>
        </w:rPr>
        <w:t>75.25</w:t>
      </w:r>
      <w:r>
        <w:rPr>
          <w:rFonts w:ascii="Times New Roman" w:hAnsi="Times New Roman" w:eastAsia="仿宋_GB2312"/>
          <w:sz w:val="32"/>
          <w:szCs w:val="32"/>
        </w:rPr>
        <w:t>%</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一是文旅局二级机构图书馆、文化馆预算合并至文旅局本级，二是文物保护修缮等指标文专项资金增加</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增加</w:t>
      </w:r>
      <w:r>
        <w:rPr>
          <w:rFonts w:hint="eastAsia" w:ascii="Times New Roman" w:hAnsi="Times New Roman" w:eastAsia="仿宋_GB2312"/>
          <w:sz w:val="32"/>
          <w:szCs w:val="32"/>
          <w:lang w:val="en-US" w:eastAsia="zh-CN"/>
        </w:rPr>
        <w:t>243.99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Times New Roman" w:hAnsi="Times New Roman" w:eastAsia="仿宋_GB2312"/>
          <w:sz w:val="32"/>
          <w:szCs w:val="32"/>
          <w:lang w:val="en-US" w:eastAsia="zh-CN"/>
        </w:rPr>
        <w:t>75.25</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一是文旅局二级机构图书馆、文化馆预算合并至文旅局本级，二是文物保护修缮等指标文专项资金增加</w:t>
      </w:r>
      <w:r>
        <w:rPr>
          <w:rFonts w:hint="eastAsia" w:ascii="仿宋_GB2312" w:hAnsi="宋体" w:eastAsia="仿宋_GB2312" w:cs="Courier New"/>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二、收入预算总体情况说明</w:t>
      </w:r>
    </w:p>
    <w:p>
      <w:pPr>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eastAsia="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sz w:val="32"/>
          <w:szCs w:val="32"/>
          <w:lang w:val="en-US" w:eastAsia="zh-CN"/>
        </w:rPr>
        <w:t>568.23</w:t>
      </w:r>
      <w:r>
        <w:rPr>
          <w:rFonts w:hint="eastAsia" w:ascii="仿宋_GB2312" w:hAnsi="仿宋_GB2312" w:eastAsia="仿宋_GB2312" w:cs="仿宋_GB2312"/>
          <w:sz w:val="32"/>
          <w:szCs w:val="32"/>
        </w:rPr>
        <w:t>万元，收入预算总计</w:t>
      </w:r>
      <w:r>
        <w:rPr>
          <w:rFonts w:hint="eastAsia" w:ascii="仿宋_GB2312" w:hAnsi="仿宋_GB2312" w:eastAsia="仿宋_GB2312" w:cs="仿宋_GB2312"/>
          <w:sz w:val="32"/>
          <w:szCs w:val="32"/>
          <w:lang w:eastAsia="zh-CN"/>
        </w:rPr>
        <w:t>增加</w:t>
      </w:r>
      <w:r>
        <w:rPr>
          <w:rFonts w:hint="eastAsia" w:ascii="Times New Roman" w:hAnsi="Times New Roman" w:eastAsia="仿宋_GB2312"/>
          <w:sz w:val="32"/>
          <w:szCs w:val="32"/>
          <w:lang w:val="en-US" w:eastAsia="zh-CN"/>
        </w:rPr>
        <w:t>243.99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Times New Roman" w:hAnsi="Times New Roman" w:eastAsia="仿宋_GB2312"/>
          <w:sz w:val="32"/>
          <w:szCs w:val="32"/>
          <w:lang w:val="en-US" w:eastAsia="zh-CN"/>
        </w:rPr>
        <w:t>75.25</w:t>
      </w:r>
      <w:r>
        <w:rPr>
          <w:rFonts w:ascii="Times New Roman" w:hAnsi="Times New Roman" w:eastAsia="仿宋_GB2312"/>
          <w:sz w:val="32"/>
          <w:szCs w:val="32"/>
        </w:rPr>
        <w:t>%</w:t>
      </w:r>
      <w:r>
        <w:rPr>
          <w:rFonts w:hint="eastAsia" w:ascii="仿宋_GB2312" w:hAnsi="仿宋_GB2312" w:eastAsia="仿宋_GB2312" w:cs="仿宋_GB2312"/>
          <w:sz w:val="32"/>
          <w:szCs w:val="32"/>
        </w:rPr>
        <w:t>，原因</w:t>
      </w:r>
      <w:r>
        <w:rPr>
          <w:rFonts w:hint="eastAsia" w:ascii="仿宋_GB2312" w:hAnsi="仿宋_GB2312" w:eastAsia="仿宋_GB2312" w:cs="仿宋_GB2312"/>
          <w:sz w:val="32"/>
          <w:szCs w:val="32"/>
          <w:lang w:eastAsia="zh-CN"/>
        </w:rPr>
        <w:t>一是文旅局二级机构图书馆、文化馆预算合并至文旅局本级，二是文物保护修缮等指标文专项资金增加</w:t>
      </w:r>
      <w:r>
        <w:rPr>
          <w:rFonts w:hint="eastAsia" w:ascii="仿宋_GB2312" w:hAnsi="宋体" w:eastAsia="仿宋_GB2312" w:cs="Courier New"/>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其中：一般公共预算</w:t>
      </w:r>
      <w:r>
        <w:rPr>
          <w:rFonts w:hint="eastAsia" w:ascii="Times New Roman" w:hAnsi="Times New Roman" w:eastAsia="仿宋_GB2312"/>
          <w:sz w:val="32"/>
          <w:szCs w:val="32"/>
          <w:lang w:val="en-US" w:eastAsia="zh-CN"/>
        </w:rPr>
        <w:t>279.36</w:t>
      </w:r>
      <w:r>
        <w:rPr>
          <w:rFonts w:hint="eastAsia" w:ascii="仿宋_GB2312" w:hAnsi="仿宋_GB2312" w:eastAsia="仿宋_GB2312" w:cs="仿宋_GB2312"/>
          <w:sz w:val="32"/>
          <w:szCs w:val="32"/>
        </w:rPr>
        <w:t>万元; 政府性基金收入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万元；国有资本经营预算收入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万元；财政专户管理资金收入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万元（其中专户管理的教育收费</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万元；事业单位经营收入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万元；上级补助收入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万元；附属单位上缴收入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万元；其他收入</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万元；上年结转结余中一般公共预算</w:t>
      </w:r>
      <w:r>
        <w:rPr>
          <w:rFonts w:hint="eastAsia" w:ascii="Times New Roman" w:hAnsi="Times New Roman" w:eastAsia="仿宋_GB2312"/>
          <w:sz w:val="32"/>
          <w:szCs w:val="32"/>
          <w:lang w:val="en-US" w:eastAsia="zh-CN"/>
        </w:rPr>
        <w:t>288.87</w:t>
      </w:r>
      <w:r>
        <w:rPr>
          <w:rFonts w:hint="eastAsia" w:ascii="仿宋_GB2312" w:hAnsi="仿宋_GB2312" w:eastAsia="仿宋_GB2312" w:cs="仿宋_GB2312"/>
          <w:sz w:val="32"/>
          <w:szCs w:val="32"/>
        </w:rPr>
        <w:t>万元；上年结转结余中政府性基金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万元；上年结转结余中国有资本经营预算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万元；上年结转结余中财政专户管理资金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万元；上年结转结余中单位资金</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三、支出预算总体情况说明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sz w:val="32"/>
          <w:szCs w:val="32"/>
          <w:lang w:val="en-US" w:eastAsia="zh-CN"/>
        </w:rPr>
        <w:t>568.23</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lang w:val="en-US" w:eastAsia="zh-CN"/>
        </w:rPr>
        <w:t>161.54</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28.43</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lang w:val="en-US" w:eastAsia="zh-CN"/>
        </w:rPr>
        <w:t>406.69</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71.57</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四、财政拨款收入支出预算总体情况说明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年一般公共财政预算拨款收支预算</w:t>
      </w:r>
      <w:r>
        <w:rPr>
          <w:rFonts w:hint="eastAsia" w:ascii="Times New Roman" w:hAnsi="Times New Roman" w:eastAsia="仿宋_GB2312"/>
          <w:sz w:val="32"/>
          <w:szCs w:val="32"/>
          <w:lang w:val="en-US" w:eastAsia="zh-CN"/>
        </w:rPr>
        <w:t>568.23</w:t>
      </w:r>
      <w:r>
        <w:rPr>
          <w:rFonts w:hint="eastAsia" w:ascii="仿宋_GB2312" w:hAnsi="仿宋_GB2312" w:eastAsia="仿宋_GB2312" w:cs="仿宋_GB2312"/>
          <w:sz w:val="32"/>
          <w:szCs w:val="32"/>
        </w:rPr>
        <w:t>万元，政府性基金收支预算</w:t>
      </w:r>
      <w:r>
        <w:rPr>
          <w:rFonts w:hint="eastAsia" w:ascii="Times New Roman" w:hAnsi="Times New Roman" w:eastAsia="仿宋_GB2312"/>
          <w:sz w:val="32"/>
          <w:szCs w:val="32"/>
        </w:rPr>
        <w:t>0</w:t>
      </w:r>
      <w:r>
        <w:rPr>
          <w:rFonts w:hint="eastAsia" w:ascii="仿宋_GB2312" w:hAnsi="仿宋_GB2312" w:eastAsia="仿宋_GB2312" w:cs="仿宋_GB2312"/>
          <w:sz w:val="32"/>
          <w:szCs w:val="32"/>
        </w:rPr>
        <w:t xml:space="preserve">万元。与 </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仿宋_GB2312" w:hAnsi="仿宋_GB2312" w:eastAsia="仿宋_GB2312" w:cs="仿宋_GB2312"/>
          <w:sz w:val="32"/>
          <w:szCs w:val="32"/>
        </w:rPr>
        <w:t>年相比，一般公共预算收支预算</w:t>
      </w:r>
      <w:r>
        <w:rPr>
          <w:rFonts w:hint="eastAsia" w:ascii="仿宋_GB2312" w:hAnsi="仿宋_GB2312" w:eastAsia="仿宋_GB2312" w:cs="仿宋_GB2312"/>
          <w:sz w:val="32"/>
          <w:szCs w:val="32"/>
          <w:lang w:eastAsia="zh-CN"/>
        </w:rPr>
        <w:t>增加</w:t>
      </w:r>
      <w:r>
        <w:rPr>
          <w:rFonts w:hint="eastAsia" w:ascii="Times New Roman" w:hAnsi="Times New Roman" w:eastAsia="仿宋_GB2312"/>
          <w:sz w:val="32"/>
          <w:szCs w:val="32"/>
          <w:lang w:val="en-US" w:eastAsia="zh-CN"/>
        </w:rPr>
        <w:t>243.99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Times New Roman" w:hAnsi="Times New Roman" w:eastAsia="仿宋_GB2312"/>
          <w:sz w:val="32"/>
          <w:szCs w:val="32"/>
          <w:lang w:val="en-US" w:eastAsia="zh-CN"/>
        </w:rPr>
        <w:t>75.25</w:t>
      </w:r>
      <w:r>
        <w:rPr>
          <w:rFonts w:ascii="Times New Roman" w:hAnsi="Times New Roman" w:eastAsia="仿宋_GB2312"/>
          <w:sz w:val="32"/>
          <w:szCs w:val="32"/>
        </w:rPr>
        <w:t>%</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一是文旅局二级机构图书馆、文化馆预算合并至文旅局本级，二是文物保护修缮等指标文专项资金增加</w:t>
      </w:r>
      <w:r>
        <w:rPr>
          <w:rFonts w:hint="eastAsia" w:ascii="仿宋_GB2312" w:hAnsi="仿宋_GB2312" w:eastAsia="仿宋_GB2312" w:cs="仿宋_GB2312"/>
          <w:sz w:val="32"/>
          <w:szCs w:val="32"/>
        </w:rPr>
        <w:t>；政府性基金收支预算增加</w:t>
      </w:r>
      <w:r>
        <w:rPr>
          <w:rFonts w:ascii="Times New Roman" w:hAnsi="Times New Roman" w:eastAsia="仿宋_GB2312"/>
          <w:sz w:val="32"/>
          <w:szCs w:val="32"/>
        </w:rPr>
        <w:t>0</w:t>
      </w:r>
      <w:r>
        <w:rPr>
          <w:rFonts w:hint="eastAsia" w:ascii="仿宋_GB2312" w:hAnsi="仿宋_GB2312" w:eastAsia="仿宋_GB2312" w:cs="仿宋_GB2312"/>
          <w:sz w:val="32"/>
          <w:szCs w:val="32"/>
        </w:rPr>
        <w:t>万元，增长</w:t>
      </w:r>
      <w:r>
        <w:rPr>
          <w:rFonts w:ascii="Times New Roman" w:hAnsi="Times New Roman" w:eastAsia="仿宋_GB2312"/>
          <w:sz w:val="32"/>
          <w:szCs w:val="32"/>
        </w:rPr>
        <w:t>0%</w:t>
      </w:r>
      <w:r>
        <w:rPr>
          <w:rFonts w:hint="eastAsia" w:ascii="仿宋_GB2312" w:hAnsi="仿宋_GB2312" w:eastAsia="仿宋_GB2312" w:cs="仿宋_GB2312"/>
          <w:sz w:val="32"/>
          <w:szCs w:val="32"/>
        </w:rPr>
        <w:t>，主要是我部门没有政府性基金收入，也没有使用政府性基金安排支出，故收支均为</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eastAsia="仿宋_GB2312"/>
          <w:sz w:val="32"/>
          <w:szCs w:val="32"/>
        </w:rPr>
      </w:pPr>
      <w:r>
        <w:rPr>
          <w:rFonts w:hint="eastAsia" w:ascii="黑体" w:hAnsi="黑体" w:eastAsia="黑体"/>
          <w:sz w:val="32"/>
          <w:szCs w:val="32"/>
        </w:rPr>
        <w:t>五、一般公共预算支出预算情况说明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sz w:val="32"/>
          <w:szCs w:val="32"/>
          <w:lang w:val="en-US" w:eastAsia="zh-CN"/>
        </w:rPr>
        <w:t>279.36</w:t>
      </w:r>
      <w:r>
        <w:rPr>
          <w:rFonts w:hint="eastAsia" w:ascii="仿宋_GB2312" w:hAnsi="仿宋_GB2312" w:eastAsia="仿宋_GB2312" w:cs="仿宋_GB2312"/>
          <w:sz w:val="32"/>
          <w:szCs w:val="32"/>
        </w:rPr>
        <w:t>万元,其中：基本支出</w:t>
      </w:r>
      <w:r>
        <w:rPr>
          <w:rFonts w:hint="eastAsia" w:ascii="Times New Roman" w:hAnsi="Times New Roman" w:eastAsia="仿宋_GB2312"/>
          <w:sz w:val="32"/>
          <w:szCs w:val="32"/>
          <w:lang w:val="en-US" w:eastAsia="zh-CN"/>
        </w:rPr>
        <w:t>161.54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占</w:t>
      </w:r>
      <w:r>
        <w:rPr>
          <w:rFonts w:hint="eastAsia" w:ascii="Times New Roman" w:hAnsi="Times New Roman" w:eastAsia="仿宋_GB2312"/>
          <w:sz w:val="32"/>
          <w:szCs w:val="32"/>
          <w:lang w:val="en-US" w:eastAsia="zh-CN"/>
        </w:rPr>
        <w:t>57.83</w:t>
      </w:r>
      <w:r>
        <w:rPr>
          <w:rFonts w:ascii="Times New Roman" w:hAnsi="Times New Roman" w:eastAsia="仿宋_GB2312"/>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sz w:val="32"/>
          <w:szCs w:val="32"/>
          <w:lang w:val="en-US" w:eastAsia="zh-CN"/>
        </w:rPr>
        <w:t>117.82</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42.17</w:t>
      </w:r>
      <w:r>
        <w:rPr>
          <w:rFonts w:ascii="Times New Roman" w:hAnsi="Times New Roman" w:eastAsia="仿宋_GB2312"/>
          <w:sz w:val="32"/>
          <w:szCs w:val="32"/>
        </w:rPr>
        <w:t>%</w:t>
      </w:r>
      <w:r>
        <w:rPr>
          <w:rFonts w:hint="eastAsia" w:ascii="仿宋_GB2312" w:hAnsi="仿宋_GB2312" w:eastAsia="仿宋_GB2312" w:cs="仿宋_GB2312"/>
          <w:sz w:val="32"/>
          <w:szCs w:val="32"/>
        </w:rPr>
        <w:t>。主要用于以下方面：</w:t>
      </w:r>
      <w:r>
        <w:rPr>
          <w:rFonts w:hint="eastAsia" w:ascii="仿宋_GB2312" w:hAnsi="仿宋_GB2312" w:eastAsia="仿宋_GB2312" w:cs="仿宋_GB2312"/>
          <w:sz w:val="32"/>
          <w:szCs w:val="32"/>
          <w:lang w:eastAsia="zh-CN"/>
        </w:rPr>
        <w:t>文化旅游体育与传媒</w:t>
      </w:r>
      <w:r>
        <w:rPr>
          <w:rFonts w:hint="eastAsia" w:ascii="仿宋_GB2312" w:hAnsi="仿宋_GB2312" w:eastAsia="仿宋_GB2312" w:cs="仿宋_GB2312"/>
          <w:sz w:val="32"/>
          <w:szCs w:val="32"/>
        </w:rPr>
        <w:t>（类）支出</w:t>
      </w:r>
      <w:r>
        <w:rPr>
          <w:rFonts w:hint="eastAsia" w:ascii="Times New Roman" w:hAnsi="Times New Roman" w:eastAsia="仿宋_GB2312" w:cs="Times New Roman"/>
          <w:sz w:val="32"/>
          <w:szCs w:val="32"/>
          <w:lang w:val="en-US" w:eastAsia="zh-CN"/>
        </w:rPr>
        <w:t>241.35</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86.39</w:t>
      </w:r>
      <w:r>
        <w:rPr>
          <w:rFonts w:ascii="Times New Roman" w:hAnsi="Times New Roman" w:eastAsia="仿宋_GB2312"/>
          <w:sz w:val="32"/>
          <w:szCs w:val="32"/>
        </w:rPr>
        <w:t>%</w:t>
      </w:r>
      <w:r>
        <w:rPr>
          <w:rFonts w:hint="eastAsia" w:ascii="仿宋_GB2312" w:hAnsi="仿宋_GB2312" w:eastAsia="仿宋_GB2312" w:cs="仿宋_GB2312"/>
          <w:sz w:val="32"/>
          <w:szCs w:val="32"/>
        </w:rPr>
        <w:t>；社会保障和就业（类）支出</w:t>
      </w:r>
      <w:r>
        <w:rPr>
          <w:rFonts w:hint="eastAsia" w:ascii="Times New Roman" w:hAnsi="Times New Roman" w:eastAsia="仿宋_GB2312"/>
          <w:sz w:val="32"/>
          <w:szCs w:val="32"/>
          <w:lang w:val="en-US" w:eastAsia="zh-CN"/>
        </w:rPr>
        <w:t>16.95</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6.07</w:t>
      </w:r>
      <w:r>
        <w:rPr>
          <w:rFonts w:ascii="Times New Roman" w:hAnsi="Times New Roman" w:eastAsia="仿宋_GB2312"/>
          <w:sz w:val="32"/>
          <w:szCs w:val="32"/>
        </w:rPr>
        <w:t>%</w:t>
      </w:r>
      <w:r>
        <w:rPr>
          <w:rFonts w:hint="eastAsia" w:ascii="仿宋_GB2312" w:hAnsi="仿宋_GB2312" w:eastAsia="仿宋_GB2312" w:cs="仿宋_GB2312"/>
          <w:sz w:val="32"/>
          <w:szCs w:val="32"/>
        </w:rPr>
        <w:t>；卫生健康（类）支出</w:t>
      </w:r>
      <w:r>
        <w:rPr>
          <w:rFonts w:hint="eastAsia" w:ascii="Times New Roman" w:hAnsi="Times New Roman" w:eastAsia="仿宋_GB2312"/>
          <w:sz w:val="32"/>
          <w:szCs w:val="32"/>
          <w:lang w:val="en-US" w:eastAsia="zh-CN"/>
        </w:rPr>
        <w:t>8.26</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2.96</w:t>
      </w:r>
      <w:r>
        <w:rPr>
          <w:rFonts w:ascii="Times New Roman" w:hAnsi="Times New Roman" w:eastAsia="仿宋_GB2312"/>
          <w:sz w:val="32"/>
          <w:szCs w:val="32"/>
        </w:rPr>
        <w:t>%</w:t>
      </w:r>
      <w:r>
        <w:rPr>
          <w:rFonts w:hint="eastAsia" w:ascii="仿宋_GB2312" w:hAnsi="仿宋_GB2312" w:eastAsia="仿宋_GB2312" w:cs="仿宋_GB2312"/>
          <w:sz w:val="32"/>
          <w:szCs w:val="32"/>
        </w:rPr>
        <w:t>；住房保障（类）支出</w:t>
      </w:r>
      <w:r>
        <w:rPr>
          <w:rFonts w:hint="eastAsia" w:ascii="Times New Roman" w:hAnsi="Times New Roman" w:eastAsia="仿宋_GB2312"/>
          <w:sz w:val="32"/>
          <w:szCs w:val="32"/>
          <w:lang w:val="en-US" w:eastAsia="zh-CN"/>
        </w:rPr>
        <w:t>12.8</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4.58</w:t>
      </w:r>
      <w:r>
        <w:rPr>
          <w:rFonts w:ascii="Times New Roman" w:hAnsi="Times New Roman" w:eastAsia="仿宋_GB2312"/>
          <w:sz w:val="32"/>
          <w:szCs w:val="32"/>
        </w:rPr>
        <w:t>%</w:t>
      </w:r>
      <w:r>
        <w:rPr>
          <w:rFonts w:hint="eastAsia" w:ascii="仿宋_GB2312" w:hAnsi="仿宋_GB2312" w:eastAsia="仿宋_GB2312" w:cs="仿宋_GB2312"/>
          <w:sz w:val="32"/>
          <w:szCs w:val="32"/>
        </w:rPr>
        <w:t>。</w:t>
      </w:r>
    </w:p>
    <w:p>
      <w:pPr>
        <w:spacing w:line="560" w:lineRule="exact"/>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六、一般公共预算基本和项目支出预算情况说明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sz w:val="32"/>
          <w:szCs w:val="32"/>
          <w:lang w:val="en-US" w:eastAsia="zh-CN"/>
        </w:rPr>
        <w:t>161.54</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人员经费支出</w:t>
      </w:r>
      <w:r>
        <w:rPr>
          <w:rFonts w:hint="eastAsia" w:ascii="Times New Roman" w:hAnsi="Times New Roman" w:eastAsia="仿宋_GB2312"/>
          <w:b/>
          <w:spacing w:val="-1"/>
          <w:kern w:val="0"/>
          <w:sz w:val="32"/>
          <w:szCs w:val="32"/>
          <w:lang w:val="en-US" w:eastAsia="zh-CN"/>
        </w:rPr>
        <w:t>153.39</w:t>
      </w:r>
      <w:r>
        <w:rPr>
          <w:rFonts w:ascii="Times New Roman" w:hAnsi="仿宋_GB2312" w:eastAsia="仿宋_GB2312"/>
          <w:sz w:val="32"/>
          <w:szCs w:val="32"/>
        </w:rPr>
        <w:t>万</w:t>
      </w:r>
      <w:r>
        <w:rPr>
          <w:rFonts w:hint="eastAsia" w:ascii="仿宋_GB2312" w:hAnsi="仿宋_GB2312" w:eastAsia="仿宋_GB2312" w:cs="仿宋_GB2312"/>
          <w:sz w:val="32"/>
          <w:szCs w:val="32"/>
        </w:rPr>
        <w:t>元，占</w:t>
      </w:r>
      <w:r>
        <w:rPr>
          <w:rFonts w:hint="eastAsia" w:ascii="Times New Roman" w:hAnsi="Times New Roman" w:eastAsia="仿宋_GB2312"/>
          <w:sz w:val="32"/>
          <w:szCs w:val="32"/>
          <w:lang w:val="en-US" w:eastAsia="zh-CN"/>
        </w:rPr>
        <w:t>94.95</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主要包括：基本工资、津贴补贴、奖金、绩效工资、机关事业单位基本养老保险缴费、职工基本医疗保险缴费、住房公积金、退休费、；</w:t>
      </w:r>
      <w:r>
        <w:rPr>
          <w:rFonts w:hint="eastAsia" w:ascii="仿宋_GB2312" w:hAnsi="仿宋_GB2312" w:eastAsia="仿宋_GB2312" w:cs="仿宋_GB2312"/>
          <w:b/>
          <w:spacing w:val="-1"/>
          <w:kern w:val="0"/>
          <w:sz w:val="32"/>
          <w:szCs w:val="32"/>
        </w:rPr>
        <w:t>公用经费支出</w:t>
      </w:r>
      <w:r>
        <w:rPr>
          <w:rFonts w:hint="eastAsia" w:ascii="Times New Roman" w:hAnsi="Times New Roman" w:eastAsia="仿宋_GB2312"/>
          <w:b/>
          <w:spacing w:val="-1"/>
          <w:kern w:val="0"/>
          <w:sz w:val="32"/>
          <w:szCs w:val="32"/>
          <w:lang w:val="en-US" w:eastAsia="zh-CN"/>
        </w:rPr>
        <w:t>8.15</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5.05</w:t>
      </w:r>
      <w:r>
        <w:rPr>
          <w:rFonts w:ascii="Times New Roman" w:hAnsi="Times New Roman" w:eastAsia="仿宋_GB2312"/>
          <w:sz w:val="32"/>
          <w:szCs w:val="32"/>
        </w:rPr>
        <w:t>%</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主要包括：办公费、电费、邮电费、工会经费、其他交通费用、其他商品和服务支出。</w:t>
      </w:r>
    </w:p>
    <w:p>
      <w:pPr>
        <w:spacing w:line="560" w:lineRule="exact"/>
        <w:ind w:firstLine="640" w:firstLineChars="200"/>
        <w:rPr>
          <w:rFonts w:ascii="仿宋_GB2312" w:hAnsi="仿宋_GB2312" w:eastAsia="仿宋_GB2312" w:cs="仿宋_GB2312"/>
          <w:color w:val="auto"/>
          <w:sz w:val="32"/>
          <w:szCs w:val="32"/>
        </w:rPr>
      </w:pPr>
      <w:r>
        <w:rPr>
          <w:rFonts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4</w:t>
      </w:r>
      <w:r>
        <w:rPr>
          <w:rFonts w:hint="eastAsia" w:ascii="仿宋_GB2312" w:hAnsi="仿宋_GB2312" w:eastAsia="仿宋_GB2312" w:cs="仿宋_GB2312"/>
          <w:color w:val="auto"/>
          <w:sz w:val="32"/>
          <w:szCs w:val="32"/>
        </w:rPr>
        <w:t>年一般公共预算安排项目支出预算</w:t>
      </w:r>
      <w:r>
        <w:rPr>
          <w:rFonts w:hint="eastAsia" w:ascii="Times New Roman" w:hAnsi="Times New Roman" w:eastAsia="仿宋_GB2312"/>
          <w:color w:val="auto"/>
          <w:sz w:val="32"/>
          <w:szCs w:val="32"/>
          <w:lang w:val="en-US" w:eastAsia="zh-CN"/>
        </w:rPr>
        <w:t>406.69</w:t>
      </w:r>
      <w:r>
        <w:rPr>
          <w:rFonts w:hint="eastAsia" w:ascii="仿宋_GB2312" w:hAnsi="仿宋_GB2312" w:eastAsia="仿宋_GB2312" w:cs="仿宋_GB2312"/>
          <w:color w:val="auto"/>
          <w:sz w:val="32"/>
          <w:szCs w:val="32"/>
        </w:rPr>
        <w:t>万元，全部纳入项目绩效目标管理。其中：运转类项目</w:t>
      </w:r>
      <w:r>
        <w:rPr>
          <w:rFonts w:hint="eastAsia" w:ascii="Times New Roman" w:hAnsi="Times New Roman" w:eastAsia="仿宋_GB2312"/>
          <w:color w:val="auto"/>
          <w:sz w:val="32"/>
          <w:szCs w:val="32"/>
        </w:rPr>
        <w:t>7.</w:t>
      </w:r>
      <w:r>
        <w:rPr>
          <w:rFonts w:hint="eastAsia" w:ascii="Times New Roman" w:hAnsi="Times New Roman" w:eastAsia="仿宋_GB2312"/>
          <w:color w:val="auto"/>
          <w:sz w:val="32"/>
          <w:szCs w:val="32"/>
          <w:lang w:val="en-US" w:eastAsia="zh-CN"/>
        </w:rPr>
        <w:t>02</w:t>
      </w:r>
      <w:r>
        <w:rPr>
          <w:rFonts w:hint="eastAsia" w:ascii="仿宋_GB2312" w:hAnsi="仿宋_GB2312" w:eastAsia="仿宋_GB2312" w:cs="仿宋_GB2312"/>
          <w:color w:val="auto"/>
          <w:sz w:val="32"/>
          <w:szCs w:val="32"/>
        </w:rPr>
        <w:t>万元、投资类项目</w:t>
      </w:r>
      <w:r>
        <w:rPr>
          <w:rFonts w:hint="eastAsia" w:ascii="Times New Roman" w:hAnsi="Times New Roman" w:eastAsia="仿宋_GB2312"/>
          <w:color w:val="auto"/>
          <w:sz w:val="32"/>
          <w:szCs w:val="32"/>
        </w:rPr>
        <w:t>0</w:t>
      </w:r>
      <w:r>
        <w:rPr>
          <w:rFonts w:hint="eastAsia" w:ascii="仿宋_GB2312" w:hAnsi="仿宋_GB2312" w:eastAsia="仿宋_GB2312" w:cs="仿宋_GB2312"/>
          <w:color w:val="auto"/>
          <w:sz w:val="32"/>
          <w:szCs w:val="32"/>
        </w:rPr>
        <w:t>万元。</w:t>
      </w:r>
    </w:p>
    <w:p>
      <w:pPr>
        <w:spacing w:line="560" w:lineRule="exact"/>
        <w:ind w:firstLine="640" w:firstLineChars="200"/>
        <w:rPr>
          <w:rFonts w:ascii="仿宋_GB2312" w:eastAsia="仿宋_GB2312"/>
          <w:sz w:val="32"/>
          <w:szCs w:val="32"/>
          <w:highlight w:val="red"/>
        </w:rPr>
      </w:pPr>
      <w:r>
        <w:rPr>
          <w:rFonts w:hint="eastAsia" w:ascii="黑体" w:hAnsi="Times New Roman" w:eastAsia="黑体" w:cs="黑体"/>
          <w:kern w:val="0"/>
          <w:sz w:val="32"/>
          <w:szCs w:val="32"/>
        </w:rPr>
        <w:t>七、政府性基金预算支出预算情况说明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宋体" w:eastAsia="仿宋_GB2312" w:cs="Courier New"/>
          <w:sz w:val="32"/>
          <w:szCs w:val="32"/>
        </w:rPr>
        <w:t>无使用政府性基金预算拨款安排的支出，</w:t>
      </w:r>
      <w:r>
        <w:rPr>
          <w:rFonts w:hint="eastAsia" w:ascii="仿宋_GB2312" w:hAnsi="仿宋_GB2312" w:eastAsia="仿宋_GB2312" w:cs="仿宋_GB2312"/>
          <w:sz w:val="32"/>
          <w:szCs w:val="32"/>
        </w:rPr>
        <w:t xml:space="preserve">年初预算为 </w:t>
      </w:r>
      <w:r>
        <w:rPr>
          <w:rFonts w:ascii="Times New Roman" w:hAnsi="Times New Roman" w:eastAsia="仿宋_GB2312"/>
          <w:sz w:val="32"/>
          <w:szCs w:val="32"/>
        </w:rPr>
        <w:t>0</w:t>
      </w:r>
      <w:r>
        <w:rPr>
          <w:rFonts w:hint="eastAsia" w:ascii="仿宋_GB2312" w:hAnsi="仿宋_GB2312" w:eastAsia="仿宋_GB2312" w:cs="仿宋_GB2312"/>
          <w:sz w:val="32"/>
          <w:szCs w:val="32"/>
        </w:rPr>
        <w:t xml:space="preserve"> 万元。</w:t>
      </w:r>
    </w:p>
    <w:p>
      <w:pPr>
        <w:spacing w:line="560" w:lineRule="exact"/>
        <w:ind w:firstLine="640" w:firstLineChars="200"/>
        <w:rPr>
          <w:rFonts w:ascii="仿宋_GB2312" w:eastAsia="仿宋_GB2312"/>
          <w:sz w:val="32"/>
          <w:szCs w:val="32"/>
        </w:rPr>
      </w:pPr>
      <w:r>
        <w:rPr>
          <w:rFonts w:hint="eastAsia" w:ascii="黑体" w:hAnsi="Times New Roman" w:eastAsia="黑体" w:cs="黑体"/>
          <w:kern w:val="0"/>
          <w:sz w:val="32"/>
          <w:szCs w:val="32"/>
        </w:rPr>
        <w:t>八、 “三公”经费支出预算情况说明</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新乡市卫滨区文化广电和旅游局</w:t>
      </w:r>
      <w:r>
        <w:rPr>
          <w:rFonts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4</w:t>
      </w:r>
      <w:r>
        <w:rPr>
          <w:rFonts w:hint="eastAsia" w:ascii="仿宋_GB2312" w:hAnsi="宋体" w:eastAsia="仿宋_GB2312" w:cs="Courier New"/>
          <w:color w:val="auto"/>
          <w:sz w:val="32"/>
          <w:szCs w:val="32"/>
        </w:rPr>
        <w:t>年“三公”经费预算为</w:t>
      </w:r>
      <w:r>
        <w:rPr>
          <w:rFonts w:hint="eastAsia" w:ascii="Times New Roman" w:hAnsi="Times New Roman" w:eastAsia="黑体"/>
          <w:color w:val="auto"/>
          <w:sz w:val="32"/>
          <w:szCs w:val="32"/>
          <w:lang w:val="en-US" w:eastAsia="zh-CN"/>
        </w:rPr>
        <w:t>0</w:t>
      </w:r>
      <w:r>
        <w:rPr>
          <w:rFonts w:hint="eastAsia" w:ascii="仿宋_GB2312" w:hAnsi="宋体" w:eastAsia="仿宋_GB2312" w:cs="Courier New"/>
          <w:color w:val="auto"/>
          <w:sz w:val="32"/>
          <w:szCs w:val="32"/>
        </w:rPr>
        <w:t>万元。</w:t>
      </w:r>
      <w:r>
        <w:rPr>
          <w:rFonts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4</w:t>
      </w:r>
      <w:r>
        <w:rPr>
          <w:rFonts w:hint="eastAsia" w:ascii="仿宋_GB2312" w:hAnsi="宋体" w:eastAsia="仿宋_GB2312" w:cs="Courier New"/>
          <w:color w:val="auto"/>
          <w:sz w:val="32"/>
          <w:szCs w:val="32"/>
        </w:rPr>
        <w:t>年“三公”经费支出预算数</w:t>
      </w:r>
      <w:r>
        <w:rPr>
          <w:rFonts w:hint="eastAsia" w:ascii="仿宋_GB2312" w:hAnsi="宋体" w:eastAsia="仿宋_GB2312" w:cs="Courier New"/>
          <w:color w:val="auto"/>
          <w:sz w:val="32"/>
          <w:szCs w:val="32"/>
          <w:lang w:eastAsia="zh-CN"/>
        </w:rPr>
        <w:t>比</w:t>
      </w:r>
      <w:r>
        <w:rPr>
          <w:rFonts w:ascii="Times New Roman" w:hAnsi="Times New Roman" w:eastAsia="仿宋_GB2312"/>
          <w:color w:val="auto"/>
          <w:sz w:val="32"/>
          <w:szCs w:val="32"/>
        </w:rPr>
        <w:t xml:space="preserve"> 202</w:t>
      </w:r>
      <w:r>
        <w:rPr>
          <w:rFonts w:hint="eastAsia" w:ascii="Times New Roman" w:hAnsi="Times New Roman" w:eastAsia="仿宋_GB2312"/>
          <w:color w:val="auto"/>
          <w:sz w:val="32"/>
          <w:szCs w:val="32"/>
          <w:lang w:val="en-US" w:eastAsia="zh-CN"/>
        </w:rPr>
        <w:t>3</w:t>
      </w:r>
      <w:r>
        <w:rPr>
          <w:rFonts w:hint="eastAsia" w:ascii="仿宋_GB2312" w:hAnsi="宋体" w:eastAsia="仿宋_GB2312" w:cs="Courier New"/>
          <w:color w:val="auto"/>
          <w:sz w:val="32"/>
          <w:szCs w:val="32"/>
        </w:rPr>
        <w:t>年</w:t>
      </w:r>
      <w:r>
        <w:rPr>
          <w:rFonts w:hint="eastAsia" w:ascii="仿宋_GB2312" w:hAnsi="宋体" w:eastAsia="仿宋_GB2312" w:cs="Courier New"/>
          <w:color w:val="auto"/>
          <w:sz w:val="32"/>
          <w:szCs w:val="32"/>
          <w:lang w:eastAsia="zh-CN"/>
        </w:rPr>
        <w:t>减少</w:t>
      </w:r>
      <w:r>
        <w:rPr>
          <w:rFonts w:hint="default" w:ascii="Times New Roman" w:hAnsi="Times New Roman" w:eastAsia="仿宋_GB2312" w:cs="Times New Roman"/>
          <w:color w:val="auto"/>
          <w:sz w:val="32"/>
          <w:szCs w:val="32"/>
          <w:lang w:val="en-US" w:eastAsia="zh-CN"/>
        </w:rPr>
        <w:t>1.3</w:t>
      </w:r>
      <w:r>
        <w:rPr>
          <w:rFonts w:hint="eastAsia" w:ascii="仿宋_GB2312" w:hAnsi="宋体" w:eastAsia="仿宋_GB2312" w:cs="Courier New"/>
          <w:color w:val="auto"/>
          <w:sz w:val="32"/>
          <w:szCs w:val="32"/>
          <w:lang w:val="en-US" w:eastAsia="zh-CN"/>
        </w:rPr>
        <w:t>万元</w:t>
      </w:r>
      <w:r>
        <w:rPr>
          <w:rFonts w:hint="eastAsia" w:ascii="仿宋_GB2312" w:hAnsi="宋体" w:eastAsia="仿宋_GB2312" w:cs="Courier New"/>
          <w:color w:val="auto"/>
          <w:sz w:val="32"/>
          <w:szCs w:val="32"/>
        </w:rPr>
        <w:t>。</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numPr>
          <w:ilvl w:val="0"/>
          <w:numId w:val="3"/>
        </w:numPr>
        <w:kinsoku w:val="0"/>
        <w:overflowPunct w:val="0"/>
        <w:autoSpaceDE w:val="0"/>
        <w:autoSpaceDN w:val="0"/>
        <w:adjustRightInd w:val="0"/>
        <w:snapToGrid w:val="0"/>
        <w:spacing w:line="560" w:lineRule="exact"/>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因公出国（境）费</w:t>
      </w:r>
      <w:r>
        <w:rPr>
          <w:rFonts w:hint="eastAsia" w:ascii="Times New Roman" w:hAnsi="Times New Roman" w:eastAsia="华文楷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年保持一致。主要原因是无公车出国（境）费支出。</w:t>
      </w:r>
    </w:p>
    <w:p>
      <w:pPr>
        <w:numPr>
          <w:ilvl w:val="0"/>
          <w:numId w:val="3"/>
        </w:numPr>
        <w:kinsoku w:val="0"/>
        <w:overflowPunct w:val="0"/>
        <w:autoSpaceDE w:val="0"/>
        <w:autoSpaceDN w:val="0"/>
        <w:adjustRightInd w:val="0"/>
        <w:snapToGrid w:val="0"/>
        <w:spacing w:line="560" w:lineRule="exact"/>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公务用车购置及运行费</w:t>
      </w:r>
      <w:r>
        <w:rPr>
          <w:rFonts w:hint="eastAsia" w:ascii="Times New Roman" w:hAnsi="Times New Roman" w:eastAsia="华文楷体"/>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lang w:val="en-US" w:eastAsia="zh-CN"/>
        </w:rPr>
        <w:t>0</w:t>
      </w:r>
      <w:r>
        <w:rPr>
          <w:rFonts w:hint="eastAsia" w:ascii="仿宋_GB2312" w:hAnsi="宋体" w:eastAsia="仿宋_GB2312" w:cs="Courier New"/>
          <w:sz w:val="32"/>
          <w:szCs w:val="32"/>
        </w:rPr>
        <w:t>万元。公务用车购置费预算数</w:t>
      </w:r>
      <w:r>
        <w:rPr>
          <w:rFonts w:hint="eastAsia" w:ascii="仿宋_GB2312" w:hAnsi="宋体" w:eastAsia="仿宋_GB2312" w:cs="Courier New"/>
          <w:sz w:val="32"/>
          <w:szCs w:val="32"/>
          <w:lang w:eastAsia="zh-CN"/>
        </w:rPr>
        <w:t>与</w:t>
      </w:r>
      <w:r>
        <w:rPr>
          <w:rFonts w:hint="default" w:ascii="Times New Roman" w:hAnsi="Times New Roman" w:eastAsia="仿宋_GB2312" w:cs="Times New Roman"/>
          <w:sz w:val="32"/>
          <w:szCs w:val="32"/>
        </w:rPr>
        <w:t xml:space="preserve"> 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 xml:space="preserve"> 年</w:t>
      </w:r>
      <w:r>
        <w:rPr>
          <w:rFonts w:hint="eastAsia" w:ascii="仿宋_GB2312" w:hAnsi="宋体" w:eastAsia="仿宋_GB2312" w:cs="Courier New"/>
          <w:sz w:val="32"/>
          <w:szCs w:val="32"/>
          <w:lang w:eastAsia="zh-CN"/>
        </w:rPr>
        <w:t>保持一致</w:t>
      </w:r>
      <w:r>
        <w:rPr>
          <w:rFonts w:hint="eastAsia" w:ascii="仿宋_GB2312" w:hAnsi="宋体" w:eastAsia="仿宋_GB2312" w:cs="Courier New"/>
          <w:sz w:val="32"/>
          <w:szCs w:val="32"/>
        </w:rPr>
        <w:t>，主要原因</w:t>
      </w:r>
      <w:r>
        <w:rPr>
          <w:rFonts w:hint="eastAsia" w:ascii="仿宋_GB2312" w:hAnsi="Times New Roman" w:eastAsia="仿宋_GB2312"/>
          <w:sz w:val="32"/>
          <w:szCs w:val="32"/>
        </w:rPr>
        <w:t>是无公务用车购置费支出</w:t>
      </w:r>
      <w:r>
        <w:rPr>
          <w:rFonts w:hint="eastAsia" w:ascii="仿宋_GB2312" w:hAnsi="宋体" w:eastAsia="仿宋_GB2312" w:cs="Courier New"/>
          <w:sz w:val="32"/>
          <w:szCs w:val="32"/>
        </w:rPr>
        <w:t>。公务用车运行维护费预算数比</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年减少</w:t>
      </w:r>
      <w:r>
        <w:rPr>
          <w:rFonts w:hint="default" w:ascii="Times New Roman" w:hAnsi="Times New Roman" w:eastAsia="仿宋_GB2312" w:cs="Times New Roman"/>
          <w:sz w:val="32"/>
          <w:szCs w:val="32"/>
          <w:lang w:val="en-US" w:eastAsia="zh-CN"/>
        </w:rPr>
        <w:t>1.3</w:t>
      </w:r>
      <w:r>
        <w:rPr>
          <w:rFonts w:hint="eastAsia" w:ascii="仿宋_GB2312" w:hAnsi="宋体" w:eastAsia="仿宋_GB2312" w:cs="Courier New"/>
          <w:sz w:val="32"/>
          <w:szCs w:val="32"/>
        </w:rPr>
        <w:t>万元，减少的主要原因是</w:t>
      </w:r>
      <w:r>
        <w:rPr>
          <w:rFonts w:hint="eastAsia" w:ascii="仿宋_GB2312" w:hAnsi="宋体" w:eastAsia="仿宋_GB2312" w:cs="Courier New"/>
          <w:sz w:val="32"/>
          <w:szCs w:val="32"/>
          <w:lang w:eastAsia="zh-CN"/>
        </w:rPr>
        <w:t>根据（</w:t>
      </w:r>
      <w:r>
        <w:rPr>
          <w:rFonts w:hint="eastAsia" w:ascii="仿宋_GB2312" w:hAnsi="仿宋_GB2312" w:eastAsia="仿宋_GB2312" w:cs="仿宋_GB2312"/>
          <w:sz w:val="32"/>
          <w:szCs w:val="32"/>
          <w:lang w:val="en-US" w:eastAsia="zh-CN"/>
        </w:rPr>
        <w:t>卫滨编办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29号</w:t>
      </w:r>
      <w:r>
        <w:rPr>
          <w:rFonts w:hint="eastAsia" w:ascii="仿宋_GB2312" w:hAnsi="宋体" w:eastAsia="仿宋_GB2312" w:cs="Courier New"/>
          <w:sz w:val="32"/>
          <w:szCs w:val="32"/>
          <w:lang w:eastAsia="zh-CN"/>
        </w:rPr>
        <w:t>）文件要求，卫滨区文旅局二级机构卫滨区文化市场综合执法大队予以撤销，该单位名下的公务用车收回，不再纳入预算</w:t>
      </w:r>
      <w:r>
        <w:rPr>
          <w:rFonts w:hint="eastAsia" w:ascii="仿宋_GB2312" w:hAnsi="Times New Roman" w:eastAsia="仿宋_GB2312"/>
          <w:sz w:val="32"/>
          <w:szCs w:val="32"/>
        </w:rPr>
        <w:t>。</w:t>
      </w:r>
    </w:p>
    <w:p>
      <w:pPr>
        <w:kinsoku w:val="0"/>
        <w:overflowPunct w:val="0"/>
        <w:autoSpaceDE w:val="0"/>
        <w:snapToGrid w:val="0"/>
        <w:spacing w:line="560" w:lineRule="exact"/>
        <w:ind w:firstLine="477" w:firstLineChars="150"/>
      </w:pPr>
      <w:r>
        <w:rPr>
          <w:rFonts w:hint="eastAsia" w:ascii="华文楷体" w:hAnsi="华文楷体" w:eastAsia="华文楷体" w:cs="华文楷体"/>
          <w:spacing w:val="-1"/>
          <w:kern w:val="0"/>
          <w:sz w:val="32"/>
          <w:szCs w:val="32"/>
        </w:rPr>
        <w:t>（三）</w:t>
      </w:r>
      <w:r>
        <w:rPr>
          <w:rFonts w:hint="eastAsia" w:ascii="华文楷体" w:hAnsi="华文楷体" w:eastAsia="华文楷体" w:cs="仿宋_GB2312"/>
          <w:spacing w:val="-1"/>
          <w:kern w:val="0"/>
          <w:sz w:val="32"/>
          <w:szCs w:val="32"/>
        </w:rPr>
        <w:t>公务接待费</w:t>
      </w:r>
      <w:r>
        <w:rPr>
          <w:rFonts w:hint="eastAsia" w:ascii="Times New Roman" w:hAnsi="Times New Roman" w:eastAsia="华文楷体"/>
          <w:sz w:val="32"/>
          <w:szCs w:val="32"/>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eastAsia" w:ascii="仿宋_GB2312" w:hAnsi="仿宋_GB2312" w:eastAsia="仿宋_GB2312" w:cs="Courier New"/>
          <w:sz w:val="32"/>
          <w:szCs w:val="32"/>
        </w:rPr>
        <w:t>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仿宋_GB2312" w:eastAsia="仿宋_GB2312" w:cs="Courier New"/>
          <w:sz w:val="32"/>
          <w:szCs w:val="32"/>
        </w:rPr>
        <w:t>年保持一致</w:t>
      </w:r>
      <w:r>
        <w:rPr>
          <w:rFonts w:ascii="Times New Roman" w:hAnsi="Times New Roman" w:eastAsia="仿宋_GB2312"/>
          <w:sz w:val="32"/>
          <w:szCs w:val="32"/>
        </w:rPr>
        <w:t>。主要原因是</w:t>
      </w:r>
      <w:r>
        <w:rPr>
          <w:rFonts w:hint="eastAsia" w:ascii="仿宋_GB2312" w:hAnsi="仿宋_GB2312" w:eastAsia="仿宋_GB2312" w:cs="Courier New"/>
          <w:sz w:val="32"/>
          <w:szCs w:val="32"/>
        </w:rPr>
        <w:t>无公务接待费支出</w:t>
      </w:r>
      <w:r>
        <w:rPr>
          <w:rFonts w:ascii="Times New Roman" w:hAnsi="Times New Roman" w:eastAsia="仿宋_GB2312"/>
          <w:sz w:val="32"/>
          <w:szCs w:val="32"/>
        </w:rPr>
        <w:t>。</w:t>
      </w:r>
    </w:p>
    <w:p>
      <w:pPr>
        <w:kinsoku w:val="0"/>
        <w:overflowPunct w:val="0"/>
        <w:autoSpaceDE w:val="0"/>
        <w:autoSpaceDN w:val="0"/>
        <w:adjustRightInd w:val="0"/>
        <w:snapToGrid w:val="0"/>
        <w:spacing w:line="560" w:lineRule="exact"/>
        <w:ind w:left="420" w:leftChars="200" w:firstLine="318" w:firstLineChars="100"/>
        <w:rPr>
          <w:rFonts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adjustRightInd w:val="0"/>
        <w:snapToGrid w:val="0"/>
        <w:spacing w:line="560" w:lineRule="exact"/>
        <w:ind w:firstLine="640" w:firstLineChars="200"/>
        <w:rPr>
          <w:rFonts w:ascii="楷体" w:hAnsi="楷体" w:eastAsia="楷体" w:cs="Courier New"/>
          <w:sz w:val="32"/>
          <w:szCs w:val="32"/>
          <w:highlight w:val="darkBlue"/>
        </w:rPr>
      </w:pPr>
      <w:r>
        <w:rPr>
          <w:rFonts w:hint="eastAsia" w:ascii="楷体" w:hAnsi="楷体" w:eastAsia="楷体" w:cs="仿宋_GB2312"/>
          <w:kern w:val="0"/>
          <w:sz w:val="32"/>
          <w:szCs w:val="32"/>
        </w:rPr>
        <w:t>（一）行政（事业）单位机构运转经费</w:t>
      </w:r>
    </w:p>
    <w:p>
      <w:pPr>
        <w:kinsoku w:val="0"/>
        <w:overflowPunct w:val="0"/>
        <w:autoSpaceDE w:val="0"/>
        <w:autoSpaceDN w:val="0"/>
        <w:adjustRightInd w:val="0"/>
        <w:snapToGrid w:val="0"/>
        <w:spacing w:line="560" w:lineRule="exact"/>
        <w:ind w:firstLine="640" w:firstLineChars="200"/>
        <w:rPr>
          <w:rFonts w:ascii="楷体" w:hAnsi="楷体" w:eastAsia="楷体"/>
          <w:sz w:val="32"/>
          <w:szCs w:val="32"/>
          <w:highlight w:val="yellow"/>
        </w:rPr>
      </w:pPr>
      <w:r>
        <w:rPr>
          <w:rFonts w:hint="eastAsia" w:ascii="仿宋_GB2312" w:eastAsia="仿宋_GB2312"/>
          <w:sz w:val="32"/>
          <w:szCs w:val="32"/>
        </w:rPr>
        <w:t>新乡市卫滨区文化广电和旅游局</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sz w:val="32"/>
          <w:szCs w:val="32"/>
          <w:lang w:val="en-US" w:eastAsia="zh-CN"/>
        </w:rPr>
        <w:t>8.15</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w:t>
      </w:r>
      <w:r>
        <w:rPr>
          <w:rFonts w:hint="eastAsia" w:ascii="仿宋_GB2312" w:hAnsi="宋体" w:eastAsia="仿宋_GB2312" w:cs="Courier New"/>
          <w:sz w:val="32"/>
          <w:szCs w:val="32"/>
          <w:lang w:eastAsia="zh-CN"/>
        </w:rPr>
        <w:t>工会经费、</w:t>
      </w:r>
      <w:r>
        <w:rPr>
          <w:rFonts w:hint="eastAsia" w:ascii="仿宋_GB2312" w:hAnsi="宋体" w:eastAsia="仿宋_GB2312" w:cs="Courier New"/>
          <w:sz w:val="32"/>
          <w:szCs w:val="32"/>
        </w:rPr>
        <w:t>办公费、印刷费、水费、电费、邮电费、差旅费、维修（护）费、会议费、办公设备购置、</w:t>
      </w:r>
      <w:r>
        <w:rPr>
          <w:rFonts w:hint="eastAsia" w:ascii="仿宋_GB2312" w:hAnsi="宋体" w:eastAsia="仿宋_GB2312" w:cs="Courier New"/>
          <w:sz w:val="32"/>
          <w:szCs w:val="32"/>
          <w:lang w:eastAsia="zh-CN"/>
        </w:rPr>
        <w:t>其他交通费用</w:t>
      </w:r>
      <w:r>
        <w:rPr>
          <w:rFonts w:hint="eastAsia" w:ascii="仿宋_GB2312" w:eastAsia="仿宋_GB2312"/>
          <w:sz w:val="32"/>
          <w:szCs w:val="32"/>
        </w:rPr>
        <w:t>。</w:t>
      </w:r>
    </w:p>
    <w:p>
      <w:pPr>
        <w:kinsoku w:val="0"/>
        <w:overflowPunct w:val="0"/>
        <w:autoSpaceDE w:val="0"/>
        <w:autoSpaceDN w:val="0"/>
        <w:adjustRightInd w:val="0"/>
        <w:snapToGrid w:val="0"/>
        <w:spacing w:line="560" w:lineRule="exact"/>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insoku w:val="0"/>
        <w:overflowPunct w:val="0"/>
        <w:autoSpaceDE w:val="0"/>
        <w:autoSpaceDN w:val="0"/>
        <w:adjustRightInd w:val="0"/>
        <w:snapToGrid w:val="0"/>
        <w:spacing w:line="560" w:lineRule="exact"/>
        <w:ind w:firstLine="640" w:firstLineChars="200"/>
        <w:rPr>
          <w:rFonts w:ascii="楷体_GB2312" w:hAnsi="Times New Roman" w:eastAsia="楷体_GB2312" w:cs="仿宋_GB2312"/>
          <w:b/>
          <w:kern w:val="0"/>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sz w:val="32"/>
          <w:szCs w:val="32"/>
          <w:lang w:val="en-US" w:eastAsia="zh-CN"/>
        </w:rPr>
        <w:t>0.5</w:t>
      </w:r>
      <w:r>
        <w:rPr>
          <w:rFonts w:hint="eastAsia" w:ascii="仿宋_GB2312" w:eastAsia="仿宋_GB2312"/>
          <w:sz w:val="32"/>
          <w:szCs w:val="32"/>
        </w:rPr>
        <w:t>万元，其中：政府采购货物预算</w:t>
      </w:r>
      <w:r>
        <w:rPr>
          <w:rFonts w:hint="eastAsia" w:ascii="Times New Roman" w:hAnsi="Times New Roman" w:eastAsia="黑体"/>
          <w:sz w:val="32"/>
          <w:szCs w:val="32"/>
          <w:lang w:val="en-US" w:eastAsia="zh-CN"/>
        </w:rPr>
        <w:t>0.5</w:t>
      </w:r>
      <w:r>
        <w:rPr>
          <w:rFonts w:hint="eastAsia" w:ascii="仿宋_GB2312" w:eastAsia="仿宋_GB2312"/>
          <w:sz w:val="32"/>
          <w:szCs w:val="32"/>
        </w:rPr>
        <w:t>万元、政府采购工程预算</w:t>
      </w:r>
      <w:r>
        <w:rPr>
          <w:rFonts w:hint="eastAsia" w:ascii="Times New Roman" w:hAnsi="Times New Roman" w:eastAsia="黑体"/>
          <w:sz w:val="32"/>
          <w:szCs w:val="32"/>
        </w:rPr>
        <w:t>0</w:t>
      </w:r>
      <w:r>
        <w:rPr>
          <w:rFonts w:hint="eastAsia" w:ascii="仿宋_GB2312" w:eastAsia="仿宋_GB2312"/>
          <w:sz w:val="32"/>
          <w:szCs w:val="32"/>
        </w:rPr>
        <w:t>万元、政府采购服务预算</w:t>
      </w:r>
      <w:r>
        <w:rPr>
          <w:rFonts w:hint="eastAsia" w:ascii="Times New Roman" w:hAnsi="Times New Roman" w:eastAsia="黑体"/>
          <w:sz w:val="32"/>
          <w:szCs w:val="32"/>
        </w:rPr>
        <w:t>0</w:t>
      </w:r>
      <w:r>
        <w:rPr>
          <w:rFonts w:hint="eastAsia" w:ascii="仿宋_GB2312" w:eastAsia="仿宋_GB2312"/>
          <w:sz w:val="32"/>
          <w:szCs w:val="32"/>
        </w:rPr>
        <w:t>万元。</w:t>
      </w:r>
    </w:p>
    <w:p>
      <w:pPr>
        <w:numPr>
          <w:ilvl w:val="0"/>
          <w:numId w:val="4"/>
        </w:numPr>
        <w:kinsoku w:val="0"/>
        <w:overflowPunct w:val="0"/>
        <w:autoSpaceDE w:val="0"/>
        <w:autoSpaceDN w:val="0"/>
        <w:adjustRightInd w:val="0"/>
        <w:snapToGrid w:val="0"/>
        <w:spacing w:line="560" w:lineRule="exact"/>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绩效目标设置及预算绩效管理工作开展情况</w:t>
      </w:r>
    </w:p>
    <w:p>
      <w:pPr>
        <w:pStyle w:val="3"/>
        <w:spacing w:line="560" w:lineRule="exact"/>
        <w:ind w:firstLine="640" w:firstLineChars="200"/>
        <w:rPr>
          <w:rFonts w:hint="eastAsia" w:ascii="仿宋_GB2312" w:hAnsi="仿宋_GB2312" w:eastAsia="仿宋_GB2312" w:cs="仿宋_GB2312"/>
          <w:sz w:val="32"/>
          <w:szCs w:val="32"/>
        </w:rPr>
      </w:pPr>
      <w:r>
        <w:rPr>
          <w:rFonts w:hint="eastAsia" w:ascii="仿宋_GB2312" w:hAnsi="Times New Roman" w:eastAsia="仿宋_GB2312" w:cs="黑体"/>
          <w:sz w:val="32"/>
          <w:szCs w:val="32"/>
        </w:rPr>
        <w:t>我部门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rPr>
        <w:t>我部门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bookmarkStart w:id="0" w:name="_GoBack"/>
      <w:bookmarkEnd w:id="0"/>
      <w:r>
        <w:rPr>
          <w:rFonts w:hint="eastAsia" w:ascii="仿宋_GB2312" w:hAnsi="仿宋_GB2312" w:eastAsia="仿宋_GB2312" w:cs="仿宋_GB2312"/>
          <w:sz w:val="32"/>
          <w:szCs w:val="32"/>
        </w:rPr>
        <w:t>年未开展重点项目预算的绩效目标。</w:t>
      </w:r>
    </w:p>
    <w:p>
      <w:pPr>
        <w:spacing w:line="560" w:lineRule="exact"/>
        <w:ind w:firstLine="640" w:firstLineChars="200"/>
        <w:rPr>
          <w:rFonts w:ascii="仿宋_GB2312" w:hAnsi="宋体" w:eastAsia="仿宋_GB2312" w:cs="Courier New"/>
          <w:sz w:val="32"/>
          <w:szCs w:val="32"/>
        </w:rPr>
      </w:pP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sz w:val="32"/>
          <w:szCs w:val="32"/>
          <w:lang w:val="en-US" w:eastAsia="zh-CN"/>
        </w:rPr>
        <w:t>10</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sz w:val="32"/>
          <w:szCs w:val="32"/>
          <w:lang w:val="en-US" w:eastAsia="zh-CN"/>
        </w:rPr>
        <w:t>423.3</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宋体" w:eastAsia="仿宋_GB2312" w:cs="Courier New"/>
          <w:sz w:val="32"/>
          <w:szCs w:val="32"/>
        </w:rPr>
        <w:t>年，拟组织对</w:t>
      </w:r>
      <w:r>
        <w:rPr>
          <w:rFonts w:hint="eastAsia" w:ascii="Times New Roman" w:hAnsi="Times New Roman" w:eastAsia="黑体"/>
          <w:sz w:val="32"/>
          <w:szCs w:val="32"/>
          <w:lang w:val="en-US" w:eastAsia="zh-CN"/>
        </w:rPr>
        <w:t>14</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sz w:val="32"/>
          <w:szCs w:val="32"/>
          <w:lang w:val="en-US" w:eastAsia="zh-CN"/>
        </w:rPr>
        <w:t>406.69</w:t>
      </w:r>
      <w:r>
        <w:rPr>
          <w:rFonts w:hint="eastAsia" w:ascii="仿宋_GB2312" w:hAnsi="宋体" w:eastAsia="仿宋_GB2312" w:cs="Courier New"/>
          <w:sz w:val="32"/>
          <w:szCs w:val="32"/>
        </w:rPr>
        <w:t>万元。</w:t>
      </w:r>
    </w:p>
    <w:p>
      <w:pPr>
        <w:kinsoku w:val="0"/>
        <w:overflowPunct w:val="0"/>
        <w:autoSpaceDE w:val="0"/>
        <w:autoSpaceDN w:val="0"/>
        <w:adjustRightInd w:val="0"/>
        <w:snapToGrid w:val="0"/>
        <w:spacing w:line="560" w:lineRule="exact"/>
        <w:ind w:firstLine="640" w:firstLineChars="200"/>
        <w:rPr>
          <w:rFonts w:ascii="楷体" w:hAnsi="楷体" w:eastAsia="楷体" w:cs="仿宋_GB2312"/>
          <w:color w:val="auto"/>
          <w:kern w:val="0"/>
          <w:sz w:val="32"/>
          <w:szCs w:val="32"/>
        </w:rPr>
      </w:pPr>
      <w:r>
        <w:rPr>
          <w:rFonts w:hint="eastAsia" w:ascii="楷体" w:hAnsi="楷体" w:eastAsia="楷体" w:cs="仿宋_GB2312"/>
          <w:color w:val="auto"/>
          <w:kern w:val="0"/>
          <w:sz w:val="32"/>
          <w:szCs w:val="32"/>
        </w:rPr>
        <w:t>（四）国有资产占用情况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val="en-US" w:eastAsia="zh-CN"/>
        </w:rPr>
      </w:pPr>
      <w:r>
        <w:rPr>
          <w:rFonts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仿宋_GB2312" w:hAnsi="宋体" w:eastAsia="仿宋_GB2312" w:cs="Courier New"/>
          <w:color w:val="auto"/>
          <w:sz w:val="32"/>
          <w:szCs w:val="32"/>
        </w:rPr>
        <w:t>年资产总额</w:t>
      </w:r>
      <w:r>
        <w:rPr>
          <w:rFonts w:hint="eastAsia" w:ascii="Times New Roman" w:hAnsi="Times New Roman" w:eastAsia="仿宋_GB2312"/>
          <w:color w:val="auto"/>
          <w:sz w:val="32"/>
          <w:szCs w:val="32"/>
          <w:lang w:val="en-US" w:eastAsia="zh-CN"/>
        </w:rPr>
        <w:t>78.23</w:t>
      </w:r>
      <w:r>
        <w:rPr>
          <w:rFonts w:hint="eastAsia" w:ascii="仿宋_GB2312" w:hAnsi="宋体" w:eastAsia="仿宋_GB2312" w:cs="Courier New"/>
          <w:color w:val="auto"/>
          <w:sz w:val="32"/>
          <w:szCs w:val="32"/>
        </w:rPr>
        <w:t>万元，较上年，</w:t>
      </w:r>
      <w:r>
        <w:rPr>
          <w:rFonts w:hint="eastAsia" w:ascii="仿宋_GB2312" w:hAnsi="宋体" w:eastAsia="仿宋_GB2312" w:cs="Courier New"/>
          <w:color w:val="auto"/>
          <w:sz w:val="32"/>
          <w:szCs w:val="32"/>
          <w:lang w:eastAsia="zh-CN"/>
        </w:rPr>
        <w:t>减少</w:t>
      </w:r>
      <w:r>
        <w:rPr>
          <w:rFonts w:hint="eastAsia" w:ascii="Times New Roman" w:hAnsi="Times New Roman" w:eastAsia="仿宋_GB2312"/>
          <w:color w:val="auto"/>
          <w:sz w:val="32"/>
          <w:szCs w:val="32"/>
          <w:lang w:val="en-US" w:eastAsia="zh-CN"/>
        </w:rPr>
        <w:t>34.69</w:t>
      </w:r>
      <w:r>
        <w:rPr>
          <w:rFonts w:ascii="Times New Roman" w:hAnsi="Times New Roman" w:eastAsia="仿宋_GB2312"/>
          <w:color w:val="auto"/>
          <w:sz w:val="32"/>
          <w:szCs w:val="32"/>
        </w:rPr>
        <w:t>%</w:t>
      </w:r>
      <w:r>
        <w:rPr>
          <w:rFonts w:hint="eastAsia" w:ascii="仿宋_GB2312" w:hAnsi="宋体" w:eastAsia="仿宋_GB2312" w:cs="Courier New"/>
          <w:color w:val="auto"/>
          <w:sz w:val="32"/>
          <w:szCs w:val="32"/>
        </w:rPr>
        <w:t>。其中：固定资产</w:t>
      </w:r>
      <w:r>
        <w:rPr>
          <w:rFonts w:hint="eastAsia" w:ascii="Times New Roman" w:hAnsi="Times New Roman" w:eastAsia="仿宋_GB2312"/>
          <w:color w:val="auto"/>
          <w:sz w:val="32"/>
          <w:szCs w:val="32"/>
          <w:lang w:val="en-US" w:eastAsia="zh-CN"/>
        </w:rPr>
        <w:t>78.23</w:t>
      </w:r>
      <w:r>
        <w:rPr>
          <w:rFonts w:hint="eastAsia" w:ascii="仿宋_GB2312" w:hAnsi="宋体" w:eastAsia="仿宋_GB2312" w:cs="Courier New"/>
          <w:color w:val="auto"/>
          <w:sz w:val="32"/>
          <w:szCs w:val="32"/>
        </w:rPr>
        <w:t>万元，无形资产</w:t>
      </w:r>
      <w:r>
        <w:rPr>
          <w:rFonts w:hint="eastAsia" w:ascii="Times New Roman" w:hAnsi="Times New Roman" w:eastAsia="仿宋_GB2312"/>
          <w:color w:val="auto"/>
          <w:sz w:val="32"/>
          <w:szCs w:val="32"/>
        </w:rPr>
        <w:t>0</w:t>
      </w:r>
      <w:r>
        <w:rPr>
          <w:rFonts w:hint="eastAsia" w:ascii="仿宋_GB2312" w:hAnsi="宋体" w:eastAsia="仿宋_GB2312" w:cs="Courier New"/>
          <w:color w:val="auto"/>
          <w:sz w:val="32"/>
          <w:szCs w:val="32"/>
        </w:rPr>
        <w:t>万元。</w:t>
      </w:r>
      <w:r>
        <w:rPr>
          <w:rFonts w:hint="eastAsia" w:ascii="仿宋_GB2312" w:hAnsi="宋体" w:eastAsia="仿宋_GB2312" w:cs="Courier New"/>
          <w:color w:val="auto"/>
          <w:sz w:val="32"/>
          <w:szCs w:val="32"/>
          <w:lang w:eastAsia="zh-CN"/>
        </w:rPr>
        <w:t>减少</w:t>
      </w:r>
      <w:r>
        <w:rPr>
          <w:rFonts w:hint="eastAsia" w:ascii="仿宋_GB2312" w:hAnsi="宋体" w:eastAsia="仿宋_GB2312" w:cs="Courier New"/>
          <w:color w:val="auto"/>
          <w:sz w:val="32"/>
          <w:szCs w:val="32"/>
        </w:rPr>
        <w:t>主要原因：</w:t>
      </w:r>
      <w:r>
        <w:rPr>
          <w:rFonts w:hint="eastAsia" w:ascii="仿宋_GB2312" w:hAnsi="宋体" w:eastAsia="仿宋_GB2312" w:cs="Courier New"/>
          <w:color w:val="auto"/>
          <w:sz w:val="32"/>
          <w:szCs w:val="32"/>
          <w:lang w:eastAsia="zh-CN"/>
        </w:rPr>
        <w:t>固定资产累计折旧</w:t>
      </w:r>
      <w:r>
        <w:rPr>
          <w:rFonts w:hint="eastAsia" w:ascii="仿宋_GB2312" w:hAnsi="宋体" w:eastAsia="仿宋_GB2312" w:cs="Courier New"/>
          <w:color w:val="auto"/>
          <w:sz w:val="32"/>
          <w:szCs w:val="32"/>
        </w:rPr>
        <w:t>。</w:t>
      </w:r>
      <w:r>
        <w:rPr>
          <w:rFonts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仿宋_GB2312" w:hAnsi="宋体" w:eastAsia="仿宋_GB2312" w:cs="Courier New"/>
          <w:color w:val="auto"/>
          <w:sz w:val="32"/>
          <w:szCs w:val="32"/>
        </w:rPr>
        <w:t>年期末，</w:t>
      </w:r>
      <w:r>
        <w:rPr>
          <w:rFonts w:hint="eastAsia" w:ascii="仿宋_GB2312" w:hAnsi="仿宋_GB2312" w:eastAsia="仿宋_GB2312" w:cs="仿宋_GB2312"/>
          <w:color w:val="auto"/>
          <w:sz w:val="32"/>
          <w:szCs w:val="32"/>
          <w:lang w:eastAsia="zh-CN"/>
        </w:rPr>
        <w:t>新乡市卫滨区文化广电和旅游局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r>
        <w:rPr>
          <w:rFonts w:hint="eastAsia" w:ascii="仿宋_GB2312" w:hAnsi="宋体" w:eastAsia="仿宋_GB2312" w:cs="Courier New"/>
          <w:sz w:val="32"/>
          <w:szCs w:val="32"/>
          <w:lang w:eastAsia="zh-CN"/>
        </w:rPr>
        <w:t>。</w:t>
      </w:r>
    </w:p>
    <w:p>
      <w:pPr>
        <w:kinsoku w:val="0"/>
        <w:overflowPunct w:val="0"/>
        <w:autoSpaceDE w:val="0"/>
        <w:autoSpaceDN w:val="0"/>
        <w:adjustRightInd w:val="0"/>
        <w:snapToGrid w:val="0"/>
        <w:spacing w:line="560" w:lineRule="exact"/>
        <w:ind w:firstLine="640" w:firstLineChars="200"/>
        <w:rPr>
          <w:rFonts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新乡市卫滨区文化广电和旅游局</w:t>
      </w:r>
      <w:r>
        <w:rPr>
          <w:rFonts w:hint="eastAsia" w:ascii="仿宋_GB2312" w:hAnsi="宋体" w:eastAsia="仿宋_GB2312" w:cs="Courier New"/>
          <w:sz w:val="32"/>
          <w:szCs w:val="32"/>
        </w:rPr>
        <w:t>按照《财政部关于印发&lt;支出经济分类科目改革方案&gt;的通知》(财预〔</w:t>
      </w:r>
      <w:r>
        <w:rPr>
          <w:rFonts w:ascii="Times New Roman" w:hAnsi="Times New Roman" w:eastAsia="仿宋_GB2312"/>
          <w:sz w:val="32"/>
          <w:szCs w:val="32"/>
        </w:rPr>
        <w:t>2018</w:t>
      </w:r>
      <w:r>
        <w:rPr>
          <w:rFonts w:hint="eastAsia" w:ascii="仿宋_GB2312" w:hAnsi="宋体" w:eastAsia="仿宋_GB2312" w:cs="Courier New"/>
          <w:sz w:val="32"/>
          <w:szCs w:val="32"/>
        </w:rPr>
        <w:t>〕</w:t>
      </w:r>
      <w:r>
        <w:rPr>
          <w:rFonts w:ascii="Times New Roman" w:hAnsi="Times New Roman" w:eastAsia="仿宋_GB2312"/>
          <w:sz w:val="32"/>
          <w:szCs w:val="32"/>
        </w:rPr>
        <w:t>98</w:t>
      </w:r>
      <w:r>
        <w:rPr>
          <w:rFonts w:hint="eastAsia" w:ascii="仿宋_GB2312" w:hAnsi="宋体" w:eastAsia="仿宋_GB2312" w:cs="Courier New"/>
          <w:sz w:val="32"/>
          <w:szCs w:val="32"/>
        </w:rPr>
        <w:t>号)要求，从</w:t>
      </w:r>
      <w:r>
        <w:rPr>
          <w:rFonts w:ascii="Times New Roman" w:hAnsi="Times New Roman" w:eastAsia="仿宋_GB2312"/>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rPr>
        <w:t>新乡市卫滨区文化广电和旅游局</w:t>
      </w:r>
      <w:r>
        <w:rPr>
          <w:rFonts w:hint="eastAsia" w:ascii="仿宋_GB2312" w:hAnsi="宋体" w:eastAsia="仿宋_GB2312" w:cs="Courier New"/>
          <w:sz w:val="32"/>
          <w:szCs w:val="32"/>
        </w:rPr>
        <w:t xml:space="preserve">《支出经济分类汇总表》从 </w:t>
      </w:r>
      <w:r>
        <w:rPr>
          <w:rFonts w:ascii="Times New Roman" w:hAnsi="Times New Roman" w:eastAsia="仿宋_GB2312"/>
          <w:sz w:val="32"/>
          <w:szCs w:val="32"/>
        </w:rPr>
        <w:t>2018</w:t>
      </w:r>
      <w:r>
        <w:rPr>
          <w:rFonts w:hint="eastAsia" w:ascii="仿宋_GB2312" w:hAnsi="宋体" w:eastAsia="仿宋_GB2312" w:cs="Courier New"/>
          <w:sz w:val="32"/>
          <w:szCs w:val="32"/>
        </w:rPr>
        <w:t>年起从仅反映一般公共预算基本支出经济分类科目预算调整为按两套经济分类科目分别反映不同资金来源的全部预算支出。</w:t>
      </w:r>
    </w:p>
    <w:p>
      <w:pPr>
        <w:numPr>
          <w:ilvl w:val="0"/>
          <w:numId w:val="5"/>
        </w:numPr>
        <w:kinsoku w:val="0"/>
        <w:overflowPunct w:val="0"/>
        <w:autoSpaceDE w:val="0"/>
        <w:autoSpaceDN w:val="0"/>
        <w:adjustRightInd w:val="0"/>
        <w:snapToGrid w:val="0"/>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专项转移支付项目情况</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仿宋_GB2312" w:eastAsia="仿宋_GB2312" w:cs="仿宋_GB2312"/>
          <w:sz w:val="32"/>
          <w:szCs w:val="32"/>
        </w:rPr>
        <w:t>新乡市卫滨区文化广电和旅游局</w:t>
      </w:r>
      <w:r>
        <w:rPr>
          <w:rFonts w:hint="eastAsia" w:ascii="仿宋_GB2312" w:hAnsi="宋体" w:eastAsia="仿宋_GB2312" w:cs="Courier New"/>
          <w:sz w:val="32"/>
          <w:szCs w:val="32"/>
        </w:rPr>
        <w:t>负责管理的专项转移支付项目共有</w:t>
      </w:r>
      <w:r>
        <w:rPr>
          <w:rFonts w:hint="eastAsia" w:ascii="Times New Roman" w:hAnsi="Times New Roman" w:eastAsia="仿宋_GB2312"/>
          <w:sz w:val="32"/>
          <w:szCs w:val="32"/>
        </w:rPr>
        <w:t>0</w:t>
      </w:r>
      <w:r>
        <w:rPr>
          <w:rFonts w:hint="eastAsia" w:ascii="仿宋_GB2312" w:hAnsi="宋体" w:eastAsia="仿宋_GB2312" w:cs="Courier New"/>
          <w:sz w:val="32"/>
          <w:szCs w:val="32"/>
        </w:rPr>
        <w:t>项，我部门将按照《预算法》等有关规定，积极做好项目分配前期准备工作，在规定的时间内向财政部门提出资金分配意见，根据有关要求做好项目申报公开等相关工作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p>
    <w:p>
      <w:pPr>
        <w:adjustRightInd w:val="0"/>
        <w:snapToGrid w:val="0"/>
        <w:spacing w:line="560" w:lineRule="exact"/>
        <w:jc w:val="center"/>
        <w:rPr>
          <w:rFonts w:ascii="黑体" w:hAnsi="黑体" w:eastAsia="黑体"/>
          <w:sz w:val="32"/>
          <w:szCs w:val="32"/>
        </w:rPr>
      </w:pPr>
    </w:p>
    <w:p>
      <w:pPr>
        <w:adjustRightInd w:val="0"/>
        <w:snapToGrid w:val="0"/>
        <w:spacing w:line="560" w:lineRule="exact"/>
        <w:jc w:val="center"/>
        <w:rPr>
          <w:rFonts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hint="eastAsia" w:ascii="黑体" w:hAnsi="黑体" w:eastAsia="黑体"/>
          <w:sz w:val="32"/>
          <w:szCs w:val="32"/>
        </w:rPr>
      </w:pPr>
    </w:p>
    <w:p>
      <w:pPr>
        <w:adjustRightInd w:val="0"/>
        <w:snapToGrid w:val="0"/>
        <w:spacing w:line="560" w:lineRule="exact"/>
        <w:jc w:val="center"/>
        <w:rPr>
          <w:rFonts w:ascii="黑体" w:hAnsi="黑体" w:eastAsia="黑体"/>
          <w:sz w:val="32"/>
          <w:szCs w:val="32"/>
        </w:rPr>
      </w:pPr>
      <w:r>
        <w:rPr>
          <w:rFonts w:hint="eastAsia" w:ascii="黑体" w:hAnsi="黑体" w:eastAsia="黑体"/>
          <w:sz w:val="32"/>
          <w:szCs w:val="32"/>
        </w:rPr>
        <w:t>第三部分  名词解释</w:t>
      </w:r>
    </w:p>
    <w:p>
      <w:pPr>
        <w:adjustRightInd w:val="0"/>
        <w:snapToGrid w:val="0"/>
        <w:spacing w:line="560" w:lineRule="exact"/>
        <w:jc w:val="center"/>
        <w:rPr>
          <w:rFonts w:ascii="黑体" w:hAnsi="黑体" w:eastAsia="黑体"/>
          <w:sz w:val="32"/>
          <w:szCs w:val="32"/>
        </w:rPr>
      </w:pP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560" w:lineRule="exact"/>
        <w:ind w:firstLine="640" w:firstLineChars="200"/>
        <w:rPr>
          <w:rFonts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r>
        <w:rPr>
          <w:rFonts w:hint="eastAsia" w:ascii="黑体" w:hAnsi="Times New Roman" w:eastAsia="黑体" w:cs="黑体"/>
          <w:sz w:val="32"/>
          <w:szCs w:val="32"/>
        </w:rPr>
        <w:t>附件：</w:t>
      </w:r>
    </w:p>
    <w:p>
      <w:pPr>
        <w:kinsoku w:val="0"/>
        <w:overflowPunct w:val="0"/>
        <w:adjustRightInd w:val="0"/>
        <w:snapToGrid w:val="0"/>
        <w:spacing w:line="56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新乡市卫滨区文化广电和旅游局202</w:t>
      </w:r>
      <w:r>
        <w:rPr>
          <w:rFonts w:hint="eastAsia" w:ascii="黑体" w:hAnsi="黑体" w:eastAsia="黑体" w:cs="黑体"/>
          <w:sz w:val="32"/>
          <w:szCs w:val="32"/>
          <w:lang w:val="en-US" w:eastAsia="zh-CN"/>
        </w:rPr>
        <w:t>4</w:t>
      </w:r>
      <w:r>
        <w:rPr>
          <w:rFonts w:hint="eastAsia" w:ascii="黑体" w:hAnsi="黑体" w:eastAsia="黑体" w:cs="黑体"/>
          <w:sz w:val="32"/>
          <w:szCs w:val="32"/>
        </w:rPr>
        <w:t>年度部门预算公开表</w:t>
      </w: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ind w:firstLine="640" w:firstLineChars="200"/>
        <w:rPr>
          <w:rFonts w:ascii="黑体" w:hAnsi="Times New Roman" w:eastAsia="黑体" w:cs="黑体"/>
          <w:sz w:val="32"/>
          <w:szCs w:val="32"/>
        </w:rPr>
      </w:pPr>
    </w:p>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hint="eastAsia" w:ascii="黑体" w:hAnsi="Times New Roman" w:eastAsia="黑体" w:cs="黑体"/>
          <w:sz w:val="32"/>
          <w:szCs w:val="32"/>
        </w:rPr>
      </w:pPr>
    </w:p>
    <w:p>
      <w:pPr>
        <w:kinsoku w:val="0"/>
        <w:overflowPunct w:val="0"/>
        <w:adjustRightInd w:val="0"/>
        <w:snapToGrid w:val="0"/>
        <w:spacing w:line="560" w:lineRule="exact"/>
        <w:rPr>
          <w:rFonts w:hint="eastAsia" w:ascii="黑体" w:hAnsi="Times New Roman" w:eastAsia="黑体" w:cs="黑体"/>
          <w:sz w:val="32"/>
          <w:szCs w:val="32"/>
        </w:rPr>
      </w:pPr>
    </w:p>
    <w:p>
      <w:pPr>
        <w:rPr>
          <w:rFonts w:hint="eastAsia" w:ascii="黑体" w:hAnsi="Times New Roman" w:eastAsia="黑体" w:cs="黑体"/>
          <w:sz w:val="32"/>
          <w:szCs w:val="32"/>
        </w:rPr>
      </w:pPr>
      <w:r>
        <w:rPr>
          <w:rFonts w:hint="eastAsia" w:ascii="黑体" w:hAnsi="Times New Roman" w:eastAsia="黑体" w:cs="黑体"/>
          <w:sz w:val="32"/>
          <w:szCs w:val="32"/>
        </w:rPr>
        <w:br w:type="page"/>
      </w:r>
    </w:p>
    <w:tbl>
      <w:tblPr>
        <w:tblStyle w:val="6"/>
        <w:tblW w:w="88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53"/>
        <w:gridCol w:w="1476"/>
        <w:gridCol w:w="2955"/>
        <w:gridCol w:w="14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8862"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8862"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2024年部门收支情况表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384"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47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w:t>
            </w:r>
          </w:p>
        </w:tc>
        <w:tc>
          <w:tcPr>
            <w:tcW w:w="4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项目  </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金额  </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项目  </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268.56</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五、事业收入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六、事业单位经营收入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七、上级补助收入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八、附属单位上缴收入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九、其他收入</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收 入 合 计</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支 出 合 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年终结转结余</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2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 总 计</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 总 计</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r>
    </w:tbl>
    <w:p>
      <w:pPr>
        <w:kinsoku w:val="0"/>
        <w:overflowPunct w:val="0"/>
        <w:adjustRightInd w:val="0"/>
        <w:snapToGrid w:val="0"/>
        <w:spacing w:line="560" w:lineRule="exact"/>
        <w:ind w:firstLine="640" w:firstLineChars="200"/>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1295"/>
        <w:gridCol w:w="756"/>
        <w:gridCol w:w="756"/>
        <w:gridCol w:w="756"/>
        <w:gridCol w:w="756"/>
        <w:gridCol w:w="625"/>
        <w:gridCol w:w="625"/>
        <w:gridCol w:w="625"/>
        <w:gridCol w:w="625"/>
        <w:gridCol w:w="625"/>
        <w:gridCol w:w="626"/>
        <w:gridCol w:w="626"/>
        <w:gridCol w:w="666"/>
        <w:gridCol w:w="757"/>
        <w:gridCol w:w="757"/>
        <w:gridCol w:w="626"/>
        <w:gridCol w:w="626"/>
        <w:gridCol w:w="221"/>
        <w:gridCol w:w="442"/>
        <w:gridCol w:w="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21"/>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74" w:type="dxa"/>
            <w:gridSpan w:val="2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2024年部门收入情况表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111"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063"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部门（单位）代码</w:t>
            </w:r>
          </w:p>
        </w:tc>
        <w:tc>
          <w:tcPr>
            <w:tcW w:w="12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部门（单位）名称</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731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w:t>
            </w:r>
          </w:p>
        </w:tc>
        <w:tc>
          <w:tcPr>
            <w:tcW w:w="40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6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6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268.56</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268.56</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032001</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新乡市卫滨区文化广电和旅游局本级</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168.56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168.56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168.56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168.56</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新乡市卫滨区文化广电和旅游局</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399.67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110.80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110.80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br w:type="page"/>
      </w: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1"/>
        <w:gridCol w:w="456"/>
        <w:gridCol w:w="456"/>
        <w:gridCol w:w="683"/>
        <w:gridCol w:w="2276"/>
        <w:gridCol w:w="1089"/>
        <w:gridCol w:w="1089"/>
        <w:gridCol w:w="1089"/>
        <w:gridCol w:w="1086"/>
        <w:gridCol w:w="1086"/>
        <w:gridCol w:w="1086"/>
        <w:gridCol w:w="1089"/>
        <w:gridCol w:w="1097"/>
        <w:gridCol w:w="10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083"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091"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1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0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4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2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1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0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0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0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161.54</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147.35</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6.04</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8.15</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406.69</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2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161.54</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147.35</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6.04</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8.15</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406.69</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123.53</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123.53</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109.34</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6.04</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8.15</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其他文化和旅游支出</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61.69</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54.67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文物保护</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345.00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345.00</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br w:type="page"/>
      </w: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38"/>
        <w:gridCol w:w="1355"/>
        <w:gridCol w:w="3271"/>
        <w:gridCol w:w="1313"/>
        <w:gridCol w:w="1210"/>
        <w:gridCol w:w="1440"/>
        <w:gridCol w:w="1327"/>
        <w:gridCol w:w="1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4" w:hRule="atLeast"/>
        </w:trPr>
        <w:tc>
          <w:tcPr>
            <w:tcW w:w="14174"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4" w:hRule="atLeast"/>
        </w:trPr>
        <w:tc>
          <w:tcPr>
            <w:tcW w:w="1417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2024年财政拨款收支情况表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2754"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42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8" w:hRule="atLeast"/>
        </w:trPr>
        <w:tc>
          <w:tcPr>
            <w:tcW w:w="4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  </w:t>
            </w:r>
          </w:p>
        </w:tc>
        <w:tc>
          <w:tcPr>
            <w:tcW w:w="998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0" w:hRule="atLeast"/>
        </w:trPr>
        <w:tc>
          <w:tcPr>
            <w:tcW w:w="2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　额</w:t>
            </w:r>
          </w:p>
        </w:tc>
        <w:tc>
          <w:tcPr>
            <w:tcW w:w="32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13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8" w:hRule="atLeast"/>
        </w:trPr>
        <w:tc>
          <w:tcPr>
            <w:tcW w:w="2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小计  </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7"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一、本年收入</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278.36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4"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1"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268.56</w:t>
            </w: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9"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9"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1"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二、上年结转</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9"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530.22</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530.22</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240.35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9"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9"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7"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7"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1"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7"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3"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7"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1"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3"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1"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3"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1"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5"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2"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3"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二、年终结转结余</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29" w:hRule="atLeast"/>
        </w:trPr>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收入合计：</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3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支出合计</w:t>
            </w:r>
          </w:p>
        </w:tc>
        <w:tc>
          <w:tcPr>
            <w:tcW w:w="1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278.36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433"/>
        <w:gridCol w:w="438"/>
        <w:gridCol w:w="651"/>
        <w:gridCol w:w="2173"/>
        <w:gridCol w:w="1360"/>
        <w:gridCol w:w="1360"/>
        <w:gridCol w:w="1037"/>
        <w:gridCol w:w="1037"/>
        <w:gridCol w:w="1037"/>
        <w:gridCol w:w="1042"/>
        <w:gridCol w:w="1037"/>
        <w:gridCol w:w="1043"/>
        <w:gridCol w:w="1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134"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04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1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5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35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0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0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161.54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147.35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8.15</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117.82</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279.36</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161.54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147.35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8.15</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117.82</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123.53</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123.53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109.34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8.15</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其他文化和旅游支出</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17.82</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17.82</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207</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04</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文物保护</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054"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0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4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4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br w:type="page"/>
      </w: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45"/>
        <w:gridCol w:w="2466"/>
        <w:gridCol w:w="1845"/>
        <w:gridCol w:w="2466"/>
        <w:gridCol w:w="1845"/>
        <w:gridCol w:w="1858"/>
        <w:gridCol w:w="18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9" w:hRule="atLeast"/>
        </w:trPr>
        <w:tc>
          <w:tcPr>
            <w:tcW w:w="14174"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2325"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84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55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161.54</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153.39</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26.46</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26.46</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5.67</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5.67</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59.45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59.45</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17.76</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17.76</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6.04</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6.04</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1.39</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0.18</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30206</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3.06</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1.57</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16.95</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8.26</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50103</w:t>
            </w:r>
          </w:p>
        </w:tc>
        <w:tc>
          <w:tcPr>
            <w:tcW w:w="2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12.80</w:t>
            </w:r>
          </w:p>
        </w:tc>
        <w:tc>
          <w:tcPr>
            <w:tcW w:w="18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br w:type="page"/>
      </w: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4"/>
        <w:gridCol w:w="394"/>
        <w:gridCol w:w="1716"/>
        <w:gridCol w:w="540"/>
        <w:gridCol w:w="516"/>
        <w:gridCol w:w="1764"/>
        <w:gridCol w:w="732"/>
        <w:gridCol w:w="696"/>
        <w:gridCol w:w="852"/>
        <w:gridCol w:w="612"/>
        <w:gridCol w:w="720"/>
        <w:gridCol w:w="768"/>
        <w:gridCol w:w="876"/>
        <w:gridCol w:w="636"/>
        <w:gridCol w:w="660"/>
        <w:gridCol w:w="720"/>
        <w:gridCol w:w="161"/>
        <w:gridCol w:w="643"/>
        <w:gridCol w:w="6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19"/>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74" w:type="dxa"/>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847"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327"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5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部门预算经济分类  </w:t>
            </w:r>
          </w:p>
        </w:tc>
        <w:tc>
          <w:tcPr>
            <w:tcW w:w="28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政府预算经济分类</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总计</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一般公共预算</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政府性基金</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国有资本经营预算</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上年结转结余</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财政专户管理资金收入</w:t>
            </w: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事业收入</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上级补助收入</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附属单位上缴收入</w:t>
            </w:r>
          </w:p>
        </w:tc>
        <w:tc>
          <w:tcPr>
            <w:tcW w:w="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事业单位经营收入</w:t>
            </w:r>
          </w:p>
        </w:tc>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类</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款</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科目名称</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类</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科目名称</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小计</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其中：财政拨款</w:t>
            </w: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合计</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568.23</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279.36</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268.56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288.87</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新乡市卫滨区文化广电和旅游局</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568.23</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279.36</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268.56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288.87</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07</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绩效工资</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505</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工资福利支出</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26.46</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26.46</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26.46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奖金</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5.67</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5.67</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5.67</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基本工资</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59.45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59.45</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59.45</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津贴补贴</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17.76</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17.76</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17.76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303</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退休费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509</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离退休费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6.04</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6.04</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6.04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28</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工会经费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1.39</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1.39</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1.39</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其他商品和服务支出</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其他商品和服务支出</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400.65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111.78</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100.98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288.87</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4.08</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4.08</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4.08</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06</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电费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0.25</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0.25</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39</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其他交通费用</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3.06</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3.06</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07</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邮电费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1.87</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1.87</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1.87</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303</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生活补助</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509</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社会福利和救助</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2.04</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2.04</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2.04</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印刷费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0.50</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差旅费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1.00</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08</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机关事业单位基本养老保险缴费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社会保障缴费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16.95</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16.95</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16.95</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职工基本医疗保险缴费</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社会保障缴费</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8.26</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8.26</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8.26</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住房公积金</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住房公积金</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12.80</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12.80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12.80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bl>
    <w:p>
      <w:pPr>
        <w:kinsoku w:val="0"/>
        <w:overflowPunct w:val="0"/>
        <w:adjustRightInd w:val="0"/>
        <w:snapToGrid w:val="0"/>
        <w:spacing w:line="560" w:lineRule="exact"/>
        <w:rPr>
          <w:rFonts w:ascii="黑体" w:hAnsi="Times New Roman" w:eastAsia="黑体" w:cs="黑体"/>
          <w:sz w:val="32"/>
          <w:szCs w:val="32"/>
        </w:rPr>
      </w:pP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61"/>
        <w:gridCol w:w="2361"/>
        <w:gridCol w:w="2361"/>
        <w:gridCol w:w="2361"/>
        <w:gridCol w:w="2365"/>
        <w:gridCol w:w="2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9" w:hRule="atLeast"/>
        </w:trPr>
        <w:tc>
          <w:tcPr>
            <w:tcW w:w="14174"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1809"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236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23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“三公”经费合计</w:t>
            </w:r>
          </w:p>
        </w:tc>
        <w:tc>
          <w:tcPr>
            <w:tcW w:w="23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因公出国（境）费</w:t>
            </w:r>
          </w:p>
        </w:tc>
        <w:tc>
          <w:tcPr>
            <w:tcW w:w="70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公务用车购置及运行费</w:t>
            </w:r>
          </w:p>
        </w:tc>
        <w:tc>
          <w:tcPr>
            <w:tcW w:w="2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23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公务用车购置费</w:t>
            </w:r>
          </w:p>
        </w:tc>
        <w:tc>
          <w:tcPr>
            <w:tcW w:w="2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公务用车运行费</w:t>
            </w:r>
          </w:p>
        </w:tc>
        <w:tc>
          <w:tcPr>
            <w:tcW w:w="2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2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c>
          <w:tcPr>
            <w:tcW w:w="2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c>
          <w:tcPr>
            <w:tcW w:w="2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c>
          <w:tcPr>
            <w:tcW w:w="23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c>
          <w:tcPr>
            <w:tcW w:w="2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c>
          <w:tcPr>
            <w:tcW w:w="2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447" w:hRule="atLeast"/>
        </w:trPr>
        <w:tc>
          <w:tcPr>
            <w:tcW w:w="14174"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rPr>
      </w:pPr>
      <w:r>
        <w:rPr>
          <w:rFonts w:ascii="宋体" w:hAnsi="宋体" w:eastAsia="宋体" w:cs="宋体"/>
          <w:i w:val="0"/>
          <w:iCs w:val="0"/>
          <w:color w:val="000000"/>
          <w:kern w:val="0"/>
          <w:sz w:val="18"/>
          <w:szCs w:val="18"/>
          <w:u w:val="none"/>
          <w:lang w:val="en-US" w:eastAsia="zh-CN" w:bidi="ar"/>
        </w:rPr>
        <w:t xml:space="preserve"> 说明:我们单位没有“三公”经费收入，依然没有使用“三公”经费安排支出，故此表无数据。</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eepNext w:val="0"/>
        <w:keepLines w:val="0"/>
        <w:widowControl/>
        <w:suppressLineNumbers w:val="0"/>
        <w:jc w:val="right"/>
        <w:textAlignment w:val="center"/>
        <w:rPr>
          <w:rFonts w:ascii="宋体" w:hAnsi="宋体" w:eastAsia="宋体" w:cs="宋体"/>
          <w:i w:val="0"/>
          <w:iCs w:val="0"/>
          <w:color w:val="000000"/>
          <w:kern w:val="0"/>
          <w:sz w:val="18"/>
          <w:szCs w:val="18"/>
          <w:u w:val="none"/>
          <w:lang w:val="en-US" w:eastAsia="zh-CN" w:bidi="ar"/>
        </w:rPr>
      </w:pPr>
      <w:r>
        <w:rPr>
          <w:rFonts w:ascii="宋体" w:hAnsi="宋体" w:eastAsia="宋体" w:cs="宋体"/>
          <w:i w:val="0"/>
          <w:iCs w:val="0"/>
          <w:color w:val="000000"/>
          <w:kern w:val="0"/>
          <w:sz w:val="18"/>
          <w:szCs w:val="18"/>
          <w:u w:val="none"/>
          <w:lang w:val="en-US" w:eastAsia="zh-CN" w:bidi="ar"/>
        </w:rPr>
        <w:br w:type="page"/>
      </w:r>
    </w:p>
    <w:tbl>
      <w:tblPr>
        <w:tblStyle w:val="6"/>
        <w:tblW w:w="1375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2"/>
        <w:gridCol w:w="442"/>
        <w:gridCol w:w="442"/>
        <w:gridCol w:w="664"/>
        <w:gridCol w:w="2215"/>
        <w:gridCol w:w="1055"/>
        <w:gridCol w:w="1055"/>
        <w:gridCol w:w="1055"/>
        <w:gridCol w:w="1055"/>
        <w:gridCol w:w="1055"/>
        <w:gridCol w:w="1055"/>
        <w:gridCol w:w="1055"/>
        <w:gridCol w:w="1055"/>
        <w:gridCol w:w="11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3753"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9" w:hRule="atLeast"/>
        </w:trPr>
        <w:tc>
          <w:tcPr>
            <w:tcW w:w="1375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2024年政府性基金预算支出情况表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12645"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10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3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2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2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3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78"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r>
        <w:rPr>
          <w:rFonts w:hint="eastAsia" w:ascii="宋体" w:hAnsi="宋体" w:cs="宋体"/>
          <w:color w:val="000000"/>
          <w:kern w:val="0"/>
          <w:sz w:val="18"/>
          <w:szCs w:val="18"/>
        </w:rPr>
        <w:t>说明：我部门没有政府性基金收入，也没有使用政府性基金安排支出，故此表无数据。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21"/>
        <w:gridCol w:w="2556"/>
        <w:gridCol w:w="2033"/>
        <w:gridCol w:w="808"/>
        <w:gridCol w:w="811"/>
        <w:gridCol w:w="1038"/>
        <w:gridCol w:w="1060"/>
        <w:gridCol w:w="893"/>
        <w:gridCol w:w="981"/>
        <w:gridCol w:w="1089"/>
        <w:gridCol w:w="374"/>
        <w:gridCol w:w="587"/>
        <w:gridCol w:w="7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13"/>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74"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864"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c>
          <w:tcPr>
            <w:tcW w:w="1310" w:type="dxa"/>
            <w:gridSpan w:val="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类型</w:t>
            </w:r>
          </w:p>
        </w:tc>
        <w:tc>
          <w:tcPr>
            <w:tcW w:w="25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2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9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本年拨款</w:t>
            </w:r>
          </w:p>
        </w:tc>
        <w:tc>
          <w:tcPr>
            <w:tcW w:w="29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财政拨款结转结余</w:t>
            </w:r>
          </w:p>
        </w:tc>
        <w:tc>
          <w:tcPr>
            <w:tcW w:w="9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5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2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9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sz w:val="18"/>
                <w:szCs w:val="18"/>
                <w:u w:val="none"/>
              </w:rPr>
            </w:pP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sz w:val="18"/>
                <w:szCs w:val="18"/>
                <w:u w:val="none"/>
              </w:rPr>
            </w:pP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sz w:val="18"/>
                <w:szCs w:val="18"/>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406.69</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117.82</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0"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sz w:val="18"/>
                <w:szCs w:val="18"/>
                <w:u w:val="none"/>
              </w:rPr>
            </w:pP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406.69</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117.82</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288.87</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2"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文物保护员补助经费</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新乡市卫滨区文化广电和旅游局本级</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2.04</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2.04</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8"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文化文物旅游等工作经费</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新乡市卫滨区文化广电和旅游局本级</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4.98</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4.98</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38"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新财预【2023】381号关于提前下达2024年公共图书馆、美术馆、文化馆（站）免费开放补助资金预算的通知</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2"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新财预2023.182号关于下达2023年省级非物质文化遗产保护专项资金预算的通知</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93"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新财预2023年28号下达2023年公共图书馆、美术馆、文化馆（站）免费开放补助资金预算的通知</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34.07</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34.07</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26"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新财预2023.296号关于下达2023年省级公共文化服务体系建设专项资金</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16"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新财预2023年383号关于提前下达2024年国家文物保护资金预算的通知</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2" w:hRule="atLeast"/>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c>
          <w:tcPr>
            <w:tcW w:w="2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新财预2023年52号2023年国家文物保护资金预算的通知</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245.00</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245.00</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sectPr>
          <w:pgSz w:w="16838" w:h="11906" w:orient="landscape"/>
          <w:pgMar w:top="1134" w:right="1440" w:bottom="1134" w:left="1440" w:header="851" w:footer="992" w:gutter="0"/>
          <w:cols w:space="0" w:num="1"/>
          <w:rtlGutter w:val="0"/>
          <w:docGrid w:type="lines" w:linePitch="312" w:charSpace="0"/>
        </w:sectPr>
      </w:pPr>
    </w:p>
    <w:tbl>
      <w:tblPr>
        <w:tblStyle w:val="6"/>
        <w:tblW w:w="88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70"/>
        <w:gridCol w:w="1362"/>
        <w:gridCol w:w="2074"/>
        <w:gridCol w:w="1104"/>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27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07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0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047"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8857"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部门（单位）整体绩效目标表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8857"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88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35" w:hRule="atLeast"/>
        </w:trPr>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758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1.深挖整合辖区资源，推动文旅文创融合发展。</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2.丰富文化活动内容，满足不同层面的文化需求。提升服务质量和效率提供便捷高效的文化服务。增强文化服务的普惠性，减少城乡和区域之间的文化服务差距。</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3.做好非遗传承工作。开展卫滨区第九批非物质文化遗产代表性项目认定、第九届非遗进校园活动。</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4.督促落实文物保护属地管理工作，落实区、镇（办)、村（社区)、文保员四级网络，加大对文保单位的保护管理，确保文物安全。</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5.督促指导文旅场所落实安全防范措施，落实安全生产、消防责任制和责任追究制，持续深入开展安全隐患排查，守牢安全底线，不发生安全生产和火灾事故。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推动文旅融合发展</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做好大运河文化保护传承利用工作，强化文化遗产保护传承，推动文化和旅游融合发展。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落实文物保护工作</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保证文物保护项目的文物维修保护、文物安防、消防及防雷等支出。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提供公共文化服务</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提供公共文化服务项目，改善基层公共文化设施条件，加强基层公共文化服务人才队伍建设。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4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07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568.23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07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07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07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161.54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07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3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074"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3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文物保护单位消防、安防项目支出</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公共文化服务相关工作正常运转完成率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文保员经费补助完成率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两馆、文物保护、旅游、日常办公等相关工作正常运转完成率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确保文化市场稳定目标实现率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≥96%</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对镇办基层公共文化服务体系进行督促指导，实现基层综合性文化服务中心全覆盖。</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加大对文保单位的保护管理，确保文物安全目标实现率。</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有力维护辖区内文旅行业市场稳定，公共文化服务体系有序发展。</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≥92%</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职工满意度</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≥97%</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pPr>
    </w:p>
    <w:p>
      <w:pPr>
        <w:kinsoku w:val="0"/>
        <w:overflowPunct w:val="0"/>
        <w:adjustRightInd w:val="0"/>
        <w:snapToGrid w:val="0"/>
        <w:spacing w:line="560" w:lineRule="exact"/>
        <w:rPr>
          <w:rFonts w:ascii="黑体" w:hAnsi="Times New Roman" w:eastAsia="黑体" w:cs="黑体"/>
          <w:sz w:val="32"/>
          <w:szCs w:val="32"/>
        </w:rPr>
        <w:sectPr>
          <w:pgSz w:w="11906" w:h="16838"/>
          <w:pgMar w:top="1440" w:right="1700" w:bottom="1440" w:left="1560" w:header="851" w:footer="992" w:gutter="0"/>
          <w:cols w:space="720" w:num="1"/>
          <w:docGrid w:type="lines" w:linePitch="312" w:charSpace="0"/>
        </w:sectPr>
      </w:pPr>
    </w:p>
    <w:tbl>
      <w:tblPr>
        <w:tblStyle w:val="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8"/>
        <w:gridCol w:w="1740"/>
        <w:gridCol w:w="972"/>
        <w:gridCol w:w="994"/>
        <w:gridCol w:w="590"/>
        <w:gridCol w:w="411"/>
        <w:gridCol w:w="1185"/>
        <w:gridCol w:w="1072"/>
        <w:gridCol w:w="1327"/>
        <w:gridCol w:w="771"/>
        <w:gridCol w:w="1208"/>
        <w:gridCol w:w="831"/>
        <w:gridCol w:w="1174"/>
        <w:gridCol w:w="9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部门名称：新乡市卫滨区文化广电和旅游局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单位编码（项目编码）</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 （项目名称）</w:t>
            </w:r>
          </w:p>
        </w:tc>
        <w:tc>
          <w:tcPr>
            <w:tcW w:w="296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项目金额（万元）</w:t>
            </w:r>
          </w:p>
        </w:tc>
        <w:tc>
          <w:tcPr>
            <w:tcW w:w="852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9"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296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成本指标  </w:t>
            </w:r>
          </w:p>
        </w:tc>
        <w:tc>
          <w:tcPr>
            <w:tcW w:w="20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2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资金总额</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政府预算资金</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406.69</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406.69</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032001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新乡市卫滨区文化广电和旅游局本级</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7.02</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399.67</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399.67</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410703220000000006394</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文化文物旅游等工作经费</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4.98</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4.98</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文化旅游等工作经费</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≤8.5万元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购办公用品、杂志等</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≥5批</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文旅工作有效开展，促进经济发展。</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社会公众满意度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有效开展党风廉政建设工作</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1次</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单位工作人员满意度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开展各种文化演出</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文化文物旅游宣传、国家安全教育</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≥2次</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外出学习、参加培训</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≥2次</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经费支出合规率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工作经费运行时间</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12月</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410703220000000016895</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文物保护员补助经费</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2.04</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2.04</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文物保护员补助经费总成本</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2.04万元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文保员经费补助人数</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提升对全区文物的保护力度，确保文物安全</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文物保护员满意度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补助发放足额率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文保员补助经费运行时间</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78"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410703240000000043261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新财预2023.296号关于下达2023年省级公共文化服务体系建设专项资金</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4"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410703240000000043601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新财预2023.182号关于下达2023年省级非物质文化遗产保护专项资金预算的通知</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4"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410703240000000043617</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新财预2023年28号下达2023年公共图书馆、美术馆、文化馆（站）免费开放补助资金预算的通知</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34.07</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34.07</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78"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410703240000000043629</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新财预2023年52号2023年国家文物保护资金预算的通知</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245.00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245.00</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78"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410703240000000044413</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新财预2023年383号关于提前下达2024年国家文物保护资金预算的通知</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河朔图书馆旧址修缮工程（二期）专项经费</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河朔图书馆旧址修缮工程（二期）</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有效保护河朔图书馆旧址文化遗产的真实性、完整性和延续性</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社会群众满意度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经费支出合规律</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专项经费运行时间</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30"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410703240000000058423</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新财预【2023】381号关于提前下达2024年公共图书馆、美术馆、文化馆（站）免费开放补助资金预算的通知</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left"/>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427.67</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427.67</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032001</w:t>
            </w:r>
          </w:p>
        </w:tc>
        <w:tc>
          <w:tcPr>
            <w:tcW w:w="1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新乡市卫滨区文化广电和旅游局</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427.67</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427.67</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410703240000000042850</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新财预2023.296号关于下达2023年省级公共文化服务体系建设专项资金</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8.00</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公共文化服务体系建设成本</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舞台艺术送基层演出场次</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舞台艺术繁荣发展率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稳定增长</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群众对基本公共文化服务满意度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基本公共文化服务标准落实率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资金支付及时率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78"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410703240000000042867</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新财预2023年52号2023年国家文物保护资金预算的通知</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245.00</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245.00</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河朔图书馆旧址专项经费</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≤245万元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河朔图书馆旧址消防、安防工程</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1套</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提升对河朔图书馆旧址文物点的保护力度，确保文物安全</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社会群众满意度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经费支出合规率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专项经费运行时间</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12月</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410703240000000042877</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新财预2023.182号关于下达2023年省级非物质文化遗产保护专项资金预算的通知</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1.80</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用于保护非物质文化遗产资金</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补助传承人数量</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补助资金发放及时率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专项资金合规率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非遗保护与传承受益公众增长率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410703240000000042896</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新财预2023年28号下达2023年公共图书馆、美术馆、文化馆（站）免费开放补助资金预算的通知</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34.07</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34.07</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用于免费开放专项资金</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30.068005万元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补助文化站数量</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免费开放受益人群增长率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群众对各类服务项目满意度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1"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免费开放覆盖率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1"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免费开放时长</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≥42小时</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78"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410703240000000044412</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新财预2023年383号关于提前下达2024年国家文物保护资金预算的通知</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河朔图书馆旧址修缮工程（二期）专项经费</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河朔图书馆旧址修缮工程（二期）</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有效保护河朔图书馆旧址文化遗产的真实性、完整性和延续性</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社会群众满意度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经费支出合规律</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专项经费运行时间</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2024年12月31日前</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2" w:hRule="atLeast"/>
        </w:trPr>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410703240000000058001</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新财预【2023】381号关于提前下达2024年公共图书馆、美术馆、文化馆（站）免费开放补助资金预算的通知</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38.80</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38.80</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用于免费开放专项资金</w:t>
            </w: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补助图书馆数量</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提高免费开放受益人群增长率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群众对公共文化服务满意度</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补助文化馆数量</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补助文化站数量</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免费开放覆盖率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jc w:val="right"/>
              <w:rPr>
                <w:rFonts w:hint="eastAsia" w:ascii="宋体" w:hAnsi="宋体" w:eastAsia="宋体" w:cs="宋体"/>
                <w:i w:val="0"/>
                <w:iCs w:val="0"/>
                <w:color w:val="000000"/>
                <w:sz w:val="18"/>
                <w:szCs w:val="18"/>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免费开放时长</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≥42小时</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180" w:lineRule="exact"/>
              <w:rPr>
                <w:rFonts w:hint="eastAsia" w:ascii="宋体" w:hAnsi="宋体" w:eastAsia="宋体" w:cs="宋体"/>
                <w:i w:val="0"/>
                <w:iCs w:val="0"/>
                <w:color w:val="000000"/>
                <w:sz w:val="18"/>
                <w:szCs w:val="18"/>
                <w:u w:val="none"/>
              </w:rPr>
            </w:pPr>
          </w:p>
        </w:tc>
      </w:tr>
    </w:tbl>
    <w:p>
      <w:pPr>
        <w:keepNext w:val="0"/>
        <w:keepLines w:val="0"/>
        <w:pageBreakBefore w:val="0"/>
        <w:kinsoku w:val="0"/>
        <w:wordWrap/>
        <w:overflowPunct w:val="0"/>
        <w:topLinePunct w:val="0"/>
        <w:autoSpaceDE/>
        <w:autoSpaceDN/>
        <w:bidi w:val="0"/>
        <w:adjustRightInd w:val="0"/>
        <w:snapToGrid w:val="0"/>
        <w:spacing w:line="160" w:lineRule="exact"/>
        <w:rPr>
          <w:rFonts w:ascii="黑体" w:hAnsi="Times New Roman" w:eastAsia="黑体" w:cs="黑体"/>
          <w:sz w:val="32"/>
          <w:szCs w:val="32"/>
        </w:rPr>
      </w:pPr>
    </w:p>
    <w:sectPr>
      <w:pgSz w:w="16838" w:h="11906" w:orient="landscape"/>
      <w:pgMar w:top="1560" w:right="1440" w:bottom="17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A4D1CB"/>
    <w:multiLevelType w:val="singleLevel"/>
    <w:tmpl w:val="C1A4D1CB"/>
    <w:lvl w:ilvl="0" w:tentative="0">
      <w:start w:val="6"/>
      <w:numFmt w:val="chineseCounting"/>
      <w:suff w:val="nothing"/>
      <w:lvlText w:val="（%1）"/>
      <w:lvlJc w:val="left"/>
      <w:rPr>
        <w:rFonts w:hint="eastAsia"/>
      </w:rPr>
    </w:lvl>
  </w:abstractNum>
  <w:abstractNum w:abstractNumId="1">
    <w:nsid w:val="F0A91E5C"/>
    <w:multiLevelType w:val="singleLevel"/>
    <w:tmpl w:val="F0A91E5C"/>
    <w:lvl w:ilvl="0" w:tentative="0">
      <w:start w:val="1"/>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5971C2CF"/>
    <w:multiLevelType w:val="singleLevel"/>
    <w:tmpl w:val="5971C2CF"/>
    <w:lvl w:ilvl="0" w:tentative="0">
      <w:start w:val="1"/>
      <w:numFmt w:val="decimal"/>
      <w:suff w:val="nothing"/>
      <w:lvlText w:val="%1．"/>
      <w:lvlJc w:val="left"/>
      <w:pPr>
        <w:ind w:left="167" w:firstLine="400"/>
      </w:pPr>
      <w:rPr>
        <w:rFonts w:hint="default" w:ascii="Times New Roman" w:hAnsi="Times New Roman" w:cs="Times New Roman"/>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mMTE0MDFiMDljYTEyYjc3MDYwMzQ5YjYxMzE3MWIifQ=="/>
  </w:docVars>
  <w:rsids>
    <w:rsidRoot w:val="000E666A"/>
    <w:rsid w:val="000056FE"/>
    <w:rsid w:val="00007CC9"/>
    <w:rsid w:val="00015F07"/>
    <w:rsid w:val="00016ADC"/>
    <w:rsid w:val="00023260"/>
    <w:rsid w:val="000328AD"/>
    <w:rsid w:val="0003777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7E81"/>
    <w:rsid w:val="001F24BC"/>
    <w:rsid w:val="001F64E1"/>
    <w:rsid w:val="001F657E"/>
    <w:rsid w:val="00202770"/>
    <w:rsid w:val="00204E18"/>
    <w:rsid w:val="00204F67"/>
    <w:rsid w:val="0021471A"/>
    <w:rsid w:val="002155BC"/>
    <w:rsid w:val="002155E6"/>
    <w:rsid w:val="002165A0"/>
    <w:rsid w:val="002213D7"/>
    <w:rsid w:val="00230456"/>
    <w:rsid w:val="00236D28"/>
    <w:rsid w:val="00242997"/>
    <w:rsid w:val="00251DE8"/>
    <w:rsid w:val="00254A2A"/>
    <w:rsid w:val="002601F3"/>
    <w:rsid w:val="00267739"/>
    <w:rsid w:val="0027730D"/>
    <w:rsid w:val="002A512A"/>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7A9A"/>
    <w:rsid w:val="00327ADF"/>
    <w:rsid w:val="0034481A"/>
    <w:rsid w:val="00352AD6"/>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A2735"/>
    <w:rsid w:val="004A561C"/>
    <w:rsid w:val="004B1080"/>
    <w:rsid w:val="004B1BF0"/>
    <w:rsid w:val="004C0B6C"/>
    <w:rsid w:val="004C3AD6"/>
    <w:rsid w:val="004C7BA0"/>
    <w:rsid w:val="004D069E"/>
    <w:rsid w:val="004D0CCC"/>
    <w:rsid w:val="004F460E"/>
    <w:rsid w:val="00504D4A"/>
    <w:rsid w:val="005271CC"/>
    <w:rsid w:val="00530C66"/>
    <w:rsid w:val="00540176"/>
    <w:rsid w:val="00540B6A"/>
    <w:rsid w:val="00542462"/>
    <w:rsid w:val="005433FC"/>
    <w:rsid w:val="00554BEE"/>
    <w:rsid w:val="00556BE7"/>
    <w:rsid w:val="00571108"/>
    <w:rsid w:val="00573E04"/>
    <w:rsid w:val="00583C97"/>
    <w:rsid w:val="00591111"/>
    <w:rsid w:val="005A7520"/>
    <w:rsid w:val="005A786C"/>
    <w:rsid w:val="005B09E4"/>
    <w:rsid w:val="005B4803"/>
    <w:rsid w:val="005B7D64"/>
    <w:rsid w:val="005C6D7D"/>
    <w:rsid w:val="005E6CB4"/>
    <w:rsid w:val="005F0E25"/>
    <w:rsid w:val="005F36D1"/>
    <w:rsid w:val="00600AAF"/>
    <w:rsid w:val="006059F4"/>
    <w:rsid w:val="0060649F"/>
    <w:rsid w:val="00616688"/>
    <w:rsid w:val="00641E96"/>
    <w:rsid w:val="00643973"/>
    <w:rsid w:val="006463C1"/>
    <w:rsid w:val="00646934"/>
    <w:rsid w:val="006519C1"/>
    <w:rsid w:val="006533BE"/>
    <w:rsid w:val="00655CED"/>
    <w:rsid w:val="00655F9F"/>
    <w:rsid w:val="00660094"/>
    <w:rsid w:val="0066274D"/>
    <w:rsid w:val="0066604F"/>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64D2F"/>
    <w:rsid w:val="00773324"/>
    <w:rsid w:val="00796560"/>
    <w:rsid w:val="007B748B"/>
    <w:rsid w:val="007C4D6A"/>
    <w:rsid w:val="007C5790"/>
    <w:rsid w:val="007C6035"/>
    <w:rsid w:val="007D582B"/>
    <w:rsid w:val="007F0C11"/>
    <w:rsid w:val="008035D5"/>
    <w:rsid w:val="00803E72"/>
    <w:rsid w:val="00811491"/>
    <w:rsid w:val="00811A52"/>
    <w:rsid w:val="00813D8B"/>
    <w:rsid w:val="00813ECE"/>
    <w:rsid w:val="00815377"/>
    <w:rsid w:val="00817547"/>
    <w:rsid w:val="008255FC"/>
    <w:rsid w:val="00827977"/>
    <w:rsid w:val="00833376"/>
    <w:rsid w:val="008336B4"/>
    <w:rsid w:val="00836BB8"/>
    <w:rsid w:val="008413E1"/>
    <w:rsid w:val="00845BBD"/>
    <w:rsid w:val="00850003"/>
    <w:rsid w:val="00850526"/>
    <w:rsid w:val="00862ACE"/>
    <w:rsid w:val="008662DA"/>
    <w:rsid w:val="00871827"/>
    <w:rsid w:val="00872A52"/>
    <w:rsid w:val="00876F50"/>
    <w:rsid w:val="00880C02"/>
    <w:rsid w:val="008831B0"/>
    <w:rsid w:val="008852A0"/>
    <w:rsid w:val="008854C3"/>
    <w:rsid w:val="008A07E9"/>
    <w:rsid w:val="008A5078"/>
    <w:rsid w:val="008A6827"/>
    <w:rsid w:val="008B1E1C"/>
    <w:rsid w:val="008B22A2"/>
    <w:rsid w:val="008B29FF"/>
    <w:rsid w:val="008C1726"/>
    <w:rsid w:val="008C5433"/>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49B7"/>
    <w:rsid w:val="00A87DD7"/>
    <w:rsid w:val="00AA4E11"/>
    <w:rsid w:val="00AB18CB"/>
    <w:rsid w:val="00AB2328"/>
    <w:rsid w:val="00AB4907"/>
    <w:rsid w:val="00AB6DFB"/>
    <w:rsid w:val="00AC5410"/>
    <w:rsid w:val="00B01857"/>
    <w:rsid w:val="00B03AAD"/>
    <w:rsid w:val="00B1453C"/>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59DB"/>
    <w:rsid w:val="00BC7C5A"/>
    <w:rsid w:val="00BE4D35"/>
    <w:rsid w:val="00BF0F52"/>
    <w:rsid w:val="00C0162B"/>
    <w:rsid w:val="00C03348"/>
    <w:rsid w:val="00C17E7A"/>
    <w:rsid w:val="00C21E04"/>
    <w:rsid w:val="00C23F9E"/>
    <w:rsid w:val="00C25A3C"/>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B508D"/>
    <w:rsid w:val="00CC4BF6"/>
    <w:rsid w:val="00CC793C"/>
    <w:rsid w:val="00CD4C57"/>
    <w:rsid w:val="00CF458F"/>
    <w:rsid w:val="00D01426"/>
    <w:rsid w:val="00D04BF4"/>
    <w:rsid w:val="00D21C47"/>
    <w:rsid w:val="00D2537C"/>
    <w:rsid w:val="00D25951"/>
    <w:rsid w:val="00D26956"/>
    <w:rsid w:val="00D26DC2"/>
    <w:rsid w:val="00D44216"/>
    <w:rsid w:val="00D4765A"/>
    <w:rsid w:val="00D527ED"/>
    <w:rsid w:val="00D561EE"/>
    <w:rsid w:val="00D6158D"/>
    <w:rsid w:val="00D7195F"/>
    <w:rsid w:val="00D71C17"/>
    <w:rsid w:val="00D801C6"/>
    <w:rsid w:val="00D83019"/>
    <w:rsid w:val="00D8525D"/>
    <w:rsid w:val="00D92623"/>
    <w:rsid w:val="00D93A37"/>
    <w:rsid w:val="00DC5F64"/>
    <w:rsid w:val="00DC7872"/>
    <w:rsid w:val="00DD6466"/>
    <w:rsid w:val="00DD697C"/>
    <w:rsid w:val="00DE6A63"/>
    <w:rsid w:val="00DF19C8"/>
    <w:rsid w:val="00E04054"/>
    <w:rsid w:val="00E1289B"/>
    <w:rsid w:val="00E17D38"/>
    <w:rsid w:val="00E23DFD"/>
    <w:rsid w:val="00E2542E"/>
    <w:rsid w:val="00E2610B"/>
    <w:rsid w:val="00E4080C"/>
    <w:rsid w:val="00E43ED0"/>
    <w:rsid w:val="00E549CB"/>
    <w:rsid w:val="00E6220D"/>
    <w:rsid w:val="00E8417A"/>
    <w:rsid w:val="00E941A6"/>
    <w:rsid w:val="00EB05F1"/>
    <w:rsid w:val="00EB6F57"/>
    <w:rsid w:val="00EC2C40"/>
    <w:rsid w:val="00ED7886"/>
    <w:rsid w:val="00EE0329"/>
    <w:rsid w:val="00EE05C3"/>
    <w:rsid w:val="00EE44CC"/>
    <w:rsid w:val="00EE59D1"/>
    <w:rsid w:val="00F01287"/>
    <w:rsid w:val="00F1283B"/>
    <w:rsid w:val="00F25745"/>
    <w:rsid w:val="00F33362"/>
    <w:rsid w:val="00F34E65"/>
    <w:rsid w:val="00F44EC4"/>
    <w:rsid w:val="00F506ED"/>
    <w:rsid w:val="00F63CE3"/>
    <w:rsid w:val="00F74C74"/>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9E907EB"/>
    <w:rsid w:val="0BDF62EE"/>
    <w:rsid w:val="0CEF2B00"/>
    <w:rsid w:val="0FA90872"/>
    <w:rsid w:val="11A825AE"/>
    <w:rsid w:val="138022CF"/>
    <w:rsid w:val="13910C45"/>
    <w:rsid w:val="139211B7"/>
    <w:rsid w:val="149E281A"/>
    <w:rsid w:val="155970C3"/>
    <w:rsid w:val="17106260"/>
    <w:rsid w:val="175F3CA6"/>
    <w:rsid w:val="17767D2A"/>
    <w:rsid w:val="19FB7D8E"/>
    <w:rsid w:val="1B9430C3"/>
    <w:rsid w:val="1C7012F4"/>
    <w:rsid w:val="1CE14F88"/>
    <w:rsid w:val="221D378B"/>
    <w:rsid w:val="25985832"/>
    <w:rsid w:val="2A37305D"/>
    <w:rsid w:val="2A76223B"/>
    <w:rsid w:val="2AD76DF3"/>
    <w:rsid w:val="30787DC5"/>
    <w:rsid w:val="33C50B6F"/>
    <w:rsid w:val="368469FD"/>
    <w:rsid w:val="39063762"/>
    <w:rsid w:val="39E910B3"/>
    <w:rsid w:val="3BD07B55"/>
    <w:rsid w:val="3CF5D085"/>
    <w:rsid w:val="3D3A3721"/>
    <w:rsid w:val="3D440195"/>
    <w:rsid w:val="3EF5046A"/>
    <w:rsid w:val="3FAE2155"/>
    <w:rsid w:val="480E1D32"/>
    <w:rsid w:val="4C75172A"/>
    <w:rsid w:val="4C7813AD"/>
    <w:rsid w:val="4CDA2801"/>
    <w:rsid w:val="4D336C62"/>
    <w:rsid w:val="4F917FC6"/>
    <w:rsid w:val="510D0E91"/>
    <w:rsid w:val="5236524B"/>
    <w:rsid w:val="53E67E4C"/>
    <w:rsid w:val="57455DEA"/>
    <w:rsid w:val="57C60097"/>
    <w:rsid w:val="57DC705E"/>
    <w:rsid w:val="59642F2F"/>
    <w:rsid w:val="59AA14E0"/>
    <w:rsid w:val="59E52906"/>
    <w:rsid w:val="5A1C43D8"/>
    <w:rsid w:val="5ABB071E"/>
    <w:rsid w:val="5BDE03F9"/>
    <w:rsid w:val="5D1412C6"/>
    <w:rsid w:val="5E810140"/>
    <w:rsid w:val="5ED512CA"/>
    <w:rsid w:val="60E8367D"/>
    <w:rsid w:val="62566660"/>
    <w:rsid w:val="62A55CA5"/>
    <w:rsid w:val="63784E17"/>
    <w:rsid w:val="6468013A"/>
    <w:rsid w:val="649C46F2"/>
    <w:rsid w:val="64A223BD"/>
    <w:rsid w:val="651C3794"/>
    <w:rsid w:val="6643017F"/>
    <w:rsid w:val="66B8479B"/>
    <w:rsid w:val="67DEEB88"/>
    <w:rsid w:val="69D6563E"/>
    <w:rsid w:val="6C3616A3"/>
    <w:rsid w:val="6D594242"/>
    <w:rsid w:val="71A9298B"/>
    <w:rsid w:val="72BD29C0"/>
    <w:rsid w:val="73CB561A"/>
    <w:rsid w:val="748B06D6"/>
    <w:rsid w:val="756722AD"/>
    <w:rsid w:val="7789230E"/>
    <w:rsid w:val="797F6F0E"/>
    <w:rsid w:val="7B115B06"/>
    <w:rsid w:val="7DC47EB1"/>
    <w:rsid w:val="C8FFE7A7"/>
    <w:rsid w:val="DF7F06FE"/>
    <w:rsid w:val="EFCD544C"/>
    <w:rsid w:val="F5D640B1"/>
    <w:rsid w:val="F7B7C729"/>
    <w:rsid w:val="FC7F736C"/>
    <w:rsid w:val="FD7D05E9"/>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样式3"/>
    <w:basedOn w:val="1"/>
    <w:link w:val="9"/>
    <w:qFormat/>
    <w:uiPriority w:val="99"/>
    <w:pPr>
      <w:jc w:val="center"/>
    </w:pPr>
    <w:rPr>
      <w:rFonts w:ascii="方正小标宋简体" w:hAnsi="方正小标宋简体" w:eastAsia="仿宋" w:cs="方正小标宋简体"/>
      <w:sz w:val="28"/>
      <w:szCs w:val="52"/>
    </w:rPr>
  </w:style>
  <w:style w:type="character" w:customStyle="1" w:styleId="9">
    <w:name w:val="样式3 Char"/>
    <w:basedOn w:val="7"/>
    <w:link w:val="8"/>
    <w:qFormat/>
    <w:locked/>
    <w:uiPriority w:val="99"/>
    <w:rPr>
      <w:rFonts w:ascii="方正小标宋简体" w:hAnsi="方正小标宋简体" w:eastAsia="仿宋" w:cs="方正小标宋简体"/>
      <w:kern w:val="2"/>
      <w:sz w:val="28"/>
      <w:szCs w:val="52"/>
    </w:rPr>
  </w:style>
  <w:style w:type="character" w:customStyle="1" w:styleId="10">
    <w:name w:val="页脚 Char"/>
    <w:basedOn w:val="7"/>
    <w:link w:val="4"/>
    <w:qFormat/>
    <w:uiPriority w:val="0"/>
    <w:rPr>
      <w:rFonts w:ascii="Calibri" w:hAnsi="Calibri"/>
      <w:kern w:val="2"/>
      <w:sz w:val="18"/>
      <w:szCs w:val="18"/>
    </w:rPr>
  </w:style>
  <w:style w:type="character" w:customStyle="1" w:styleId="11">
    <w:name w:val="页眉 Char"/>
    <w:basedOn w:val="7"/>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32</Pages>
  <Words>14734</Words>
  <Characters>17411</Characters>
  <Lines>135</Lines>
  <Paragraphs>38</Paragraphs>
  <TotalTime>10</TotalTime>
  <ScaleCrop>false</ScaleCrop>
  <LinksUpToDate>false</LinksUpToDate>
  <CharactersWithSpaces>17631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2019-12-13T04:44:00Z</dcterms:created>
  <dc:creator>咕咕</dc:creator>
  <cp:lastModifiedBy>Administrator</cp:lastModifiedBy>
  <cp:lastPrinted>2023-05-19T02:31:00Z</cp:lastPrinted>
  <dcterms:modified xsi:type="dcterms:W3CDTF">2024-03-26T01:36:07Z</dcterms:modified>
  <dc:title>2017年度省级部门预算公开参考格式</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B7CFE812D8CB4E669432323EEB40123E_13</vt:lpwstr>
  </property>
</Properties>
</file>