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仿宋_GB2312" w:hAnsi="黑体" w:eastAsia="仿宋_GB2312"/>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新乡市卫滨区城市更新推进中心2024年度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lang w:eastAsia="zh-CN"/>
        </w:rPr>
        <w:t>部门</w:t>
      </w:r>
      <w:r>
        <w:rPr>
          <w:rFonts w:hint="eastAsia" w:ascii="方正小标宋简体" w:hAnsi="方正小标宋简体" w:eastAsia="方正小标宋简体" w:cs="方正小标宋简体"/>
          <w:sz w:val="44"/>
          <w:szCs w:val="44"/>
        </w:rPr>
        <w:t>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rPr>
          <w:rFonts w:ascii="黑体" w:hAnsi="黑体" w:eastAsia="黑体"/>
        </w:rPr>
      </w:pPr>
      <w:r>
        <w:rPr>
          <w:rFonts w:hint="eastAsia" w:ascii="黑体" w:hAnsi="黑体" w:eastAsia="黑体" w:cs="黑体"/>
          <w:sz w:val="32"/>
          <w:szCs w:val="32"/>
        </w:rPr>
        <w:t>第一部分 新乡市卫滨区城市更新推进中心单位概况</w:t>
      </w:r>
    </w:p>
    <w:p>
      <w:pPr>
        <w:kinsoku w:val="0"/>
        <w:overflowPunct w:val="0"/>
        <w:adjustRightInd w:val="0"/>
        <w:snapToGrid w:val="0"/>
        <w:spacing w:line="360" w:lineRule="auto"/>
        <w:ind w:right="3566"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二、部门所属预算单位构成情况</w:t>
      </w:r>
    </w:p>
    <w:p>
      <w:pPr>
        <w:kinsoku w:val="0"/>
        <w:overflowPunct w:val="0"/>
        <w:adjustRightInd w:val="0"/>
        <w:snapToGrid w:val="0"/>
        <w:spacing w:line="360" w:lineRule="auto"/>
        <w:ind w:right="521" w:firstLine="640" w:firstLineChars="200"/>
        <w:rPr>
          <w:rFonts w:ascii="黑体" w:hAnsi="黑体" w:eastAsia="黑体" w:cs="黑体"/>
          <w:w w:val="99"/>
          <w:sz w:val="32"/>
          <w:szCs w:val="32"/>
        </w:rPr>
      </w:pPr>
      <w:r>
        <w:rPr>
          <w:rFonts w:hint="eastAsia" w:ascii="黑体" w:hAnsi="黑体" w:eastAsia="黑体" w:cs="黑体"/>
          <w:sz w:val="32"/>
          <w:szCs w:val="32"/>
        </w:rPr>
        <w:t>第二部分 新乡市卫滨区城市更新推进中心2024年度部门预算情况说明</w:t>
      </w:r>
    </w:p>
    <w:p>
      <w:pPr>
        <w:kinsoku w:val="0"/>
        <w:overflowPunct w:val="0"/>
        <w:adjustRightInd w:val="0"/>
        <w:snapToGrid w:val="0"/>
        <w:spacing w:line="360" w:lineRule="auto"/>
        <w:ind w:right="521" w:firstLine="640" w:firstLineChars="200"/>
        <w:rPr>
          <w:rFonts w:ascii="仿宋_GB2312" w:hAnsi="黑体" w:eastAsia="仿宋_GB2312"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cs="黑体"/>
          <w:kern w:val="0"/>
          <w:sz w:val="32"/>
          <w:szCs w:val="32"/>
        </w:rPr>
        <w:t>六、一般公共预算基本和项目支出预算情况说明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黑体" w:eastAsia="仿宋_GB2312" w:cs="黑体"/>
          <w:w w:val="99"/>
          <w:sz w:val="32"/>
          <w:szCs w:val="32"/>
        </w:rPr>
      </w:pPr>
      <w:r>
        <w:rPr>
          <w:rFonts w:hint="eastAsia" w:ascii="仿宋_GB2312" w:hAnsi="黑体"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黑体" w:eastAsia="仿宋_GB2312" w:cs="Courier New"/>
          <w:sz w:val="32"/>
          <w:szCs w:val="32"/>
        </w:rPr>
      </w:pPr>
      <w:r>
        <w:rPr>
          <w:rFonts w:hint="eastAsia" w:ascii="仿宋_GB2312" w:hAnsi="黑体"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黑体" w:eastAsia="黑体" w:cs="黑体"/>
          <w:sz w:val="32"/>
          <w:szCs w:val="32"/>
        </w:rPr>
      </w:pPr>
      <w:r>
        <w:rPr>
          <w:rFonts w:hint="eastAsia" w:ascii="黑体" w:hAnsi="黑体" w:eastAsia="黑体" w:cs="黑体"/>
          <w:sz w:val="32"/>
          <w:szCs w:val="32"/>
        </w:rPr>
        <w:t>第三部分 名词解释</w:t>
      </w:r>
    </w:p>
    <w:p>
      <w:pPr>
        <w:kinsoku w:val="0"/>
        <w:overflowPunct w:val="0"/>
        <w:adjustRightInd w:val="0"/>
        <w:snapToGrid w:val="0"/>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附件：新乡市卫滨区城市更新推进中心</w:t>
      </w:r>
      <w:r>
        <w:rPr>
          <w:rFonts w:hint="eastAsia" w:ascii="黑体" w:hAnsi="黑体" w:eastAsia="黑体"/>
          <w:sz w:val="32"/>
          <w:szCs w:val="32"/>
        </w:rPr>
        <w:t>2024</w:t>
      </w:r>
      <w:r>
        <w:rPr>
          <w:rFonts w:hint="eastAsia" w:ascii="黑体" w:hAnsi="黑体"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hint="eastAsia"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新乡市卫滨区城市更新推进中心单位概况</w:t>
      </w: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卫滨区城市更新推进中心单位</w:t>
      </w:r>
      <w:r>
        <w:rPr>
          <w:rFonts w:hint="eastAsia" w:ascii="黑体" w:hAnsi="黑体" w:eastAsia="黑体"/>
          <w:sz w:val="32"/>
          <w:szCs w:val="32"/>
        </w:rPr>
        <w:t>主要职责</w:t>
      </w:r>
    </w:p>
    <w:p>
      <w:pPr>
        <w:rPr>
          <w:rFonts w:ascii="仿宋_GB2312" w:hAnsi="黑体" w:eastAsia="仿宋_GB2312"/>
          <w:sz w:val="32"/>
          <w:szCs w:val="32"/>
        </w:rPr>
      </w:pPr>
      <w:r>
        <w:rPr>
          <w:rFonts w:hint="eastAsia" w:ascii="仿宋_GB2312" w:hAnsi="仿宋" w:eastAsia="仿宋_GB2312" w:cs="仿宋_GB2312"/>
          <w:sz w:val="32"/>
          <w:szCs w:val="32"/>
        </w:rPr>
        <w:t>（一）</w:t>
      </w:r>
      <w:r>
        <w:rPr>
          <w:rFonts w:hint="eastAsia" w:ascii="仿宋_GB2312" w:hAnsi="仿宋" w:eastAsia="仿宋_GB2312"/>
          <w:sz w:val="32"/>
          <w:szCs w:val="32"/>
        </w:rPr>
        <w:t>贯彻执行国家、省、市有关城市更新和国有土地上房屋征收与补偿的法律、法规和政策，组织实施城市更新和国有土</w:t>
      </w:r>
      <w:r>
        <w:rPr>
          <w:rFonts w:hint="eastAsia" w:ascii="仿宋_GB2312" w:hAnsi="黑体" w:eastAsia="仿宋_GB2312"/>
          <w:sz w:val="32"/>
          <w:szCs w:val="32"/>
        </w:rPr>
        <w:t>地上房屋征收与补偿具体工作。</w:t>
      </w:r>
    </w:p>
    <w:p>
      <w:pPr>
        <w:rPr>
          <w:rFonts w:ascii="仿宋_GB2312" w:hAnsi="黑体" w:eastAsia="仿宋_GB2312"/>
          <w:sz w:val="32"/>
          <w:szCs w:val="32"/>
        </w:rPr>
      </w:pPr>
      <w:r>
        <w:rPr>
          <w:rFonts w:hint="eastAsia" w:ascii="仿宋_GB2312" w:hAnsi="黑体" w:eastAsia="仿宋_GB2312"/>
          <w:sz w:val="32"/>
          <w:szCs w:val="32"/>
        </w:rPr>
        <w:t>(二)负责区城市更新有关论证、信息交流、宣传教育工作，负责统筹推进城市更新信息化建及信息、档案、综合统计工作;拟定征收补偿方案协助组织征求意见，调查、登记、宣传、论证，公示、对被征收房屋的安全拆除等工作。</w:t>
      </w:r>
    </w:p>
    <w:p>
      <w:pPr>
        <w:rPr>
          <w:rFonts w:ascii="仿宋_GB2312" w:hAnsi="黑体" w:eastAsia="仿宋_GB2312"/>
          <w:sz w:val="32"/>
          <w:szCs w:val="32"/>
        </w:rPr>
      </w:pPr>
      <w:r>
        <w:rPr>
          <w:rFonts w:hint="eastAsia" w:ascii="仿宋_GB2312" w:hAnsi="黑体" w:eastAsia="仿宋_GB2312"/>
          <w:sz w:val="32"/>
          <w:szCs w:val="32"/>
        </w:rPr>
        <w:t>(三)规划我区棚户区(城中村)改造计划，并协助平原镇及各办事处及时落实改造计划，协调各相关职能部门的城市更新工作</w:t>
      </w:r>
    </w:p>
    <w:p>
      <w:pPr>
        <w:rPr>
          <w:rFonts w:ascii="仿宋_GB2312" w:hAnsi="黑体" w:eastAsia="仿宋_GB2312"/>
          <w:sz w:val="32"/>
          <w:szCs w:val="32"/>
        </w:rPr>
      </w:pPr>
      <w:r>
        <w:rPr>
          <w:rFonts w:hint="eastAsia" w:ascii="仿宋_GB2312" w:hAnsi="黑体" w:eastAsia="仿宋_GB2312"/>
          <w:sz w:val="32"/>
          <w:szCs w:val="32"/>
        </w:rPr>
        <w:t>(四)负责对接市棚户区(城中村)改造办公室及市局住房保障科相应工作。</w:t>
      </w:r>
    </w:p>
    <w:p>
      <w:pPr>
        <w:rPr>
          <w:rFonts w:ascii="仿宋_GB2312" w:hAnsi="黑体" w:eastAsia="仿宋_GB2312"/>
          <w:sz w:val="32"/>
          <w:szCs w:val="32"/>
        </w:rPr>
      </w:pPr>
      <w:r>
        <w:rPr>
          <w:rFonts w:hint="eastAsia" w:ascii="仿宋_GB2312" w:hAnsi="黑体" w:eastAsia="仿宋_GB2312"/>
          <w:sz w:val="32"/>
          <w:szCs w:val="32"/>
        </w:rPr>
        <w:t>(五)落实棚户区(城中村)改造相关优惠政策。</w:t>
      </w:r>
    </w:p>
    <w:p>
      <w:pPr>
        <w:rPr>
          <w:rFonts w:ascii="仿宋_GB2312" w:hAnsi="黑体" w:eastAsia="仿宋_GB2312"/>
          <w:sz w:val="32"/>
          <w:szCs w:val="32"/>
        </w:rPr>
      </w:pPr>
      <w:r>
        <w:rPr>
          <w:rFonts w:hint="eastAsia" w:ascii="仿宋_GB2312" w:hAnsi="黑体" w:eastAsia="仿宋_GB2312"/>
          <w:sz w:val="32"/>
          <w:szCs w:val="32"/>
        </w:rPr>
        <w:t>(六)负责保障性佳房领域审计问题整改等工作。</w:t>
      </w:r>
    </w:p>
    <w:p>
      <w:pPr>
        <w:rPr>
          <w:rFonts w:ascii="仿宋_GB2312" w:hAnsi="黑体" w:eastAsia="仿宋_GB2312"/>
          <w:sz w:val="32"/>
          <w:szCs w:val="32"/>
        </w:rPr>
      </w:pPr>
      <w:r>
        <w:rPr>
          <w:rFonts w:hint="eastAsia" w:ascii="仿宋_GB2312" w:hAnsi="黑体" w:eastAsia="仿宋_GB2312"/>
          <w:sz w:val="32"/>
          <w:szCs w:val="32"/>
        </w:rPr>
        <w:t>(七)完成区委、区政府交办的其他任务。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卫滨区城市更新推进中心</w:t>
      </w:r>
      <w:r>
        <w:rPr>
          <w:rFonts w:hint="eastAsia" w:ascii="黑体" w:hAnsi="黑体" w:eastAsia="黑体"/>
          <w:sz w:val="32"/>
          <w:szCs w:val="32"/>
        </w:rPr>
        <w:t>单位构成</w:t>
      </w:r>
    </w:p>
    <w:p>
      <w:pPr>
        <w:rPr>
          <w:rFonts w:ascii="仿宋_GB2312" w:hAnsi="黑体" w:eastAsia="仿宋_GB2312"/>
          <w:sz w:val="32"/>
          <w:szCs w:val="32"/>
        </w:rPr>
      </w:pPr>
      <w:r>
        <w:rPr>
          <w:rFonts w:hint="eastAsia" w:ascii="仿宋_GB2312" w:hAnsi="黑体" w:eastAsia="仿宋_GB2312"/>
          <w:sz w:val="32"/>
          <w:szCs w:val="32"/>
        </w:rPr>
        <w:t>卫滨区城市更新推进中心设4个内设机构,机构规格为股级。</w:t>
      </w:r>
    </w:p>
    <w:p>
      <w:pPr>
        <w:rPr>
          <w:rFonts w:ascii="仿宋_GB2312" w:hAnsi="黑体" w:eastAsia="仿宋_GB2312"/>
          <w:sz w:val="32"/>
          <w:szCs w:val="32"/>
        </w:rPr>
      </w:pPr>
      <w:r>
        <w:rPr>
          <w:rFonts w:hint="eastAsia" w:ascii="仿宋_GB2312" w:hAnsi="黑体" w:eastAsia="仿宋_GB2312"/>
          <w:sz w:val="32"/>
          <w:szCs w:val="32"/>
        </w:rPr>
        <w:t>(一)党政办公室:负责承办区城市更新推进中心单位文件和公文处理;负贵单位日常事务，协调各职能股室处理对外事务工作;负责制定工作计划和各项规章制度;负责印章、文档管理，考勤、政治业务学习、业务理论学习;负责单位党建、机构编制、人事管理、财务管理、信息化建设及后勤保障等内部管理工作。</w:t>
      </w:r>
    </w:p>
    <w:p>
      <w:pPr>
        <w:rPr>
          <w:rFonts w:ascii="仿宋_GB2312" w:hAnsi="仿宋" w:eastAsia="仿宋_GB2312"/>
          <w:sz w:val="32"/>
          <w:szCs w:val="32"/>
        </w:rPr>
      </w:pPr>
      <w:r>
        <w:rPr>
          <w:rFonts w:hint="eastAsia" w:ascii="仿宋_GB2312" w:hAnsi="黑体" w:eastAsia="仿宋_GB2312"/>
          <w:sz w:val="32"/>
          <w:szCs w:val="32"/>
        </w:rPr>
        <w:t>(二)征收办公室:负责组织编制撼市更新片区箴划方案，并组织对可行性进行论证，组织审核城市更新项目实施方案，组织实</w:t>
      </w:r>
      <w:r>
        <w:rPr>
          <w:rFonts w:hint="eastAsia" w:ascii="仿宋_GB2312" w:hAnsi="仿宋" w:eastAsia="仿宋_GB2312"/>
          <w:sz w:val="32"/>
          <w:szCs w:val="32"/>
        </w:rPr>
        <w:t>施玖府主导的重点城市更新项目。宣传和贯彻执行国家、省、市关于土地房屋征收的政策和法律、法规。组织对征收范围内土地房屋的权属、区位、用途、建筑面积等情况进行调查、登记，公示、确权。组织开展土地房屋征收前的社会稳定风险评估和被征收土地房屋的价值评估工作。拟定辖区内建设项目的房屋补偿方案。组织开展房屋征收补偿方案的论证、听证、征求意见、公示等工作。组织开展房屋征收补偿协商及征收补偿协议签订工作。协调土地房屋征收补偿、安置纠纷的调解工作。负责国有土地房屋征收与补偿数据的信息统计、档案资料的收集整理、入库和汇总上报。配合开展土地清理和房屋拆除工作。妥善处理征收后的历史遗留问题。</w:t>
      </w:r>
    </w:p>
    <w:p>
      <w:pPr>
        <w:rPr>
          <w:rFonts w:ascii="仿宋_GB2312" w:hAnsi="仿宋" w:eastAsia="仿宋_GB2312"/>
          <w:sz w:val="32"/>
          <w:szCs w:val="32"/>
        </w:rPr>
      </w:pPr>
      <w:r>
        <w:rPr>
          <w:rFonts w:hint="eastAsia" w:ascii="仿宋_GB2312" w:hAnsi="仿宋" w:eastAsia="仿宋_GB2312"/>
          <w:sz w:val="32"/>
          <w:szCs w:val="32"/>
        </w:rPr>
        <w:t>(三)两改办公室:规划我区棚户区(城中村)改造计划，负责对接市棚户区(城中村)改造办公室及市局住房保障科相应工作，包括项目申请手续的办理、项目实施过程中的指导以及相关文字材料准备。落实棚户区(城中村)改造相关优惠政策，帮助项目申请列入河南省棚户区(城中村)改造计划、申请中央补助资金、申请棚改专项债等工作。负责保障性住房领域审计问题整改，奖补资金未支付到位、安置房逾期未交付等棚户区(城中村)改造全流程管理工作。</w:t>
      </w:r>
    </w:p>
    <w:p>
      <w:pPr>
        <w:rPr>
          <w:rFonts w:ascii="仿宋_GB2312" w:hAnsi="黑体" w:eastAsia="仿宋_GB2312"/>
          <w:sz w:val="32"/>
          <w:szCs w:val="32"/>
        </w:rPr>
      </w:pPr>
      <w:r>
        <w:rPr>
          <w:rFonts w:hint="eastAsia" w:ascii="仿宋_GB2312" w:hAnsi="仿宋" w:eastAsia="仿宋_GB2312"/>
          <w:sz w:val="32"/>
          <w:szCs w:val="32"/>
        </w:rPr>
        <w:t>(四)法制办公室:负责与中心有关的行政复议、诉讼、听证、仲裁、司法强制执行等有关工作。负责为本单位相关工作及重大行政决策提供法律意见。负责信访工作和协调党政办公室，处</w:t>
      </w:r>
      <w:r>
        <w:rPr>
          <w:rFonts w:hint="eastAsia" w:ascii="仿宋_GB2312" w:hAnsi="黑体" w:eastAsia="仿宋_GB2312"/>
          <w:sz w:val="32"/>
          <w:szCs w:val="32"/>
        </w:rPr>
        <w:t>理群众来信来函。组织开展城市更新和土地整备法律法规和政策的普及宣传工作。组织开展国家、省、市关于土地房屋征收的政策和法律、法规的宣传工作。负责单位对外有关的法律性事务。</w:t>
      </w:r>
    </w:p>
    <w:p>
      <w:pPr>
        <w:spacing w:line="360" w:lineRule="auto"/>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纳入本单位2024年度单位预算编制范围的单位共一个：新乡市卫滨区城市更新推进中心本级，无二级预算单位。</w:t>
      </w:r>
    </w:p>
    <w:p>
      <w:pPr>
        <w:rPr>
          <w:rFonts w:ascii="仿宋_GB2312" w:hAnsi="黑体" w:eastAsia="仿宋_GB2312"/>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仿宋_GB2312" w:hAnsi="Times New Roman" w:eastAsia="仿宋_GB2312"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新乡市卫滨区城市更新推进中心2024年度</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部门</w:t>
      </w:r>
      <w:r>
        <w:rPr>
          <w:rFonts w:hint="eastAsia" w:ascii="方正小标宋简体" w:hAnsi="方正小标宋简体" w:eastAsia="方正小标宋简体" w:cs="方正小标宋简体"/>
          <w:sz w:val="36"/>
          <w:szCs w:val="36"/>
        </w:rPr>
        <w:t>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卫滨区城市更新推进中心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年预算相比，收入增加/减少0万元，增长/下降</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%。主要原因是根据卫滨编委【2023】24号文隶属关系由卫滨区城乡建设局管理的事业单位调整为卫滨区人民政府直属事业单位</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城市更新推进中心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万元，收入预算总计增加/减少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增长/下降 </w:t>
      </w:r>
      <w:r>
        <w:rPr>
          <w:rFonts w:hint="eastAsia" w:ascii="Times New Roman" w:hAnsi="Times New Roman" w:eastAsia="仿宋_GB2312"/>
          <w:color w:val="000000"/>
          <w:sz w:val="32"/>
          <w:szCs w:val="32"/>
        </w:rPr>
        <w:t>0</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，原因:为新成立一级预算单位。其中：一般公共预算</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城市更新推进中心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87.24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97</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highlight w:val="yellow"/>
        </w:rPr>
      </w:pPr>
      <w:r>
        <w:rPr>
          <w:rFonts w:hint="eastAsia" w:ascii="仿宋_GB2312" w:eastAsia="仿宋_GB2312"/>
          <w:sz w:val="32"/>
          <w:szCs w:val="32"/>
        </w:rPr>
        <w:t>城市更新推进中心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90.24</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2023年相比，一般公共预算收支预算增加（减少）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万元，增长（下降）</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，主要原因是新成立一级预算单位；政府性基金收支预算增加（减少）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万元，增长（下降）</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hAnsi="黑体" w:eastAsia="仿宋_GB2312" w:cs="仿宋_GB2312"/>
          <w:sz w:val="32"/>
          <w:szCs w:val="32"/>
        </w:rPr>
      </w:pPr>
      <w:r>
        <w:rPr>
          <w:rFonts w:hint="eastAsia" w:ascii="仿宋_GB2312" w:eastAsia="仿宋_GB2312"/>
          <w:sz w:val="32"/>
          <w:szCs w:val="32"/>
        </w:rPr>
        <w:t>城市更新推进中心</w:t>
      </w:r>
      <w:r>
        <w:rPr>
          <w:rFonts w:hint="eastAsia" w:ascii="仿宋_GB2312" w:hAnsi="Times New Roman" w:eastAsia="仿宋_GB2312"/>
          <w:sz w:val="32"/>
          <w:szCs w:val="32"/>
        </w:rPr>
        <w:t>2024</w:t>
      </w:r>
      <w:r>
        <w:rPr>
          <w:rFonts w:hint="eastAsia" w:ascii="仿宋_GB2312" w:hAnsi="仿宋_GB2312" w:eastAsia="仿宋_GB2312" w:cs="仿宋_GB2312"/>
          <w:sz w:val="32"/>
          <w:szCs w:val="32"/>
        </w:rPr>
        <w:t>年一般公共预算支出年初预算</w:t>
      </w:r>
      <w:r>
        <w:rPr>
          <w:rFonts w:hint="eastAsia" w:ascii="仿宋_GB2312" w:hAnsi="Times New Roman" w:eastAsia="仿宋_GB2312"/>
          <w:sz w:val="32"/>
          <w:szCs w:val="32"/>
        </w:rPr>
        <w:t>90.24</w:t>
      </w:r>
      <w:r>
        <w:rPr>
          <w:rFonts w:hint="eastAsia" w:ascii="仿宋_GB2312" w:hAnsi="仿宋_GB2312" w:eastAsia="仿宋_GB2312" w:cs="仿宋_GB2312"/>
          <w:sz w:val="32"/>
          <w:szCs w:val="32"/>
        </w:rPr>
        <w:t>万元,其中：基本支出</w:t>
      </w:r>
      <w:r>
        <w:rPr>
          <w:rFonts w:hint="eastAsia" w:ascii="仿宋_GB2312" w:hAnsi="Times New Roman" w:eastAsia="仿宋_GB2312"/>
          <w:sz w:val="32"/>
          <w:szCs w:val="32"/>
        </w:rPr>
        <w:t>87.24</w:t>
      </w:r>
      <w:r>
        <w:rPr>
          <w:rFonts w:hint="eastAsia" w:ascii="仿宋_GB2312" w:hAnsi="仿宋_GB2312" w:eastAsia="仿宋_GB2312" w:cs="仿宋_GB2312"/>
          <w:sz w:val="32"/>
          <w:szCs w:val="32"/>
        </w:rPr>
        <w:t>万元，占</w:t>
      </w:r>
      <w:r>
        <w:rPr>
          <w:rFonts w:hint="eastAsia" w:ascii="仿宋_GB2312" w:hAnsi="Times New Roman" w:eastAsia="仿宋_GB2312"/>
          <w:sz w:val="32"/>
          <w:szCs w:val="32"/>
        </w:rPr>
        <w:t>97%</w:t>
      </w:r>
      <w:r>
        <w:rPr>
          <w:rFonts w:hint="eastAsia" w:ascii="仿宋_GB2312" w:hAnsi="仿宋_GB2312" w:eastAsia="仿宋_GB2312" w:cs="仿宋_GB2312"/>
          <w:sz w:val="32"/>
          <w:szCs w:val="32"/>
        </w:rPr>
        <w:t>；项目支出</w:t>
      </w:r>
      <w:r>
        <w:rPr>
          <w:rFonts w:hint="eastAsia" w:ascii="仿宋_GB2312" w:hAnsi="Times New Roman" w:eastAsia="仿宋_GB2312"/>
          <w:sz w:val="32"/>
          <w:szCs w:val="32"/>
        </w:rPr>
        <w:t>3</w:t>
      </w:r>
      <w:r>
        <w:rPr>
          <w:rFonts w:hint="eastAsia" w:ascii="仿宋_GB2312" w:hAnsi="仿宋_GB2312" w:eastAsia="仿宋_GB2312" w:cs="仿宋_GB2312"/>
          <w:sz w:val="32"/>
          <w:szCs w:val="32"/>
        </w:rPr>
        <w:t>万元，占</w:t>
      </w:r>
      <w:r>
        <w:rPr>
          <w:rFonts w:hint="eastAsia" w:ascii="仿宋_GB2312" w:hAnsi="Times New Roman" w:eastAsia="仿宋_GB2312"/>
          <w:sz w:val="32"/>
          <w:szCs w:val="32"/>
        </w:rPr>
        <w:t>3%。</w:t>
      </w:r>
      <w:r>
        <w:rPr>
          <w:rFonts w:hint="eastAsia" w:ascii="仿宋_GB2312" w:hAnsi="黑体" w:eastAsia="仿宋_GB2312" w:cs="仿宋_GB2312"/>
          <w:sz w:val="32"/>
          <w:szCs w:val="32"/>
        </w:rPr>
        <w:t>其中：</w:t>
      </w:r>
      <w:r>
        <w:rPr>
          <w:rFonts w:hint="eastAsia" w:ascii="仿宋_GB2312" w:hAnsi="仿宋" w:eastAsia="仿宋_GB2312" w:cs="仿宋_GB2312"/>
          <w:spacing w:val="-1"/>
          <w:kern w:val="0"/>
          <w:sz w:val="32"/>
          <w:szCs w:val="32"/>
        </w:rPr>
        <w:t>人员经费支出</w:t>
      </w:r>
      <w:r>
        <w:rPr>
          <w:rFonts w:hint="eastAsia" w:ascii="仿宋_GB2312" w:hAnsi="黑体" w:eastAsia="仿宋_GB2312"/>
          <w:sz w:val="32"/>
          <w:szCs w:val="32"/>
        </w:rPr>
        <w:t>83.66</w:t>
      </w:r>
      <w:r>
        <w:rPr>
          <w:rFonts w:hint="eastAsia" w:ascii="仿宋_GB2312" w:hAnsi="黑体" w:eastAsia="仿宋_GB2312" w:cs="仿宋_GB2312"/>
          <w:sz w:val="32"/>
          <w:szCs w:val="32"/>
        </w:rPr>
        <w:t>万元，占</w:t>
      </w:r>
      <w:r>
        <w:rPr>
          <w:rFonts w:hint="eastAsia" w:ascii="仿宋_GB2312" w:hAnsi="黑体" w:eastAsia="仿宋_GB2312"/>
          <w:sz w:val="32"/>
          <w:szCs w:val="32"/>
        </w:rPr>
        <w:t>93%。</w:t>
      </w:r>
      <w:r>
        <w:rPr>
          <w:rFonts w:hint="eastAsia" w:ascii="仿宋_GB2312" w:hAnsi="黑体"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医疗费补助、；</w:t>
      </w:r>
      <w:r>
        <w:rPr>
          <w:rFonts w:hint="eastAsia" w:ascii="仿宋_GB2312" w:hAnsi="黑体" w:eastAsia="仿宋_GB2312" w:cs="仿宋_GB2312"/>
          <w:spacing w:val="-1"/>
          <w:kern w:val="0"/>
          <w:sz w:val="32"/>
          <w:szCs w:val="32"/>
        </w:rPr>
        <w:t>公用经费支出</w:t>
      </w:r>
      <w:r>
        <w:rPr>
          <w:rFonts w:hint="eastAsia" w:ascii="仿宋_GB2312" w:hAnsi="黑体" w:eastAsia="仿宋_GB2312"/>
          <w:sz w:val="32"/>
          <w:szCs w:val="32"/>
        </w:rPr>
        <w:t>3.58</w:t>
      </w:r>
      <w:r>
        <w:rPr>
          <w:rFonts w:hint="eastAsia" w:ascii="仿宋_GB2312" w:hAnsi="黑体" w:eastAsia="仿宋_GB2312" w:cs="仿宋_GB2312"/>
          <w:sz w:val="32"/>
          <w:szCs w:val="32"/>
        </w:rPr>
        <w:t>万元，占</w:t>
      </w:r>
      <w:r>
        <w:rPr>
          <w:rFonts w:hint="eastAsia" w:ascii="仿宋_GB2312" w:hAnsi="黑体" w:eastAsia="仿宋_GB2312"/>
          <w:sz w:val="32"/>
          <w:szCs w:val="32"/>
        </w:rPr>
        <w:t>4%。</w:t>
      </w:r>
      <w:r>
        <w:rPr>
          <w:rFonts w:hint="eastAsia" w:ascii="仿宋_GB2312" w:hAnsi="黑体"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城市更新推进中心</w:t>
      </w:r>
      <w:r>
        <w:rPr>
          <w:rFonts w:hint="eastAsia" w:ascii="仿宋_GB2312" w:hAnsi="Times New Roman" w:eastAsia="仿宋_GB2312"/>
          <w:sz w:val="32"/>
          <w:szCs w:val="32"/>
        </w:rPr>
        <w:t>2024</w:t>
      </w:r>
      <w:r>
        <w:rPr>
          <w:rFonts w:hint="eastAsia" w:ascii="仿宋_GB2312" w:hAnsi="仿宋_GB2312" w:eastAsia="仿宋_GB2312" w:cs="仿宋_GB2312"/>
          <w:sz w:val="32"/>
          <w:szCs w:val="32"/>
        </w:rPr>
        <w:t>年一般公共预算基本支出</w:t>
      </w:r>
      <w:r>
        <w:rPr>
          <w:rFonts w:hint="eastAsia" w:ascii="仿宋_GB2312" w:hAnsi="Times New Roman" w:eastAsia="仿宋_GB2312"/>
          <w:sz w:val="32"/>
          <w:szCs w:val="32"/>
        </w:rPr>
        <w:t>90.24</w:t>
      </w:r>
      <w:r>
        <w:rPr>
          <w:rFonts w:hint="eastAsia" w:ascii="仿宋_GB2312" w:hAnsi="仿宋_GB2312" w:eastAsia="仿宋_GB2312" w:cs="仿宋_GB2312"/>
          <w:sz w:val="32"/>
          <w:szCs w:val="32"/>
        </w:rPr>
        <w:t>万元，其中：</w:t>
      </w:r>
      <w:r>
        <w:rPr>
          <w:rFonts w:hint="eastAsia" w:ascii="仿宋_GB2312" w:hAnsi="仿宋_GB2312" w:eastAsia="仿宋_GB2312" w:cs="仿宋_GB2312"/>
          <w:spacing w:val="-1"/>
          <w:kern w:val="0"/>
          <w:sz w:val="32"/>
          <w:szCs w:val="32"/>
        </w:rPr>
        <w:t>人员经费83.66</w:t>
      </w:r>
      <w:r>
        <w:rPr>
          <w:rFonts w:hint="eastAsia" w:ascii="仿宋_GB2312" w:hAnsi="仿宋_GB2312" w:eastAsia="仿宋_GB2312" w:cs="仿宋_GB2312"/>
          <w:sz w:val="32"/>
          <w:szCs w:val="32"/>
        </w:rPr>
        <w:t>万元，占</w:t>
      </w:r>
      <w:r>
        <w:rPr>
          <w:rFonts w:hint="eastAsia" w:ascii="仿宋_GB2312" w:hAnsi="Times New Roman" w:eastAsia="仿宋_GB2312"/>
          <w:sz w:val="32"/>
          <w:szCs w:val="32"/>
        </w:rPr>
        <w:t>93%。</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spacing w:val="-1"/>
          <w:kern w:val="0"/>
          <w:sz w:val="32"/>
          <w:szCs w:val="32"/>
        </w:rPr>
        <w:t>公用经费3.58</w:t>
      </w:r>
      <w:r>
        <w:rPr>
          <w:rFonts w:hint="eastAsia" w:ascii="仿宋_GB2312" w:hAnsi="仿宋_GB2312" w:eastAsia="仿宋_GB2312" w:cs="仿宋_GB2312"/>
          <w:sz w:val="32"/>
          <w:szCs w:val="32"/>
        </w:rPr>
        <w:t>万元，占</w:t>
      </w:r>
      <w:r>
        <w:rPr>
          <w:rFonts w:hint="eastAsia" w:ascii="仿宋_GB2312" w:hAnsi="Times New Roman" w:eastAsia="仿宋_GB2312"/>
          <w:sz w:val="32"/>
          <w:szCs w:val="32"/>
        </w:rPr>
        <w:t>4%。</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hint="eastAsia" w:ascii="仿宋_GB2312" w:hAnsi="Times New Roman" w:eastAsia="仿宋_GB2312"/>
          <w:sz w:val="32"/>
          <w:szCs w:val="32"/>
        </w:rPr>
        <w:t>2024</w:t>
      </w:r>
      <w:r>
        <w:rPr>
          <w:rFonts w:hint="eastAsia" w:ascii="仿宋_GB2312" w:hAnsi="仿宋_GB2312" w:eastAsia="仿宋_GB2312" w:cs="仿宋_GB2312"/>
          <w:sz w:val="32"/>
          <w:szCs w:val="32"/>
        </w:rPr>
        <w:t>年一般公共预算安排项目支出预算</w:t>
      </w:r>
      <w:r>
        <w:rPr>
          <w:rFonts w:hint="eastAsia" w:ascii="仿宋_GB2312" w:hAnsi="Times New Roman" w:eastAsia="仿宋_GB2312"/>
          <w:sz w:val="32"/>
          <w:szCs w:val="32"/>
        </w:rPr>
        <w:t>3</w:t>
      </w:r>
      <w:r>
        <w:rPr>
          <w:rFonts w:hint="eastAsia" w:ascii="仿宋_GB2312" w:hAnsi="仿宋_GB2312" w:eastAsia="仿宋_GB2312" w:cs="仿宋_GB2312"/>
          <w:sz w:val="32"/>
          <w:szCs w:val="32"/>
        </w:rPr>
        <w:t>万元，全部纳入项目绩效目标管理。其中：运转类项目</w:t>
      </w:r>
      <w:r>
        <w:rPr>
          <w:rFonts w:hint="eastAsia" w:ascii="仿宋_GB2312" w:hAnsi="Times New Roman" w:eastAsia="仿宋_GB2312"/>
          <w:sz w:val="32"/>
          <w:szCs w:val="32"/>
        </w:rPr>
        <w:t>3</w:t>
      </w:r>
      <w:r>
        <w:rPr>
          <w:rFonts w:hint="eastAsia" w:ascii="仿宋_GB2312" w:hAnsi="仿宋_GB2312" w:eastAsia="仿宋_GB2312" w:cs="仿宋_GB2312"/>
          <w:sz w:val="32"/>
          <w:szCs w:val="32"/>
        </w:rPr>
        <w:t>万元、特定目标类项目</w:t>
      </w:r>
      <w:r>
        <w:rPr>
          <w:rFonts w:hint="eastAsia" w:ascii="仿宋_GB2312"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城市更新推进中心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1.10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年增加（减少）</w:t>
      </w:r>
      <w:r>
        <w:rPr>
          <w:rFonts w:hint="eastAsia" w:ascii="Times New Roman" w:hAnsi="Times New Roman" w:eastAsia="黑体"/>
          <w:sz w:val="32"/>
          <w:szCs w:val="32"/>
        </w:rPr>
        <w:t>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华文楷体" w:hAnsi="华文楷体" w:eastAsia="华文楷体"/>
          <w:sz w:val="32"/>
          <w:szCs w:val="32"/>
        </w:rPr>
        <w:t>0</w:t>
      </w:r>
      <w:r>
        <w:rPr>
          <w:rFonts w:hint="eastAsia" w:ascii="华文楷体" w:hAnsi="华文楷体" w:eastAsia="华文楷体" w:cs="仿宋_GB2312"/>
          <w:spacing w:val="-1"/>
          <w:kern w:val="0"/>
          <w:sz w:val="32"/>
          <w:szCs w:val="32"/>
        </w:rPr>
        <w:t>万元，</w:t>
      </w:r>
      <w:r>
        <w:rPr>
          <w:rFonts w:hint="eastAsia" w:ascii="仿宋_GB2312" w:hAnsi="宋体" w:eastAsia="仿宋_GB2312" w:cs="Courier New"/>
          <w:sz w:val="32"/>
          <w:szCs w:val="32"/>
        </w:rPr>
        <w:t>主要用于单位工作人员公务出国（境）的住宿费、旅费、伙食补助费、杂费、培训费等支出。预算数比2023年增加（减少）0万元。增加（减少）的主要原因是无。</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华文楷体" w:hAnsi="华文楷体" w:eastAsia="华文楷体"/>
          <w:sz w:val="32"/>
          <w:szCs w:val="32"/>
        </w:rPr>
        <w:t>1.1</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仿宋_GB2312" w:hAnsi="宋体" w:eastAsia="仿宋_GB2312" w:cs="Courier New"/>
          <w:sz w:val="32"/>
          <w:szCs w:val="32"/>
        </w:rPr>
        <w:t>其中，公务用车购置费0万元；公务用车运行维护费1.1万元，主要用于开展工作所需公务用车的燃料费、维修费、过路过桥费、保险费、安全奖励费用等支出。公务用车购置费预算数比 2023 年增加（减少）0万元。公务用车运行维护费预算数比 2023年增加（减少）0万元，增加（减少）的主要原因是无。</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华文楷体" w:hAnsi="华文楷体" w:eastAsia="华文楷体"/>
          <w:sz w:val="32"/>
          <w:szCs w:val="32"/>
        </w:rPr>
        <w:t>0</w:t>
      </w:r>
      <w:r>
        <w:rPr>
          <w:rFonts w:hint="eastAsia" w:ascii="华文楷体" w:hAnsi="华文楷体" w:eastAsia="华文楷体" w:cs="Courier New"/>
          <w:sz w:val="32"/>
          <w:szCs w:val="32"/>
        </w:rPr>
        <w:t>万元，</w:t>
      </w:r>
      <w:r>
        <w:rPr>
          <w:rFonts w:hint="eastAsia" w:ascii="仿宋_GB2312" w:hAnsi="宋体" w:eastAsia="仿宋_GB2312" w:cs="Courier New"/>
          <w:sz w:val="32"/>
          <w:szCs w:val="32"/>
        </w:rPr>
        <w:t>主要用于按规定开支的各类公务接待（含外宾接待）支出。预算数比 2023年增加（减少）0万元。增加（减少）的主要原因无。</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华文楷体" w:hAnsi="华文楷体" w:eastAsia="华文楷体" w:cs="Courier New"/>
          <w:sz w:val="32"/>
          <w:szCs w:val="32"/>
        </w:rPr>
      </w:pPr>
      <w:r>
        <w:rPr>
          <w:rFonts w:hint="eastAsia" w:ascii="华文楷体" w:hAnsi="华文楷体" w:eastAsia="华文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城市更新推进中心2024年机关运行经费支出预算3.58万元，主要保障机关机构正常运转及正常履职需要，主要包括办公费、印刷费、水费、电费、邮电费、取暖费、物业管理费、差旅费、维修（护）费、会议费、专用材料费、被装购置费、办公设备购置、福利费、公务用车运行维护费等。</w:t>
      </w:r>
    </w:p>
    <w:p>
      <w:pPr>
        <w:kinsoku w:val="0"/>
        <w:overflowPunct w:val="0"/>
        <w:autoSpaceDE w:val="0"/>
        <w:autoSpaceDN w:val="0"/>
        <w:adjustRightInd w:val="0"/>
        <w:snapToGrid w:val="0"/>
        <w:spacing w:line="360" w:lineRule="auto"/>
        <w:ind w:firstLine="640" w:firstLineChars="200"/>
        <w:rPr>
          <w:rFonts w:ascii="华文楷体" w:hAnsi="华文楷体" w:eastAsia="华文楷体" w:cs="仿宋_GB2312"/>
          <w:kern w:val="0"/>
          <w:sz w:val="32"/>
          <w:szCs w:val="32"/>
        </w:rPr>
      </w:pPr>
      <w:r>
        <w:rPr>
          <w:rFonts w:hint="eastAsia" w:ascii="华文楷体" w:hAnsi="华文楷体" w:eastAsia="华文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2024年政府采购预算安排0万元，其中：政府采购货物预算0万元、政府采购工程预算0万元、政府采购服务预算0万元。</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绩效目标设置及预算绩效管理工作开展情况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我单位2021年未开展重点项目预算的绩效目标。</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lang w:eastAsia="zh-CN"/>
        </w:rPr>
      </w:pPr>
      <w:r>
        <w:rPr>
          <w:rFonts w:hint="eastAsia" w:ascii="仿宋_GB2312" w:hAnsi="宋体" w:eastAsia="仿宋_GB2312" w:cs="Courier New"/>
          <w:sz w:val="32"/>
          <w:szCs w:val="32"/>
        </w:rPr>
        <w:t>2023年，共组织对0个项目进行了预算绩效评价，涉及资金0万元0，绩效评价结果显示，项目支出绩效情况较为理想，达到了项目申请时设定的各项绩效目标。2024年，拟组织对1个项目进行预算绩效评价，涉及资金3万元</w:t>
      </w:r>
      <w:r>
        <w:rPr>
          <w:rFonts w:hint="eastAsia" w:ascii="仿宋_GB2312" w:hAnsi="宋体" w:eastAsia="仿宋_GB2312" w:cs="Courier New"/>
          <w:sz w:val="32"/>
          <w:szCs w:val="32"/>
          <w:lang w:eastAsia="zh-CN"/>
        </w:rPr>
        <w:t>。</w:t>
      </w:r>
    </w:p>
    <w:p>
      <w:pPr>
        <w:kinsoku w:val="0"/>
        <w:overflowPunct w:val="0"/>
        <w:autoSpaceDE w:val="0"/>
        <w:autoSpaceDN w:val="0"/>
        <w:adjustRightInd w:val="0"/>
        <w:snapToGrid w:val="0"/>
        <w:spacing w:line="360" w:lineRule="auto"/>
        <w:ind w:firstLine="640" w:firstLineChars="200"/>
        <w:rPr>
          <w:rFonts w:ascii="华文楷体" w:hAnsi="华文楷体" w:eastAsia="华文楷体" w:cs="仿宋_GB2312"/>
          <w:kern w:val="0"/>
          <w:sz w:val="32"/>
          <w:szCs w:val="32"/>
        </w:rPr>
      </w:pPr>
      <w:r>
        <w:rPr>
          <w:rFonts w:hint="eastAsia" w:ascii="华文楷体" w:hAnsi="华文楷体" w:eastAsia="华文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2023年资产总额万元，较上年增长/下降0%。其中：固定资产0万元，无形资产0万元。增长/下降主要原因：无。2023年期末，城市更新推进中心单位共有车辆1辆，其中：一般公务用车1辆、一般执法执勤用车0辆、特种专业技术用车0辆，其他用车0辆，其他用车主要是...；单价50万元以上通用设备0台（套），单位价值100万元以上专用设备0台（套）。</w:t>
      </w:r>
    </w:p>
    <w:p>
      <w:pPr>
        <w:kinsoku w:val="0"/>
        <w:overflowPunct w:val="0"/>
        <w:autoSpaceDE w:val="0"/>
        <w:autoSpaceDN w:val="0"/>
        <w:adjustRightInd w:val="0"/>
        <w:snapToGrid w:val="0"/>
        <w:spacing w:line="360" w:lineRule="auto"/>
        <w:ind w:firstLine="640" w:firstLineChars="200"/>
        <w:rPr>
          <w:rFonts w:ascii="华文楷体" w:hAnsi="华文楷体" w:eastAsia="华文楷体" w:cs="仿宋_GB2312"/>
          <w:kern w:val="0"/>
          <w:sz w:val="32"/>
          <w:szCs w:val="32"/>
        </w:rPr>
      </w:pPr>
      <w:r>
        <w:rPr>
          <w:rFonts w:hint="eastAsia" w:ascii="华文楷体" w:hAnsi="华文楷体" w:eastAsia="华文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城市更新推进中心单位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两套经济分类科目分别反映不同资金来源的全部预算支出。</w:t>
      </w:r>
    </w:p>
    <w:p>
      <w:pPr>
        <w:numPr>
          <w:ilvl w:val="0"/>
          <w:numId w:val="3"/>
        </w:numPr>
        <w:kinsoku w:val="0"/>
        <w:overflowPunct w:val="0"/>
        <w:autoSpaceDE w:val="0"/>
        <w:autoSpaceDN w:val="0"/>
        <w:adjustRightInd w:val="0"/>
        <w:snapToGrid w:val="0"/>
        <w:spacing w:line="360" w:lineRule="auto"/>
        <w:ind w:firstLine="640" w:firstLineChars="200"/>
        <w:rPr>
          <w:rFonts w:ascii="华文楷体" w:hAnsi="华文楷体" w:eastAsia="华文楷体" w:cs="楷体_GB2312"/>
          <w:sz w:val="32"/>
          <w:szCs w:val="32"/>
        </w:rPr>
      </w:pPr>
      <w:r>
        <w:rPr>
          <w:rFonts w:hint="eastAsia" w:ascii="华文楷体" w:hAnsi="华文楷体" w:eastAsia="华文楷体"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城市更新推进中心单位负责管理的专项转移支付项目共有0项，主要是：0项目0万元、0项目0万元、0项目0万元等；我单位将按照《预算法》等有关规定，积极做好项目分配前期准备工作，在规定的时间内向财政部门提出资金分配意见，根据有关要求做好项目申报公开等相关工作。</w:t>
      </w:r>
    </w:p>
    <w:p>
      <w:pPr>
        <w:adjustRightInd w:val="0"/>
        <w:snapToGrid w:val="0"/>
        <w:spacing w:line="360" w:lineRule="auto"/>
        <w:jc w:val="center"/>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bookmarkStart w:id="0" w:name="_GoBack"/>
      <w:bookmarkEnd w:id="0"/>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卫滨区城市更新推进中心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9240" w:type="dxa"/>
        <w:tblInd w:w="89" w:type="dxa"/>
        <w:tblLayout w:type="autofit"/>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2024年部门收支总体情况表</w:t>
            </w:r>
          </w:p>
        </w:tc>
      </w:tr>
      <w:tr>
        <w:tblPrEx>
          <w:tblCellMar>
            <w:top w:w="0" w:type="dxa"/>
            <w:left w:w="108" w:type="dxa"/>
            <w:bottom w:w="0" w:type="dxa"/>
            <w:right w:w="108" w:type="dxa"/>
          </w:tblCellMar>
        </w:tblPrEx>
        <w:trPr>
          <w:trHeight w:val="285" w:hRule="atLeast"/>
        </w:trPr>
        <w:tc>
          <w:tcPr>
            <w:tcW w:w="7700"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部门名称：本级</w:t>
            </w:r>
          </w:p>
        </w:tc>
        <w:tc>
          <w:tcPr>
            <w:tcW w:w="15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10.31</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5.68</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67.38</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部门名称：新乡市卫滨区城市更新推进中心                                                                                                                         位：万元</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207</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新乡市卫滨区城市更新推进中心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207001</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新乡市卫滨区城市更新推进中心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部门名称：新乡市卫新推进中心      </w:t>
            </w:r>
          </w:p>
        </w:tc>
        <w:tc>
          <w:tcPr>
            <w:tcW w:w="121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87.24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83.66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207</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新乡市卫滨区城市更新推进中心</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90.24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87.24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83.66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9.16</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机关事业单位职业年金缴费支出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1.15</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4.75</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4.75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4.75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公务员医疗补助</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0.93</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0.93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093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其他城乡社区管理事务支出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67.38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64.38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60.80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部门名称：</w:t>
            </w:r>
            <w:r>
              <w:rPr>
                <w:rFonts w:hint="eastAsia" w:ascii="宋体" w:hAnsi="宋体" w:cs="宋体"/>
                <w:kern w:val="0"/>
                <w:sz w:val="18"/>
                <w:szCs w:val="18"/>
              </w:rPr>
              <w:t xml:space="preserve">新乡市卫滨区城市更新推进中心     </w:t>
            </w:r>
            <w:r>
              <w:rPr>
                <w:rFonts w:hint="eastAsia" w:ascii="宋体" w:hAnsi="宋体" w:cs="宋体"/>
                <w:kern w:val="0"/>
                <w:sz w:val="15"/>
                <w:szCs w:val="15"/>
              </w:rPr>
              <w:t xml:space="preserve">                                                                          单位：万元                                    </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10.31</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10.31</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10.31</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5.68</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5.68</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5.68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67.38</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67.38</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67.38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6.87</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6.87</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6.87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90.24</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90.24</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90.24</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90.24</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部门名称：   </w:t>
            </w:r>
          </w:p>
        </w:tc>
        <w:tc>
          <w:tcPr>
            <w:tcW w:w="126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新乡市卫滨区城市更新推进中心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207　</w:t>
            </w:r>
          </w:p>
        </w:tc>
        <w:tc>
          <w:tcPr>
            <w:tcW w:w="246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87.24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83.66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新乡市卫滨区城市更新推进中心</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87.24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83.66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机关事业单位职业年金缴费支出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公务员医疗补助</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其他城乡社区管理事务支出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67.38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64.38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60.80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5"/>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720"/>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新乡市卫滨区城市更新推进中心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87.24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83.66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3.58</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30109</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职业年金缴费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公务员医疗补助缴费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绩效工资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17.04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17.04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35.63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35.63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0.75</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r>
      <w:tr>
        <w:tblPrEx>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公务用车运行维护费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ascii="宋体" w:hAnsi="宋体" w:cs="宋体"/>
                <w:sz w:val="18"/>
                <w:szCs w:val="18"/>
              </w:rPr>
              <w:t xml:space="preserve"> </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CellMar>
            <w:top w:w="0" w:type="dxa"/>
            <w:left w:w="108" w:type="dxa"/>
            <w:bottom w:w="0" w:type="dxa"/>
            <w:right w:w="108" w:type="dxa"/>
          </w:tblCellMar>
        </w:tblPrEx>
        <w:trPr>
          <w:trHeight w:val="570" w:hRule="atLeast"/>
        </w:trPr>
        <w:tc>
          <w:tcPr>
            <w:tcW w:w="1592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p>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CellMar>
            <w:top w:w="0" w:type="dxa"/>
            <w:left w:w="108" w:type="dxa"/>
            <w:bottom w:w="0" w:type="dxa"/>
            <w:right w:w="108" w:type="dxa"/>
          </w:tblCellMar>
        </w:tblPrEx>
        <w:trPr>
          <w:trHeight w:val="325" w:hRule="atLeast"/>
        </w:trPr>
        <w:tc>
          <w:tcPr>
            <w:tcW w:w="3818" w:type="dxa"/>
            <w:gridSpan w:val="6"/>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部门名称：</w:t>
            </w:r>
            <w:r>
              <w:rPr>
                <w:rFonts w:hint="eastAsia" w:ascii="宋体" w:hAnsi="宋体" w:cs="宋体"/>
                <w:kern w:val="0"/>
                <w:sz w:val="18"/>
                <w:szCs w:val="18"/>
              </w:rPr>
              <w:t xml:space="preserve">新乡市卫滨区城市更新推进中心     </w:t>
            </w:r>
          </w:p>
        </w:tc>
        <w:tc>
          <w:tcPr>
            <w:tcW w:w="5715" w:type="dxa"/>
            <w:gridSpan w:val="10"/>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单位：万元</w:t>
            </w:r>
          </w:p>
        </w:tc>
      </w:tr>
      <w:tr>
        <w:tblPrEx>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207</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新乡市卫滨区城市更新推进中心</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90.24</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9.16</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09</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职业年金缴费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1.15</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4.75</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公务员医疗补助缴费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0.93</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绩效工资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17.04</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17.04</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17.04</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奖金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2.16</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2.16</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2.16</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基本工资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35.63</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35.63</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35.63</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津贴补贴</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5.97</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5.97</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工会经费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0.75</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0.75</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0.75</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2.20</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2.20</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11</w:t>
            </w:r>
          </w:p>
        </w:tc>
        <w:tc>
          <w:tcPr>
            <w:tcW w:w="2818"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差旅费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7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0.80</w:t>
            </w:r>
          </w:p>
        </w:tc>
        <w:tc>
          <w:tcPr>
            <w:tcW w:w="9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0.80</w:t>
            </w: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0.80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13</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住房公积金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6087</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6.87</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6.87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CellMar>
            <w:top w:w="0" w:type="dxa"/>
            <w:left w:w="108" w:type="dxa"/>
            <w:bottom w:w="0" w:type="dxa"/>
            <w:right w:w="108" w:type="dxa"/>
          </w:tblCellMar>
        </w:tblPrEx>
        <w:trPr>
          <w:trHeight w:val="285" w:hRule="atLeast"/>
        </w:trPr>
        <w:tc>
          <w:tcPr>
            <w:tcW w:w="2352" w:type="dxa"/>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 </w:t>
            </w:r>
          </w:p>
        </w:tc>
        <w:tc>
          <w:tcPr>
            <w:tcW w:w="8340"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新乡市卫滨区城市更新推进中心     </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8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kern w:val="0"/>
                <w:sz w:val="18"/>
                <w:szCs w:val="18"/>
              </w:rPr>
              <w:t xml:space="preserve">新乡市卫滨区城市更新推进中心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仿宋_GB2312" w:eastAsia="仿宋_GB2312"/>
          <w:sz w:val="32"/>
          <w:szCs w:val="32"/>
        </w:rPr>
      </w:pPr>
      <w:r>
        <w:rPr>
          <w:rFonts w:hint="eastAsia" w:ascii="宋体" w:hAnsi="宋体" w:cs="宋体"/>
          <w:kern w:val="0"/>
          <w:sz w:val="18"/>
          <w:szCs w:val="18"/>
        </w:rPr>
        <w:t>说明：</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新乡市卫滨区城市更新推进中心     </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207</w:t>
            </w: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新乡市卫滨区城市更新推进中心</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其他运转类</w:t>
            </w: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改善办公及日常运转经费</w:t>
            </w: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新乡市卫滨区城市更新推进中心</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5"/>
        <w:tblW w:w="9440" w:type="dxa"/>
        <w:tblInd w:w="89" w:type="dxa"/>
        <w:tblLayout w:type="autofit"/>
        <w:tblCellMar>
          <w:top w:w="0" w:type="dxa"/>
          <w:left w:w="108" w:type="dxa"/>
          <w:bottom w:w="0" w:type="dxa"/>
          <w:right w:w="108" w:type="dxa"/>
        </w:tblCellMar>
      </w:tblPr>
      <w:tblGrid>
        <w:gridCol w:w="1360"/>
        <w:gridCol w:w="1460"/>
        <w:gridCol w:w="2200"/>
        <w:gridCol w:w="1180"/>
        <w:gridCol w:w="3240"/>
      </w:tblGrid>
      <w:tr>
        <w:tblPrEx>
          <w:tblCellMar>
            <w:top w:w="0" w:type="dxa"/>
            <w:left w:w="108" w:type="dxa"/>
            <w:bottom w:w="0" w:type="dxa"/>
            <w:right w:w="108" w:type="dxa"/>
          </w:tblCellMar>
        </w:tblPrEx>
        <w:trPr>
          <w:trHeight w:val="285" w:hRule="atLeast"/>
        </w:trPr>
        <w:tc>
          <w:tcPr>
            <w:tcW w:w="136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46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220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18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3240"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部门（单位）整体绩效目标表</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（2024年度）</w:t>
            </w:r>
          </w:p>
        </w:tc>
      </w:tr>
      <w:tr>
        <w:tblPrEx>
          <w:tblCellMar>
            <w:top w:w="0" w:type="dxa"/>
            <w:left w:w="108" w:type="dxa"/>
            <w:bottom w:w="0" w:type="dxa"/>
            <w:right w:w="108" w:type="dxa"/>
          </w:tblCellMar>
        </w:tblPrEx>
        <w:trPr>
          <w:trHeight w:val="285" w:hRule="atLeast"/>
        </w:trPr>
        <w:tc>
          <w:tcPr>
            <w:tcW w:w="94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部门名称：新乡市卫滨区城市更新推进中心</w:t>
            </w:r>
          </w:p>
        </w:tc>
      </w:tr>
      <w:tr>
        <w:tblPrEx>
          <w:tblCellMar>
            <w:top w:w="0" w:type="dxa"/>
            <w:left w:w="108" w:type="dxa"/>
            <w:bottom w:w="0" w:type="dxa"/>
            <w:right w:w="108" w:type="dxa"/>
          </w:tblCellMar>
        </w:tblPrEx>
        <w:trPr>
          <w:trHeight w:val="1583"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年度履职目标</w:t>
            </w:r>
          </w:p>
        </w:tc>
        <w:tc>
          <w:tcPr>
            <w:tcW w:w="808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（一）贯彻执行国家，省，市有关城市更新和国有土地上房屋征收与补偿的法律、法规和政策，组织实施城市更新和国有土地上房屋征收与补偿具体工作。</w:t>
            </w:r>
            <w:r>
              <w:rPr>
                <w:rFonts w:hint="eastAsia" w:ascii="宋体" w:hAnsi="宋体" w:cs="宋体"/>
                <w:kern w:val="0"/>
                <w:sz w:val="18"/>
                <w:szCs w:val="18"/>
              </w:rPr>
              <w:br w:type="textWrapping"/>
            </w:r>
            <w:r>
              <w:rPr>
                <w:rFonts w:hint="eastAsia" w:ascii="宋体" w:hAnsi="宋体" w:cs="宋体"/>
                <w:kern w:val="0"/>
                <w:sz w:val="18"/>
                <w:szCs w:val="18"/>
              </w:rPr>
              <w:t>（二）负责区城市更新有关论证、信息交流、宣传教育工作，负责推进城市更新信息化建设及信息、档案、综合统计工作；拟定征收补偿方案协助组织征求意见，调查、登记、宣传、论证、公示、对被征收房屋的安全拆除工作。</w:t>
            </w:r>
            <w:r>
              <w:rPr>
                <w:rFonts w:hint="eastAsia" w:ascii="宋体" w:hAnsi="宋体" w:cs="宋体"/>
                <w:kern w:val="0"/>
                <w:sz w:val="18"/>
                <w:szCs w:val="18"/>
              </w:rPr>
              <w:br w:type="textWrapping"/>
            </w:r>
            <w:r>
              <w:rPr>
                <w:rFonts w:hint="eastAsia" w:ascii="宋体" w:hAnsi="宋体" w:cs="宋体"/>
                <w:kern w:val="0"/>
                <w:sz w:val="18"/>
                <w:szCs w:val="18"/>
              </w:rPr>
              <w:t>（三）落实棚户区（城中村）改造相关优惠政策</w:t>
            </w: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年度主要任务</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任务名称</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主要内容</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区城市更新</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区国有土地上房屋征收与补偿</w:t>
            </w: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90.24</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1、资金来源：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90.24</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2、资金结构：</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87.24</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3.00</w:t>
            </w:r>
          </w:p>
        </w:tc>
      </w:tr>
      <w:tr>
        <w:tblPrEx>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指标值说明</w:t>
            </w:r>
          </w:p>
        </w:tc>
      </w:tr>
      <w:tr>
        <w:tblPrEx>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科学</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合理</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完整</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1.部门所有收入是否全部纳入部门预算；2.部门支出预算是否统筹各类资金来源，全部纳入部门预算管理。</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专项资金细化率=（已细化到具体市县和承担单位的资金数/部门参与分配资金总数）×100%。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预算执行率=（预算完成数/预算数）×100%。预算完成数指部门实际执行的预算数；预算数指财政部门批复的本年度部门的（调整）预算数。</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结转结余率=结转结余总额/预算数*100%。结转结余总额是指部门本年度的结转结余资金之和。预算数是指财政部门批复的本年度部门的（调整）预算数。</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“三公经费”控制率=本年度“三公经费”实际支出数/“三公经费”预算数*100%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政府采购执行率=（实际政府采购金额/政府采购预算数）×100%。政府采购预算：采购机关根据事业发展计划和行政任务编制的、并经过规定程序批准的年度政府采购计划。</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真实</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反映本部门决算工作情况。决算编制数据是否账表一致，即决算报表数据与会计账簿数据是否一致。</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合规</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公开</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规范</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实施绩效监控的项目数量占应实施绩效监控项目总数的比重。部门绩效监控完成率=已完成绩效监控项目数量/部门项目总数*100%部门（单位）按要求编制绩效目标的项目数量占应编制绩效目标项目总数的比重。部门目标编制完成率=已完成绩效目标编制项目数量/部门应编制绩效目标项目总数*100%</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编制绩效目标的项目数量占应编制绩效目标项目总数的比重。部门目标编制完成率=已完成绩效目标编制项目数量/部门应编制绩效目标项目总数*100%部门（单位）按要求实施绩效监控的项目数量占应实施绩效监控项目总数的比重。部门绩效监控完成率=已完成绩效监控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部门（单位）按要求实施绩效自评的项目数量占应实施绩效自评项目总数的比重。部门绩效自评完成率=已完成评价项目数量/部门项目总数*100%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部门重点绩效评价项目评价完成情况。部门绩效评价完成率=已完成评价项目数量/部门重点绩效评价项目数*100%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绩效监控、单位自评、部门绩效评价、财政重点绩效评价结果应用情况。评价结果应用率=评价提出的意见建议采纳数/提出的意见建议总数*100%</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区城市更新</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区国有土地上房屋征收与补偿</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项目目标完成率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90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项目完成合格率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受益群众满意度</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5"/>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2024年度部门预算项目绩效目标汇总表</w:t>
            </w:r>
          </w:p>
        </w:tc>
      </w:tr>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       新乡市卫滨区城市更新推进中心                                                                                                                单位：万元</w:t>
            </w: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绩效目标</w:t>
            </w:r>
          </w:p>
        </w:tc>
      </w:tr>
      <w:tr>
        <w:tblPrEx>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满意度指标  </w:t>
            </w:r>
          </w:p>
        </w:tc>
      </w:tr>
      <w:tr>
        <w:tblPrEx>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r>
      <w:tr>
        <w:tblPrEx>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207</w:t>
            </w:r>
          </w:p>
        </w:tc>
        <w:tc>
          <w:tcPr>
            <w:tcW w:w="123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3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7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207001</w:t>
            </w:r>
          </w:p>
        </w:tc>
        <w:tc>
          <w:tcPr>
            <w:tcW w:w="123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新乡市卫滨区城市更新推进中心</w:t>
            </w:r>
          </w:p>
        </w:tc>
        <w:tc>
          <w:tcPr>
            <w:tcW w:w="73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7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79"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410703240000000004802</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改善办公及日常运转经费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改善办公及日常运转经费项目总成本</w:t>
            </w:r>
          </w:p>
        </w:tc>
        <w:tc>
          <w:tcPr>
            <w:tcW w:w="100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5万元</w:t>
            </w:r>
          </w:p>
        </w:tc>
        <w:tc>
          <w:tcPr>
            <w:tcW w:w="1276"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办公用品数量</w:t>
            </w:r>
          </w:p>
        </w:tc>
        <w:tc>
          <w:tcPr>
            <w:tcW w:w="141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≥2类</w:t>
            </w:r>
          </w:p>
        </w:tc>
        <w:tc>
          <w:tcPr>
            <w:tcW w:w="1276"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提高执政能力，提升为民服务水平</w:t>
            </w:r>
          </w:p>
        </w:tc>
        <w:tc>
          <w:tcPr>
            <w:tcW w:w="99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明显提升</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工作人员满意度</w:t>
            </w:r>
          </w:p>
        </w:tc>
        <w:tc>
          <w:tcPr>
            <w:tcW w:w="85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r>
      <w:tr>
        <w:tblPrEx>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00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办公用品使用率</w:t>
            </w:r>
          </w:p>
        </w:tc>
        <w:tc>
          <w:tcPr>
            <w:tcW w:w="141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00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资金拨付及时到位率</w:t>
            </w:r>
          </w:p>
        </w:tc>
        <w:tc>
          <w:tcPr>
            <w:tcW w:w="141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2024年12月底前</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540"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375"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VlNTI2NWYyMGRmZGU3YjIwMmY0MjAxNTdjNzAyOTgifQ=="/>
  </w:docVars>
  <w:rsids>
    <w:rsidRoot w:val="000E666A"/>
    <w:rsid w:val="000056FE"/>
    <w:rsid w:val="00007CC9"/>
    <w:rsid w:val="00015F07"/>
    <w:rsid w:val="00016ADC"/>
    <w:rsid w:val="000328AD"/>
    <w:rsid w:val="0003777B"/>
    <w:rsid w:val="00037A46"/>
    <w:rsid w:val="000455CB"/>
    <w:rsid w:val="00046D83"/>
    <w:rsid w:val="00052730"/>
    <w:rsid w:val="00060437"/>
    <w:rsid w:val="00065B9E"/>
    <w:rsid w:val="000667EE"/>
    <w:rsid w:val="00071258"/>
    <w:rsid w:val="000830E3"/>
    <w:rsid w:val="00092441"/>
    <w:rsid w:val="00093C9D"/>
    <w:rsid w:val="000A07A3"/>
    <w:rsid w:val="000A18BD"/>
    <w:rsid w:val="000A1CFD"/>
    <w:rsid w:val="000A32F6"/>
    <w:rsid w:val="000A3662"/>
    <w:rsid w:val="000B2445"/>
    <w:rsid w:val="000B4262"/>
    <w:rsid w:val="000B6C6B"/>
    <w:rsid w:val="000C0368"/>
    <w:rsid w:val="000C4CC2"/>
    <w:rsid w:val="000D025C"/>
    <w:rsid w:val="000E4FFA"/>
    <w:rsid w:val="000E5387"/>
    <w:rsid w:val="000E666A"/>
    <w:rsid w:val="000E6F0D"/>
    <w:rsid w:val="000F0D3B"/>
    <w:rsid w:val="000F7A29"/>
    <w:rsid w:val="001003CC"/>
    <w:rsid w:val="0010654C"/>
    <w:rsid w:val="00113A96"/>
    <w:rsid w:val="00120162"/>
    <w:rsid w:val="0012518F"/>
    <w:rsid w:val="001264BC"/>
    <w:rsid w:val="001316FD"/>
    <w:rsid w:val="001321D2"/>
    <w:rsid w:val="001349FC"/>
    <w:rsid w:val="001436AF"/>
    <w:rsid w:val="00145E1A"/>
    <w:rsid w:val="00147BEE"/>
    <w:rsid w:val="00147C4E"/>
    <w:rsid w:val="0016268A"/>
    <w:rsid w:val="00166082"/>
    <w:rsid w:val="0016799D"/>
    <w:rsid w:val="00176038"/>
    <w:rsid w:val="00177B9B"/>
    <w:rsid w:val="001847F6"/>
    <w:rsid w:val="001877F1"/>
    <w:rsid w:val="00187DE7"/>
    <w:rsid w:val="00196982"/>
    <w:rsid w:val="001A0485"/>
    <w:rsid w:val="001A1108"/>
    <w:rsid w:val="001A15F6"/>
    <w:rsid w:val="001A45D6"/>
    <w:rsid w:val="001B4DEC"/>
    <w:rsid w:val="001B566B"/>
    <w:rsid w:val="001C00C6"/>
    <w:rsid w:val="001C6803"/>
    <w:rsid w:val="001C7E81"/>
    <w:rsid w:val="001F24BC"/>
    <w:rsid w:val="001F64E1"/>
    <w:rsid w:val="001F657E"/>
    <w:rsid w:val="00202770"/>
    <w:rsid w:val="00204E18"/>
    <w:rsid w:val="00204F67"/>
    <w:rsid w:val="0021038F"/>
    <w:rsid w:val="0021471A"/>
    <w:rsid w:val="002155BC"/>
    <w:rsid w:val="002155E6"/>
    <w:rsid w:val="002213D7"/>
    <w:rsid w:val="00230456"/>
    <w:rsid w:val="00236D28"/>
    <w:rsid w:val="00242997"/>
    <w:rsid w:val="00247226"/>
    <w:rsid w:val="00251DE8"/>
    <w:rsid w:val="00254A2A"/>
    <w:rsid w:val="002601F3"/>
    <w:rsid w:val="00267739"/>
    <w:rsid w:val="0027730D"/>
    <w:rsid w:val="00283407"/>
    <w:rsid w:val="002B3C2D"/>
    <w:rsid w:val="002B612E"/>
    <w:rsid w:val="002B6D0D"/>
    <w:rsid w:val="002B7F7A"/>
    <w:rsid w:val="002C14D9"/>
    <w:rsid w:val="002E0122"/>
    <w:rsid w:val="002E0318"/>
    <w:rsid w:val="002E27DE"/>
    <w:rsid w:val="002E3628"/>
    <w:rsid w:val="002E5C55"/>
    <w:rsid w:val="002E5EBE"/>
    <w:rsid w:val="002F03E3"/>
    <w:rsid w:val="002F1A34"/>
    <w:rsid w:val="002F6CC2"/>
    <w:rsid w:val="00305C76"/>
    <w:rsid w:val="00314EEC"/>
    <w:rsid w:val="0032045B"/>
    <w:rsid w:val="00320FEA"/>
    <w:rsid w:val="00322C06"/>
    <w:rsid w:val="0032341C"/>
    <w:rsid w:val="00327A9A"/>
    <w:rsid w:val="00327ADF"/>
    <w:rsid w:val="00337D3B"/>
    <w:rsid w:val="0034481A"/>
    <w:rsid w:val="003507AC"/>
    <w:rsid w:val="00352AD6"/>
    <w:rsid w:val="00354113"/>
    <w:rsid w:val="00356056"/>
    <w:rsid w:val="00360B9D"/>
    <w:rsid w:val="003615E5"/>
    <w:rsid w:val="0037375A"/>
    <w:rsid w:val="00374335"/>
    <w:rsid w:val="003761B9"/>
    <w:rsid w:val="00377995"/>
    <w:rsid w:val="003A3564"/>
    <w:rsid w:val="003B0419"/>
    <w:rsid w:val="003B6DF2"/>
    <w:rsid w:val="003C1B71"/>
    <w:rsid w:val="003C5046"/>
    <w:rsid w:val="003C5AF1"/>
    <w:rsid w:val="003D5305"/>
    <w:rsid w:val="003E0F53"/>
    <w:rsid w:val="003E4F75"/>
    <w:rsid w:val="003F044F"/>
    <w:rsid w:val="00400480"/>
    <w:rsid w:val="00400EC6"/>
    <w:rsid w:val="004023CF"/>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657B2"/>
    <w:rsid w:val="00470B16"/>
    <w:rsid w:val="00470E9E"/>
    <w:rsid w:val="004738EF"/>
    <w:rsid w:val="00477172"/>
    <w:rsid w:val="004829D0"/>
    <w:rsid w:val="004842B6"/>
    <w:rsid w:val="004842D5"/>
    <w:rsid w:val="004914AF"/>
    <w:rsid w:val="0049768C"/>
    <w:rsid w:val="004A2735"/>
    <w:rsid w:val="004A561C"/>
    <w:rsid w:val="004A6357"/>
    <w:rsid w:val="004B1080"/>
    <w:rsid w:val="004B1BF0"/>
    <w:rsid w:val="004B1D0C"/>
    <w:rsid w:val="004C0B6C"/>
    <w:rsid w:val="004C3AD6"/>
    <w:rsid w:val="004C7717"/>
    <w:rsid w:val="004C7BA0"/>
    <w:rsid w:val="004D069E"/>
    <w:rsid w:val="004D0CCC"/>
    <w:rsid w:val="004D2D1F"/>
    <w:rsid w:val="004D563C"/>
    <w:rsid w:val="004F45E9"/>
    <w:rsid w:val="004F460E"/>
    <w:rsid w:val="00504D4A"/>
    <w:rsid w:val="00521595"/>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1EC2"/>
    <w:rsid w:val="00604276"/>
    <w:rsid w:val="006059F4"/>
    <w:rsid w:val="00610559"/>
    <w:rsid w:val="00616688"/>
    <w:rsid w:val="006232FD"/>
    <w:rsid w:val="00641E96"/>
    <w:rsid w:val="00643973"/>
    <w:rsid w:val="006463C1"/>
    <w:rsid w:val="00646934"/>
    <w:rsid w:val="006519C1"/>
    <w:rsid w:val="006533BE"/>
    <w:rsid w:val="006537FA"/>
    <w:rsid w:val="00655CED"/>
    <w:rsid w:val="00655F9F"/>
    <w:rsid w:val="00660094"/>
    <w:rsid w:val="0066274D"/>
    <w:rsid w:val="0066604F"/>
    <w:rsid w:val="006709E3"/>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306E7"/>
    <w:rsid w:val="00742C70"/>
    <w:rsid w:val="00754A11"/>
    <w:rsid w:val="0077453C"/>
    <w:rsid w:val="00776D1D"/>
    <w:rsid w:val="00796560"/>
    <w:rsid w:val="007B4E33"/>
    <w:rsid w:val="007B748B"/>
    <w:rsid w:val="007C4D6A"/>
    <w:rsid w:val="007C5790"/>
    <w:rsid w:val="007C6035"/>
    <w:rsid w:val="007D582B"/>
    <w:rsid w:val="007F0C11"/>
    <w:rsid w:val="007F6B35"/>
    <w:rsid w:val="007F764A"/>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0413"/>
    <w:rsid w:val="00862ACE"/>
    <w:rsid w:val="008662DA"/>
    <w:rsid w:val="00871827"/>
    <w:rsid w:val="00871DCF"/>
    <w:rsid w:val="00872A52"/>
    <w:rsid w:val="00876F50"/>
    <w:rsid w:val="00880C02"/>
    <w:rsid w:val="008831B0"/>
    <w:rsid w:val="008852A0"/>
    <w:rsid w:val="008854C3"/>
    <w:rsid w:val="0089331E"/>
    <w:rsid w:val="00896D30"/>
    <w:rsid w:val="008A07E9"/>
    <w:rsid w:val="008A6827"/>
    <w:rsid w:val="008B1E1C"/>
    <w:rsid w:val="008B22A2"/>
    <w:rsid w:val="008B29FF"/>
    <w:rsid w:val="008C1726"/>
    <w:rsid w:val="008C5433"/>
    <w:rsid w:val="008D4CC8"/>
    <w:rsid w:val="008D73FF"/>
    <w:rsid w:val="008E4192"/>
    <w:rsid w:val="008F095C"/>
    <w:rsid w:val="008F0E48"/>
    <w:rsid w:val="0090127A"/>
    <w:rsid w:val="00901A71"/>
    <w:rsid w:val="00903AC2"/>
    <w:rsid w:val="00903B03"/>
    <w:rsid w:val="009053A0"/>
    <w:rsid w:val="00907F29"/>
    <w:rsid w:val="0091015C"/>
    <w:rsid w:val="00910256"/>
    <w:rsid w:val="0091351B"/>
    <w:rsid w:val="00923715"/>
    <w:rsid w:val="00926C5B"/>
    <w:rsid w:val="00926DE3"/>
    <w:rsid w:val="00930530"/>
    <w:rsid w:val="009307BD"/>
    <w:rsid w:val="00930C3A"/>
    <w:rsid w:val="00932CBF"/>
    <w:rsid w:val="00932EE9"/>
    <w:rsid w:val="00942EB9"/>
    <w:rsid w:val="00943951"/>
    <w:rsid w:val="00947589"/>
    <w:rsid w:val="00965DD7"/>
    <w:rsid w:val="00972A21"/>
    <w:rsid w:val="00984BB7"/>
    <w:rsid w:val="0099008B"/>
    <w:rsid w:val="00997393"/>
    <w:rsid w:val="00997ABD"/>
    <w:rsid w:val="009A311C"/>
    <w:rsid w:val="009A3820"/>
    <w:rsid w:val="009B779E"/>
    <w:rsid w:val="009C5886"/>
    <w:rsid w:val="009C79D8"/>
    <w:rsid w:val="009D06CC"/>
    <w:rsid w:val="009D57AB"/>
    <w:rsid w:val="009D6176"/>
    <w:rsid w:val="009E3704"/>
    <w:rsid w:val="009F5003"/>
    <w:rsid w:val="00A00D97"/>
    <w:rsid w:val="00A0219D"/>
    <w:rsid w:val="00A03886"/>
    <w:rsid w:val="00A1196B"/>
    <w:rsid w:val="00A2124E"/>
    <w:rsid w:val="00A23BB0"/>
    <w:rsid w:val="00A25B42"/>
    <w:rsid w:val="00A304C1"/>
    <w:rsid w:val="00A354EC"/>
    <w:rsid w:val="00A373A8"/>
    <w:rsid w:val="00A441E2"/>
    <w:rsid w:val="00A52BBA"/>
    <w:rsid w:val="00A55FDA"/>
    <w:rsid w:val="00A62BC3"/>
    <w:rsid w:val="00A702F0"/>
    <w:rsid w:val="00A709C8"/>
    <w:rsid w:val="00A75823"/>
    <w:rsid w:val="00A8278A"/>
    <w:rsid w:val="00A82999"/>
    <w:rsid w:val="00A87DD7"/>
    <w:rsid w:val="00A91ED9"/>
    <w:rsid w:val="00AA4E11"/>
    <w:rsid w:val="00AB18CB"/>
    <w:rsid w:val="00AB2328"/>
    <w:rsid w:val="00AB6DFB"/>
    <w:rsid w:val="00AC4B2D"/>
    <w:rsid w:val="00AC5410"/>
    <w:rsid w:val="00AE5C99"/>
    <w:rsid w:val="00B01857"/>
    <w:rsid w:val="00B03AAD"/>
    <w:rsid w:val="00B11F96"/>
    <w:rsid w:val="00B1453C"/>
    <w:rsid w:val="00B148F9"/>
    <w:rsid w:val="00B228B2"/>
    <w:rsid w:val="00B23D64"/>
    <w:rsid w:val="00B3213C"/>
    <w:rsid w:val="00B341FF"/>
    <w:rsid w:val="00B377C4"/>
    <w:rsid w:val="00B40914"/>
    <w:rsid w:val="00B40F74"/>
    <w:rsid w:val="00B43E66"/>
    <w:rsid w:val="00B50AE6"/>
    <w:rsid w:val="00B5747F"/>
    <w:rsid w:val="00B65C21"/>
    <w:rsid w:val="00B665C0"/>
    <w:rsid w:val="00B66847"/>
    <w:rsid w:val="00B6705E"/>
    <w:rsid w:val="00B83046"/>
    <w:rsid w:val="00B83D04"/>
    <w:rsid w:val="00B92341"/>
    <w:rsid w:val="00B932C7"/>
    <w:rsid w:val="00B95788"/>
    <w:rsid w:val="00BA1ACD"/>
    <w:rsid w:val="00BA38DA"/>
    <w:rsid w:val="00BA5E9A"/>
    <w:rsid w:val="00BB1BED"/>
    <w:rsid w:val="00BB59DB"/>
    <w:rsid w:val="00BC5BC5"/>
    <w:rsid w:val="00BC7C5A"/>
    <w:rsid w:val="00BE0D16"/>
    <w:rsid w:val="00BE4D35"/>
    <w:rsid w:val="00BF0F52"/>
    <w:rsid w:val="00C0162B"/>
    <w:rsid w:val="00C03348"/>
    <w:rsid w:val="00C07654"/>
    <w:rsid w:val="00C17E7A"/>
    <w:rsid w:val="00C21E04"/>
    <w:rsid w:val="00C23F9E"/>
    <w:rsid w:val="00C40961"/>
    <w:rsid w:val="00C4757E"/>
    <w:rsid w:val="00C505BA"/>
    <w:rsid w:val="00C53A5E"/>
    <w:rsid w:val="00C562AA"/>
    <w:rsid w:val="00C63373"/>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4FE9"/>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74404"/>
    <w:rsid w:val="00D801C6"/>
    <w:rsid w:val="00D83019"/>
    <w:rsid w:val="00D836B3"/>
    <w:rsid w:val="00D8525D"/>
    <w:rsid w:val="00D92623"/>
    <w:rsid w:val="00D93A37"/>
    <w:rsid w:val="00DA04CF"/>
    <w:rsid w:val="00DA0816"/>
    <w:rsid w:val="00DA0B07"/>
    <w:rsid w:val="00DC5F64"/>
    <w:rsid w:val="00DC7872"/>
    <w:rsid w:val="00DD6466"/>
    <w:rsid w:val="00DD697C"/>
    <w:rsid w:val="00DE4CF6"/>
    <w:rsid w:val="00DE6A63"/>
    <w:rsid w:val="00DF19C8"/>
    <w:rsid w:val="00E02C33"/>
    <w:rsid w:val="00E04054"/>
    <w:rsid w:val="00E1289B"/>
    <w:rsid w:val="00E17D38"/>
    <w:rsid w:val="00E23DFD"/>
    <w:rsid w:val="00E2542E"/>
    <w:rsid w:val="00E2610B"/>
    <w:rsid w:val="00E4080C"/>
    <w:rsid w:val="00E42218"/>
    <w:rsid w:val="00E42853"/>
    <w:rsid w:val="00E43ED0"/>
    <w:rsid w:val="00E47D92"/>
    <w:rsid w:val="00E549CB"/>
    <w:rsid w:val="00E6220D"/>
    <w:rsid w:val="00E8417A"/>
    <w:rsid w:val="00E941A6"/>
    <w:rsid w:val="00EA4AFE"/>
    <w:rsid w:val="00EB05F1"/>
    <w:rsid w:val="00EB184B"/>
    <w:rsid w:val="00EB6F57"/>
    <w:rsid w:val="00EC2C40"/>
    <w:rsid w:val="00ED7886"/>
    <w:rsid w:val="00EE05C3"/>
    <w:rsid w:val="00EE59D1"/>
    <w:rsid w:val="00F01287"/>
    <w:rsid w:val="00F075CE"/>
    <w:rsid w:val="00F1283B"/>
    <w:rsid w:val="00F25745"/>
    <w:rsid w:val="00F33362"/>
    <w:rsid w:val="00F34E65"/>
    <w:rsid w:val="00F44EC4"/>
    <w:rsid w:val="00F506ED"/>
    <w:rsid w:val="00F63CE3"/>
    <w:rsid w:val="00F649DD"/>
    <w:rsid w:val="00F8154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A334CC"/>
    <w:rsid w:val="39D92970"/>
    <w:rsid w:val="3BD07B55"/>
    <w:rsid w:val="3D440195"/>
    <w:rsid w:val="3FAE2155"/>
    <w:rsid w:val="47D755C8"/>
    <w:rsid w:val="480E1D32"/>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6"/>
    <w:link w:val="3"/>
    <w:qFormat/>
    <w:uiPriority w:val="0"/>
    <w:rPr>
      <w:rFonts w:ascii="Calibri" w:hAnsi="Calibri"/>
      <w:kern w:val="2"/>
      <w:sz w:val="18"/>
      <w:szCs w:val="18"/>
    </w:rPr>
  </w:style>
  <w:style w:type="character" w:customStyle="1" w:styleId="10">
    <w:name w:val="页眉 Char"/>
    <w:basedOn w:val="6"/>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2368</Words>
  <Characters>13501</Characters>
  <Lines>112</Lines>
  <Paragraphs>31</Paragraphs>
  <TotalTime>190</TotalTime>
  <ScaleCrop>false</ScaleCrop>
  <LinksUpToDate>false</LinksUpToDate>
  <CharactersWithSpaces>15838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2024-03-21T02:19:10Z</dcterms:modified>
  <dc:title>2017年度省级部门预算公开参考格式</dc:title>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