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default"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新乡市卫滨区城市管理局部门（汇总）</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val="en-US" w:eastAsia="zh-CN"/>
        </w:rPr>
        <w:t>城市管理局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城市管理局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val="en-US" w:eastAsia="zh-CN"/>
        </w:rPr>
        <w:t>城市管理局</w:t>
      </w:r>
      <w:r>
        <w:rPr>
          <w:rFonts w:hint="eastAsia" w:ascii="黑体" w:hAnsi="Times New Roman" w:eastAsia="黑体" w:cs="黑体"/>
          <w:sz w:val="32"/>
          <w:szCs w:val="32"/>
        </w:rPr>
        <w:t>部门（汇总</w:t>
      </w:r>
      <w:r>
        <w:rPr>
          <w:rFonts w:hint="eastAsia" w:ascii="黑体" w:hAnsi="Times New Roman" w:eastAsia="黑体" w:cs="黑体"/>
          <w:sz w:val="32"/>
          <w:szCs w:val="32"/>
          <w:lang w:eastAsia="zh-CN"/>
        </w:rPr>
        <w:t>）</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val="en-US" w:eastAsia="zh-CN"/>
        </w:rPr>
        <w:t>城市管理局</w:t>
      </w:r>
      <w:r>
        <w:rPr>
          <w:rFonts w:hint="eastAsia" w:ascii="方正小标宋简体" w:hAnsi="方正小标宋简体" w:eastAsia="方正小标宋简体" w:cs="方正小标宋简体"/>
          <w:sz w:val="36"/>
          <w:szCs w:val="36"/>
        </w:rPr>
        <w:t>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城市管理局</w:t>
      </w:r>
      <w:r>
        <w:rPr>
          <w:rFonts w:hint="eastAsia" w:ascii="黑体" w:hAnsi="黑体" w:eastAsia="黑体"/>
          <w:sz w:val="32"/>
          <w:szCs w:val="32"/>
        </w:rPr>
        <w:t>主要职责</w:t>
      </w:r>
    </w:p>
    <w:p>
      <w:pPr>
        <w:pStyle w:val="5"/>
        <w:widowControl/>
        <w:spacing w:line="600" w:lineRule="exact"/>
        <w:ind w:firstLine="620" w:firstLineChars="200"/>
        <w:jc w:val="both"/>
      </w:pPr>
      <w:r>
        <w:rPr>
          <w:rFonts w:ascii="仿宋_GB2312" w:eastAsia="仿宋_GB2312" w:cs="仿宋_GB2312"/>
          <w:color w:val="000000"/>
          <w:sz w:val="31"/>
          <w:szCs w:val="31"/>
        </w:rPr>
        <w:t>（一）贯彻执行国家、省、市有关城市管理方面的法律法规和政策，组织制定全区市容环境卫生、市政公用设施管理维护和园林绿化建设管理养护的长远规划和年度计划；拟订城市市容和环境卫生、市政公用设施管理维护和园林绿化建设管理养护的具体办法，报区政府批准后组织实施；参与制定城市总体规划中环境卫生、市政公用设施管理维护、园林绿化建设管理养护专业规划；负责全区城市管理工作的规划、计划、组织协调、监督检查。</w:t>
      </w:r>
    </w:p>
    <w:p>
      <w:pPr>
        <w:pStyle w:val="5"/>
        <w:widowControl/>
        <w:spacing w:line="600" w:lineRule="exact"/>
        <w:ind w:firstLine="620" w:firstLineChars="200"/>
        <w:jc w:val="both"/>
      </w:pPr>
      <w:r>
        <w:rPr>
          <w:rFonts w:ascii="仿宋_GB2312" w:eastAsia="仿宋_GB2312" w:cs="仿宋_GB2312"/>
          <w:color w:val="000000"/>
          <w:sz w:val="31"/>
          <w:szCs w:val="31"/>
        </w:rPr>
        <w:t>（二）负责辖区城市环境容貌治理、环境卫生、户外广告</w:t>
      </w:r>
      <w:r>
        <w:rPr>
          <w:rFonts w:ascii="仿宋_GB2312" w:hAnsi="仿宋_GB2312" w:eastAsia="仿宋_GB2312" w:cs="仿宋_GB2312"/>
          <w:bCs/>
          <w:sz w:val="32"/>
          <w:szCs w:val="32"/>
        </w:rPr>
        <w:t>（门头招牌）</w:t>
      </w:r>
      <w:r>
        <w:rPr>
          <w:rFonts w:ascii="仿宋_GB2312" w:eastAsia="仿宋_GB2312" w:cs="仿宋_GB2312"/>
          <w:color w:val="000000"/>
          <w:sz w:val="31"/>
          <w:szCs w:val="31"/>
        </w:rPr>
        <w:t>、建筑垃圾、城管监察的综合管理。负责对辖区城市生活垃圾处理的指导、协调和管理工作；负责组织全区性城市管理综合治理，对各镇、办事处和区直有关单位市容环境卫生工作进行监督、检查和指导。</w:t>
      </w:r>
    </w:p>
    <w:p>
      <w:pPr>
        <w:pStyle w:val="5"/>
        <w:widowControl/>
        <w:spacing w:line="600" w:lineRule="exact"/>
        <w:ind w:firstLine="620" w:firstLineChars="200"/>
        <w:jc w:val="both"/>
      </w:pPr>
      <w:r>
        <w:rPr>
          <w:rFonts w:ascii="仿宋_GB2312" w:eastAsia="仿宋_GB2312" w:cs="仿宋_GB2312"/>
          <w:sz w:val="31"/>
          <w:szCs w:val="31"/>
        </w:rPr>
        <w:t>（三）负责区级道路、路灯、城市排水、污水处理及城市供水、城镇燃气、集中供热等市政公用基础设施运行管理和特许经营管理工作；负责城区防汛排涝及“</w:t>
      </w:r>
      <w:r>
        <w:rPr>
          <w:rFonts w:hint="default" w:ascii="Times New Roman" w:hAnsi="Times New Roman"/>
          <w:sz w:val="31"/>
          <w:szCs w:val="31"/>
        </w:rPr>
        <w:t>12319</w:t>
      </w:r>
      <w:r>
        <w:rPr>
          <w:rFonts w:ascii="仿宋_GB2312" w:eastAsia="仿宋_GB2312" w:cs="仿宋_GB2312"/>
          <w:sz w:val="31"/>
          <w:szCs w:val="31"/>
        </w:rPr>
        <w:t>”热线工作。</w:t>
      </w:r>
    </w:p>
    <w:p>
      <w:pPr>
        <w:pStyle w:val="5"/>
        <w:widowControl/>
        <w:spacing w:line="600" w:lineRule="exact"/>
        <w:ind w:firstLine="620" w:firstLineChars="200"/>
        <w:jc w:val="both"/>
      </w:pPr>
      <w:r>
        <w:rPr>
          <w:rFonts w:ascii="仿宋_GB2312" w:eastAsia="仿宋_GB2312" w:cs="仿宋_GB2312"/>
          <w:sz w:val="31"/>
          <w:szCs w:val="31"/>
        </w:rPr>
        <w:t>（四）负责辖区园林绿化的行业管理和指导，及生态园林城市、园林城市创建和园林绿化管理等工作。</w:t>
      </w:r>
    </w:p>
    <w:p>
      <w:pPr>
        <w:pStyle w:val="5"/>
        <w:widowControl/>
        <w:spacing w:line="600" w:lineRule="exact"/>
        <w:ind w:firstLine="620" w:firstLineChars="200"/>
        <w:jc w:val="both"/>
      </w:pPr>
      <w:r>
        <w:rPr>
          <w:rFonts w:ascii="仿宋_GB2312" w:eastAsia="仿宋_GB2312" w:cs="仿宋_GB2312"/>
          <w:color w:val="000000"/>
          <w:sz w:val="31"/>
          <w:szCs w:val="31"/>
        </w:rPr>
        <w:t>（五）负责辖区城市综合执法工作的综合管理、指挥协调、监督检查、教育培训、考核评价，按照城市管理的需要制定不同时期工作目标和政策。</w:t>
      </w:r>
    </w:p>
    <w:p>
      <w:pPr>
        <w:pStyle w:val="5"/>
        <w:widowControl/>
        <w:spacing w:line="600" w:lineRule="exact"/>
        <w:ind w:firstLine="620" w:firstLineChars="200"/>
        <w:jc w:val="both"/>
      </w:pPr>
      <w:r>
        <w:rPr>
          <w:rFonts w:ascii="仿宋_GB2312" w:eastAsia="仿宋_GB2312" w:cs="仿宋_GB2312"/>
          <w:color w:val="000000"/>
          <w:sz w:val="31"/>
          <w:szCs w:val="31"/>
        </w:rPr>
        <w:t>（六）负责对辖区环境卫生设施拆迁处置及对从事城市生活废弃物收集、运输、清扫、处置专业的单位、个人的资质进行审查和监督管理；负责对辖区范围内户外广告</w:t>
      </w:r>
      <w:r>
        <w:rPr>
          <w:rFonts w:ascii="仿宋_GB2312" w:hAnsi="仿宋_GB2312" w:eastAsia="仿宋_GB2312" w:cs="仿宋_GB2312"/>
          <w:bCs/>
          <w:sz w:val="32"/>
          <w:szCs w:val="32"/>
        </w:rPr>
        <w:t>（门头招牌）</w:t>
      </w:r>
      <w:r>
        <w:rPr>
          <w:rFonts w:ascii="仿宋_GB2312" w:eastAsia="仿宋_GB2312" w:cs="仿宋_GB2312"/>
          <w:color w:val="000000"/>
          <w:sz w:val="31"/>
          <w:szCs w:val="31"/>
        </w:rPr>
        <w:t>设置的审批和管理；负责指导辖区城市公共停车场运行管理。</w:t>
      </w:r>
    </w:p>
    <w:p>
      <w:pPr>
        <w:pStyle w:val="5"/>
        <w:widowControl/>
        <w:spacing w:line="600" w:lineRule="exact"/>
        <w:ind w:firstLine="620" w:firstLineChars="200"/>
        <w:jc w:val="both"/>
      </w:pPr>
      <w:r>
        <w:rPr>
          <w:rFonts w:ascii="仿宋_GB2312" w:eastAsia="仿宋_GB2312" w:cs="仿宋_GB2312"/>
          <w:sz w:val="31"/>
          <w:szCs w:val="31"/>
        </w:rPr>
        <w:t>（七）负责全区环卫设施建设维修、市政基础设施管理维护、园林绿化建设管理养护专项资金的计划、监督、使用和管理。负责环卫设施建设维修、市政基础设施管理维护、园林绿化建设管理养护任务量的核定，维修养护管理经费的定额使用和管理；负责环卫设施建设维修、市政基础设施管理维护、园林绿化建设管理养护作业市场的综合管理和维修管理养护队伍的资质审查；负责协调、组织、监督环卫设施建设维修、市政基础设施管理维护、园林绿化建设管理养护作业任务的招标、管理、质量检查和考核工作；负责环卫、市政基础设施、园林绿化管理养护对外经济技术合作和股权融资、项目引资工作。</w:t>
      </w:r>
    </w:p>
    <w:p>
      <w:pPr>
        <w:pStyle w:val="5"/>
        <w:widowControl/>
        <w:spacing w:line="600" w:lineRule="exact"/>
        <w:ind w:firstLine="620" w:firstLineChars="200"/>
        <w:jc w:val="both"/>
      </w:pPr>
      <w:r>
        <w:rPr>
          <w:rFonts w:ascii="仿宋_GB2312" w:eastAsia="仿宋_GB2312" w:cs="仿宋_GB2312"/>
          <w:color w:val="000000"/>
          <w:sz w:val="31"/>
          <w:szCs w:val="31"/>
        </w:rPr>
        <w:t>（八）贯彻国家、省、市有关实施数字化城管的规定、标准，拟订本区实施数字化城管的实施方案和制度，并组织实施；负责对数字化城管工作的指导、协调和监督考核；承担区城市管理委员会办公室的日常工作。</w:t>
      </w:r>
    </w:p>
    <w:p>
      <w:pPr>
        <w:pStyle w:val="5"/>
        <w:widowControl/>
        <w:spacing w:line="600" w:lineRule="exact"/>
        <w:ind w:firstLine="620" w:firstLineChars="200"/>
        <w:jc w:val="both"/>
      </w:pPr>
      <w:r>
        <w:rPr>
          <w:rFonts w:ascii="仿宋_GB2312" w:eastAsia="仿宋_GB2312" w:cs="仿宋_GB2312"/>
          <w:color w:val="000000"/>
          <w:sz w:val="31"/>
          <w:szCs w:val="31"/>
        </w:rPr>
        <w:t>（九）负责辖区内餐饮服务业油烟污染防治的监督管理工作。</w:t>
      </w:r>
    </w:p>
    <w:p>
      <w:pPr>
        <w:pStyle w:val="5"/>
        <w:widowControl/>
        <w:spacing w:line="600" w:lineRule="exact"/>
        <w:ind w:firstLine="620" w:firstLineChars="200"/>
        <w:jc w:val="both"/>
      </w:pPr>
      <w:r>
        <w:rPr>
          <w:rFonts w:ascii="仿宋_GB2312" w:eastAsia="仿宋_GB2312" w:cs="仿宋_GB2312"/>
          <w:color w:val="000000"/>
          <w:sz w:val="31"/>
          <w:szCs w:val="31"/>
        </w:rPr>
        <w:t>（十）负责对辖区互联网租赁自行车停放秩序的监督管理工作。</w:t>
      </w:r>
    </w:p>
    <w:p>
      <w:pPr>
        <w:pStyle w:val="5"/>
        <w:widowControl/>
        <w:spacing w:line="600" w:lineRule="exact"/>
        <w:ind w:firstLine="620" w:firstLineChars="200"/>
        <w:jc w:val="both"/>
      </w:pPr>
      <w:r>
        <w:rPr>
          <w:rFonts w:ascii="仿宋_GB2312" w:eastAsia="仿宋_GB2312" w:cs="仿宋_GB2312"/>
          <w:color w:val="000000"/>
          <w:sz w:val="31"/>
          <w:szCs w:val="31"/>
        </w:rPr>
        <w:t>（十一）负责住房和城乡建设领域法律、法规、规章规定全部的行政处罚工作；负责环境保护管理方面社会噪声污染、建筑施工噪声污染、建筑施工扬尘污染、餐饮服务业油烟污染、露天烧烤污染、城市焚烧沥青塑料垃圾等烟尘和恶臭污染、城市露天焚烧秸秆、落叶等烟尘污染、燃放烟花爆竹污染的行政处罚工作；负责工商管理方面户外公共场所无照经营、违规设置户外广告</w:t>
      </w:r>
      <w:r>
        <w:rPr>
          <w:rFonts w:ascii="仿宋_GB2312" w:hAnsi="仿宋_GB2312" w:eastAsia="仿宋_GB2312" w:cs="仿宋_GB2312"/>
          <w:bCs/>
          <w:sz w:val="32"/>
          <w:szCs w:val="32"/>
        </w:rPr>
        <w:t>（门头招牌）</w:t>
      </w:r>
      <w:r>
        <w:rPr>
          <w:rFonts w:ascii="仿宋_GB2312" w:eastAsia="仿宋_GB2312" w:cs="仿宋_GB2312"/>
          <w:color w:val="000000"/>
          <w:sz w:val="31"/>
          <w:szCs w:val="31"/>
        </w:rPr>
        <w:t>的行政处罚工作；负责水务管理方面向城市河道倾倒废弃物和垃圾及违规取土、城市河道违法建筑物拆除等的行政处罚工作；负责食品药品监管方面户外公共场所食品销售和餐饮摊点无证经营以及违规回收贩卖药品等的行政处罚；负责侵占城市道路、违法停放车辆的行政处罚工作。实施与上述范围内法律、法规规定的行政处罚权有关的行政强制措施。</w:t>
      </w:r>
    </w:p>
    <w:p>
      <w:pPr>
        <w:pStyle w:val="5"/>
        <w:widowControl/>
        <w:spacing w:line="600" w:lineRule="exact"/>
        <w:ind w:firstLine="620" w:firstLineChars="200"/>
        <w:jc w:val="both"/>
      </w:pPr>
      <w:r>
        <w:rPr>
          <w:rFonts w:ascii="仿宋_GB2312" w:eastAsia="仿宋_GB2312" w:cs="仿宋_GB2312"/>
          <w:color w:val="000000"/>
          <w:sz w:val="31"/>
          <w:szCs w:val="31"/>
        </w:rPr>
        <w:t>（十二）对各镇、办事处的城市管理和综合执法工作进行业务指导、组织协调、监督检查。</w:t>
      </w:r>
    </w:p>
    <w:p>
      <w:pPr>
        <w:pStyle w:val="5"/>
        <w:widowControl/>
        <w:spacing w:line="600" w:lineRule="exact"/>
        <w:ind w:firstLine="620" w:firstLineChars="200"/>
        <w:jc w:val="both"/>
      </w:pPr>
      <w:r>
        <w:rPr>
          <w:rFonts w:ascii="仿宋_GB2312" w:eastAsia="仿宋_GB2312" w:cs="仿宋_GB2312"/>
          <w:color w:val="000000"/>
          <w:sz w:val="31"/>
          <w:szCs w:val="31"/>
        </w:rPr>
        <w:t>（十三）完成区委、区政府交办的其他事项。</w:t>
      </w:r>
    </w:p>
    <w:p>
      <w:pPr>
        <w:pStyle w:val="8"/>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val="en-US" w:eastAsia="zh-CN"/>
        </w:rPr>
        <w:t>城市管理局</w:t>
      </w:r>
      <w:r>
        <w:rPr>
          <w:rFonts w:hint="eastAsia" w:ascii="黑体" w:hAnsi="黑体" w:eastAsia="黑体" w:cs="黑体"/>
          <w:sz w:val="32"/>
          <w:szCs w:val="32"/>
          <w:highlight w:val="none"/>
          <w:lang w:eastAsia="zh-CN"/>
        </w:rPr>
        <w:t>部门</w:t>
      </w:r>
      <w:r>
        <w:rPr>
          <w:rFonts w:hint="eastAsia" w:ascii="黑体" w:hAnsi="黑体" w:eastAsia="黑体"/>
          <w:sz w:val="32"/>
          <w:szCs w:val="32"/>
          <w:highlight w:val="none"/>
        </w:rPr>
        <w:t>构成</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新乡市卫滨区城市管理</w:t>
      </w:r>
      <w:r>
        <w:rPr>
          <w:rFonts w:hint="eastAsia" w:ascii="仿宋_GB2312" w:hAnsi="仿宋_GB2312" w:eastAsia="仿宋_GB2312" w:cs="仿宋_GB2312"/>
          <w:sz w:val="32"/>
          <w:szCs w:val="32"/>
        </w:rPr>
        <w:t>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包括局本级预算和二级机构预算。</w:t>
      </w:r>
    </w:p>
    <w:p>
      <w:pPr>
        <w:ind w:firstLine="640" w:firstLineChars="200"/>
        <w:rPr>
          <w:rFonts w:hint="eastAsia" w:ascii="Times New Roman" w:hAnsi="Times New Roman" w:eastAsia="仿宋_GB2312"/>
          <w:sz w:val="32"/>
          <w:szCs w:val="32"/>
        </w:rPr>
      </w:pPr>
      <w:r>
        <w:rPr>
          <w:rFonts w:hint="eastAsia" w:ascii="仿宋_GB2312" w:hAnsi="仿宋_GB2312" w:eastAsia="仿宋_GB2312" w:cs="仿宋_GB2312"/>
          <w:sz w:val="32"/>
          <w:szCs w:val="32"/>
          <w:lang w:eastAsia="zh-CN"/>
        </w:rPr>
        <w:t>新乡市卫滨区城市管理</w:t>
      </w:r>
      <w:r>
        <w:rPr>
          <w:rFonts w:hint="eastAsia" w:ascii="仿宋_GB2312" w:hAnsi="仿宋_GB2312" w:eastAsia="仿宋_GB2312" w:cs="仿宋_GB2312"/>
          <w:sz w:val="32"/>
          <w:szCs w:val="32"/>
        </w:rPr>
        <w:t>局</w:t>
      </w:r>
      <w:r>
        <w:rPr>
          <w:rFonts w:hint="eastAsia" w:ascii="仿宋_GB2312" w:hAnsi="仿宋_GB2312" w:eastAsia="仿宋_GB2312" w:cs="仿宋_GB2312"/>
          <w:sz w:val="32"/>
          <w:szCs w:val="32"/>
          <w:lang w:eastAsia="zh-CN"/>
        </w:rPr>
        <w:t>设下列内设机构：</w:t>
      </w:r>
      <w:r>
        <w:rPr>
          <w:rFonts w:ascii="Times New Roman" w:hAnsi="仿宋_GB2312" w:eastAsia="仿宋_GB2312"/>
          <w:sz w:val="32"/>
          <w:szCs w:val="32"/>
        </w:rPr>
        <w:t>办公室（政策法规室、</w:t>
      </w:r>
      <w:r>
        <w:rPr>
          <w:rFonts w:hint="eastAsia" w:ascii="仿宋_GB2312" w:eastAsia="仿宋_GB2312" w:cs="仿宋_GB2312"/>
          <w:color w:val="000000"/>
          <w:sz w:val="31"/>
          <w:szCs w:val="31"/>
        </w:rPr>
        <w:t>市容监管科</w:t>
      </w:r>
      <w:r>
        <w:rPr>
          <w:rFonts w:ascii="Times New Roman" w:hAnsi="仿宋_GB2312" w:eastAsia="仿宋_GB2312"/>
          <w:sz w:val="32"/>
          <w:szCs w:val="32"/>
        </w:rPr>
        <w:t>）</w:t>
      </w:r>
      <w:r>
        <w:rPr>
          <w:rFonts w:hint="eastAsia" w:ascii="仿宋_GB2312" w:hAnsi="仿宋_GB2312" w:eastAsia="仿宋_GB2312" w:cs="仿宋_GB2312"/>
          <w:sz w:val="32"/>
          <w:szCs w:val="32"/>
        </w:rPr>
        <w:t>、</w:t>
      </w:r>
      <w:r>
        <w:rPr>
          <w:rFonts w:ascii="Times New Roman" w:eastAsia="仿宋_GB2312"/>
          <w:sz w:val="32"/>
          <w:szCs w:val="32"/>
        </w:rPr>
        <w:t>城市综合管理室（</w:t>
      </w:r>
      <w:r>
        <w:rPr>
          <w:rFonts w:ascii="Times New Roman" w:hAnsi="仿宋_GB2312" w:eastAsia="仿宋_GB2312"/>
          <w:sz w:val="32"/>
          <w:szCs w:val="32"/>
        </w:rPr>
        <w:t>市容环境卫生管理室、市政</w:t>
      </w:r>
      <w:r>
        <w:rPr>
          <w:rFonts w:hint="eastAsia" w:ascii="Times New Roman" w:hAnsi="仿宋_GB2312" w:eastAsia="仿宋_GB2312"/>
          <w:sz w:val="32"/>
          <w:szCs w:val="32"/>
        </w:rPr>
        <w:t>园林</w:t>
      </w:r>
      <w:r>
        <w:rPr>
          <w:rFonts w:ascii="Times New Roman" w:hAnsi="仿宋_GB2312" w:eastAsia="仿宋_GB2312"/>
          <w:sz w:val="32"/>
          <w:szCs w:val="32"/>
        </w:rPr>
        <w:t>绿化</w:t>
      </w:r>
      <w:r>
        <w:rPr>
          <w:rFonts w:hint="eastAsia" w:ascii="Times New Roman" w:hAnsi="仿宋_GB2312" w:eastAsia="仿宋_GB2312"/>
          <w:sz w:val="32"/>
          <w:szCs w:val="32"/>
        </w:rPr>
        <w:t>公用事业</w:t>
      </w:r>
      <w:r>
        <w:rPr>
          <w:rFonts w:ascii="Times New Roman" w:hAnsi="仿宋_GB2312" w:eastAsia="仿宋_GB2312"/>
          <w:sz w:val="32"/>
          <w:szCs w:val="32"/>
        </w:rPr>
        <w:t>管理室</w:t>
      </w:r>
      <w:r>
        <w:rPr>
          <w:rFonts w:ascii="Times New Roman" w:eastAsia="仿宋_GB2312"/>
          <w:sz w:val="32"/>
          <w:szCs w:val="32"/>
        </w:rPr>
        <w:t>）</w:t>
      </w:r>
      <w:r>
        <w:rPr>
          <w:rFonts w:hint="eastAsia" w:ascii="Times New Roman" w:eastAsia="仿宋_GB2312"/>
          <w:sz w:val="32"/>
          <w:szCs w:val="32"/>
        </w:rPr>
        <w:t>。</w:t>
      </w:r>
    </w:p>
    <w:p>
      <w:pPr>
        <w:spacing w:line="360" w:lineRule="auto"/>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eastAsia="zh-CN"/>
        </w:rPr>
        <w:t>新乡市</w:t>
      </w:r>
      <w:r>
        <w:rPr>
          <w:rFonts w:hint="eastAsia" w:ascii="仿宋_GB2312" w:hAnsi="仿宋_GB2312" w:eastAsia="仿宋_GB2312" w:cs="仿宋_GB2312"/>
          <w:sz w:val="32"/>
          <w:szCs w:val="32"/>
        </w:rPr>
        <w:t>卫滨区市政公用事业服务中心设下列内设机构：综合办公室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年度部门预算编制范围的单位共2个，其中二级机构1个，具体是：</w:t>
      </w:r>
    </w:p>
    <w:p>
      <w:pPr>
        <w:keepNext w:val="0"/>
        <w:keepLines w:val="0"/>
        <w:pageBreakBefore w:val="0"/>
        <w:widowControl w:val="0"/>
        <w:numPr>
          <w:ilvl w:val="0"/>
          <w:numId w:val="3"/>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新乡市卫滨区城市管理</w:t>
      </w:r>
      <w:r>
        <w:rPr>
          <w:rFonts w:hint="eastAsia" w:ascii="仿宋_GB2312" w:hAnsi="仿宋_GB2312" w:eastAsia="仿宋_GB2312" w:cs="仿宋_GB2312"/>
          <w:sz w:val="32"/>
          <w:szCs w:val="32"/>
        </w:rPr>
        <w:t>局本级</w:t>
      </w:r>
    </w:p>
    <w:p>
      <w:pPr>
        <w:keepNext w:val="0"/>
        <w:keepLines w:val="0"/>
        <w:pageBreakBefore w:val="0"/>
        <w:widowControl w:val="0"/>
        <w:numPr>
          <w:ilvl w:val="0"/>
          <w:numId w:val="3"/>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新乡市</w:t>
      </w:r>
      <w:r>
        <w:rPr>
          <w:rFonts w:hint="eastAsia" w:ascii="仿宋_GB2312" w:hAnsi="仿宋_GB2312" w:eastAsia="仿宋_GB2312" w:cs="仿宋_GB2312"/>
          <w:sz w:val="32"/>
          <w:szCs w:val="32"/>
        </w:rPr>
        <w:t>卫滨区市政公用事业服务中心</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val="en-US" w:eastAsia="zh-CN"/>
        </w:rPr>
        <w:t>城市管理局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625.91</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625.91</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相比，减少</w:t>
      </w:r>
      <w:r>
        <w:rPr>
          <w:rFonts w:hint="default" w:ascii="Times New Roman" w:hAnsi="Times New Roman" w:eastAsia="仿宋_GB2312" w:cs="Times New Roman"/>
          <w:sz w:val="32"/>
          <w:szCs w:val="32"/>
          <w:lang w:val="en-US" w:eastAsia="zh-CN"/>
        </w:rPr>
        <w:t>133</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9</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68.10</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了燃气管道更新改造项目资金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减少</w:t>
      </w:r>
      <w:r>
        <w:rPr>
          <w:rFonts w:hint="default" w:ascii="Times New Roman" w:hAnsi="Times New Roman" w:eastAsia="仿宋_GB2312" w:cs="Times New Roman"/>
          <w:sz w:val="32"/>
          <w:szCs w:val="32"/>
          <w:lang w:val="en-US" w:eastAsia="zh-CN"/>
        </w:rPr>
        <w:t>133</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9</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68.10</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了燃气管道更新改造项目支出</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625.91</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1336.39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下降</w:t>
      </w:r>
      <w:r>
        <w:rPr>
          <w:rFonts w:hint="eastAsia" w:ascii="Times New Roman" w:hAnsi="Times New Roman" w:eastAsia="仿宋_GB2312" w:cs="Times New Roman"/>
          <w:color w:val="000000"/>
          <w:sz w:val="32"/>
          <w:szCs w:val="32"/>
          <w:lang w:val="en-US" w:eastAsia="zh-CN"/>
        </w:rPr>
        <w:t>68.10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，原因为是</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了燃气管道更新改造项目资金。其中：一般公共预算</w:t>
      </w:r>
      <w:r>
        <w:rPr>
          <w:rFonts w:hint="eastAsia" w:ascii="Times New Roman" w:hAnsi="Times New Roman" w:eastAsia="仿宋_GB2312" w:cs="Times New Roman"/>
          <w:sz w:val="32"/>
          <w:szCs w:val="32"/>
          <w:lang w:val="en-US" w:eastAsia="zh-CN"/>
        </w:rPr>
        <w:t>617.25</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8.66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rPr>
        <w:t>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625.91</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545.25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87.11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default" w:ascii="Times New Roman" w:hAnsi="Times New Roman" w:eastAsia="仿宋_GB2312" w:cs="Times New Roman"/>
          <w:sz w:val="32"/>
          <w:szCs w:val="32"/>
          <w:lang w:val="en-US" w:eastAsia="zh-CN"/>
        </w:rPr>
        <w:t>80.66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12.89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hint="eastAsia" w:ascii="仿宋_GB2312" w:hAnsi="仿宋_GB2312" w:eastAsia="仿宋_GB2312" w:cs="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b w:val="0"/>
          <w:bCs w:val="0"/>
          <w:sz w:val="32"/>
          <w:szCs w:val="32"/>
          <w:highlight w:val="none"/>
        </w:rPr>
        <w:t>202</w:t>
      </w:r>
      <w:r>
        <w:rPr>
          <w:rFonts w:hint="eastAsia" w:ascii="Times New Roman" w:hAnsi="Times New Roman" w:eastAsia="仿宋_GB2312" w:cs="Times New Roman"/>
          <w:b w:val="0"/>
          <w:bCs w:val="0"/>
          <w:sz w:val="32"/>
          <w:szCs w:val="32"/>
          <w:highlight w:val="none"/>
          <w:lang w:val="en-US" w:eastAsia="zh-CN"/>
        </w:rPr>
        <w:t>4</w:t>
      </w:r>
      <w:r>
        <w:rPr>
          <w:rFonts w:hint="eastAsia" w:ascii="仿宋_GB2312" w:hAnsi="仿宋_GB2312" w:eastAsia="仿宋_GB2312" w:cs="仿宋_GB2312"/>
          <w:b w:val="0"/>
          <w:bCs w:val="0"/>
          <w:sz w:val="32"/>
          <w:szCs w:val="32"/>
          <w:highlight w:val="none"/>
        </w:rPr>
        <w:t>年一般公共财政预算拨款收支预算</w:t>
      </w:r>
      <w:r>
        <w:rPr>
          <w:rFonts w:hint="eastAsia" w:ascii="Times New Roman" w:hAnsi="Times New Roman" w:eastAsia="仿宋_GB2312" w:cs="Times New Roman"/>
          <w:b w:val="0"/>
          <w:bCs w:val="0"/>
          <w:sz w:val="32"/>
          <w:szCs w:val="32"/>
          <w:highlight w:val="none"/>
          <w:lang w:val="en-US" w:eastAsia="zh-CN"/>
        </w:rPr>
        <w:t>617.25</w:t>
      </w:r>
      <w:r>
        <w:rPr>
          <w:rFonts w:hint="eastAsia" w:ascii="仿宋_GB2312" w:hAnsi="仿宋_GB2312" w:eastAsia="仿宋_GB2312" w:cs="仿宋_GB2312"/>
          <w:b w:val="0"/>
          <w:bCs w:val="0"/>
          <w:sz w:val="32"/>
          <w:szCs w:val="32"/>
          <w:highlight w:val="none"/>
        </w:rPr>
        <w:t>万元，政府性基金收支预算</w:t>
      </w:r>
      <w:r>
        <w:rPr>
          <w:rFonts w:hint="eastAsia" w:ascii="Times New Roman" w:hAnsi="Times New Roman" w:eastAsia="仿宋_GB2312" w:cs="Times New Roman"/>
          <w:b w:val="0"/>
          <w:bCs w:val="0"/>
          <w:sz w:val="32"/>
          <w:szCs w:val="32"/>
          <w:highlight w:val="none"/>
          <w:lang w:val="en-US" w:eastAsia="zh-CN"/>
        </w:rPr>
        <w:t>0</w:t>
      </w:r>
      <w:r>
        <w:rPr>
          <w:rFonts w:hint="eastAsia" w:ascii="仿宋_GB2312" w:hAnsi="仿宋_GB2312" w:eastAsia="仿宋_GB2312" w:cs="仿宋_GB2312"/>
          <w:b w:val="0"/>
          <w:bCs w:val="0"/>
          <w:sz w:val="32"/>
          <w:szCs w:val="32"/>
          <w:highlight w:val="none"/>
        </w:rPr>
        <w:t>万元。与 20</w:t>
      </w:r>
      <w:r>
        <w:rPr>
          <w:rFonts w:hint="eastAsia" w:ascii="仿宋_GB2312" w:hAnsi="仿宋_GB2312" w:eastAsia="仿宋_GB2312" w:cs="仿宋_GB2312"/>
          <w:b w:val="0"/>
          <w:bCs w:val="0"/>
          <w:sz w:val="32"/>
          <w:szCs w:val="32"/>
          <w:highlight w:val="none"/>
          <w:lang w:val="en-US" w:eastAsia="zh-CN"/>
        </w:rPr>
        <w:t>23</w:t>
      </w:r>
      <w:r>
        <w:rPr>
          <w:rFonts w:hint="eastAsia" w:ascii="仿宋_GB2312" w:hAnsi="仿宋_GB2312" w:eastAsia="仿宋_GB2312" w:cs="仿宋_GB2312"/>
          <w:b w:val="0"/>
          <w:bCs w:val="0"/>
          <w:sz w:val="32"/>
          <w:szCs w:val="32"/>
          <w:highlight w:val="none"/>
        </w:rPr>
        <w:t>年相比，一般公共预算收支预算减少</w:t>
      </w:r>
      <w:r>
        <w:rPr>
          <w:rFonts w:hint="eastAsia" w:ascii="Times New Roman" w:hAnsi="Times New Roman" w:eastAsia="仿宋_GB2312" w:cs="Times New Roman"/>
          <w:b w:val="0"/>
          <w:bCs w:val="0"/>
          <w:sz w:val="32"/>
          <w:szCs w:val="32"/>
          <w:highlight w:val="none"/>
          <w:lang w:val="en-US" w:eastAsia="zh-CN"/>
        </w:rPr>
        <w:t>1345.05</w:t>
      </w:r>
      <w:r>
        <w:rPr>
          <w:rFonts w:hint="eastAsia" w:ascii="仿宋_GB2312" w:hAnsi="仿宋_GB2312" w:eastAsia="仿宋_GB2312" w:cs="仿宋_GB2312"/>
          <w:b w:val="0"/>
          <w:bCs w:val="0"/>
          <w:sz w:val="32"/>
          <w:szCs w:val="32"/>
          <w:highlight w:val="none"/>
        </w:rPr>
        <w:t>万元，下降</w:t>
      </w:r>
      <w:r>
        <w:rPr>
          <w:rFonts w:hint="eastAsia" w:ascii="Times New Roman" w:hAnsi="Times New Roman" w:eastAsia="仿宋_GB2312" w:cs="Times New Roman"/>
          <w:b w:val="0"/>
          <w:bCs w:val="0"/>
          <w:sz w:val="32"/>
          <w:szCs w:val="32"/>
          <w:highlight w:val="none"/>
          <w:lang w:val="en-US" w:eastAsia="zh-CN"/>
        </w:rPr>
        <w:t>68.54</w:t>
      </w:r>
      <w:r>
        <w:rPr>
          <w:rFonts w:hint="default" w:ascii="Times New Roman" w:hAnsi="Times New Roman" w:eastAsia="仿宋_GB2312" w:cs="Times New Roman"/>
          <w:b w:val="0"/>
          <w:bCs w:val="0"/>
          <w:sz w:val="32"/>
          <w:szCs w:val="32"/>
          <w:highlight w:val="none"/>
        </w:rPr>
        <w:t>%</w:t>
      </w:r>
      <w:r>
        <w:rPr>
          <w:rFonts w:hint="eastAsia" w:ascii="仿宋_GB2312" w:hAnsi="仿宋_GB2312" w:eastAsia="仿宋_GB2312" w:cs="仿宋_GB2312"/>
          <w:b w:val="0"/>
          <w:bCs w:val="0"/>
          <w:sz w:val="32"/>
          <w:szCs w:val="32"/>
          <w:highlight w:val="none"/>
        </w:rPr>
        <w:t>，主要原因是</w:t>
      </w:r>
      <w:r>
        <w:rPr>
          <w:rFonts w:hint="eastAsia" w:ascii="仿宋_GB2312" w:hAnsi="仿宋_GB2312" w:eastAsia="仿宋_GB2312" w:cs="仿宋_GB2312"/>
          <w:sz w:val="32"/>
          <w:szCs w:val="32"/>
          <w:highlight w:val="none"/>
          <w:lang w:val="en-US" w:eastAsia="zh-CN"/>
        </w:rPr>
        <w:t>减少</w:t>
      </w:r>
      <w:r>
        <w:rPr>
          <w:rFonts w:hint="eastAsia" w:ascii="仿宋_GB2312" w:hAnsi="仿宋_GB2312" w:eastAsia="仿宋_GB2312" w:cs="仿宋_GB2312"/>
          <w:sz w:val="32"/>
          <w:szCs w:val="32"/>
          <w:highlight w:val="none"/>
        </w:rPr>
        <w:t>了燃气管道更新改造项目</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sz w:val="32"/>
          <w:szCs w:val="32"/>
        </w:rPr>
        <w:t>政府性基金收支预算</w:t>
      </w:r>
      <w:r>
        <w:rPr>
          <w:rFonts w:hint="eastAsia" w:ascii="仿宋_GB2312" w:hAnsi="仿宋_GB2312" w:eastAsia="仿宋_GB2312" w:cs="仿宋_GB2312"/>
          <w:sz w:val="32"/>
          <w:szCs w:val="32"/>
          <w:lang w:eastAsia="zh-CN"/>
        </w:rPr>
        <w:t>与上年保持一致</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617.25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545.25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88.34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72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11.66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主要用于以下方面：社会保障和就业（类）支出55.61万元，占9.01%；卫生健康（类）支出30.23万元，占4.90%；住房保障（类）支出36.37万元，占5.89%。</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545.25</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520.33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95.43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24.92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4.57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72</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72</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eastAsia="仿宋_GB2312"/>
          <w:sz w:val="32"/>
          <w:szCs w:val="32"/>
          <w:highlight w:val="none"/>
          <w:lang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7.70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年减少</w:t>
      </w:r>
      <w:r>
        <w:rPr>
          <w:rFonts w:hint="eastAsia" w:ascii="Times New Roman" w:hAnsi="Times New Roman" w:eastAsia="黑体" w:cs="Times New Roman"/>
          <w:sz w:val="32"/>
          <w:szCs w:val="32"/>
          <w:lang w:val="en-US" w:eastAsia="zh-CN"/>
        </w:rPr>
        <w:t>1.4</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lang w:val="en-US"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7.70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7.70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万元，主要原因：</w:t>
      </w:r>
      <w:r>
        <w:rPr>
          <w:rFonts w:hint="eastAsia" w:ascii="黑体" w:hAnsi="黑体" w:eastAsia="黑体" w:cs="黑体"/>
          <w:sz w:val="32"/>
          <w:szCs w:val="32"/>
          <w:lang w:val="en-US"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年减少</w:t>
      </w:r>
      <w:r>
        <w:rPr>
          <w:rFonts w:hint="eastAsia" w:ascii="黑体" w:hAnsi="黑体" w:eastAsia="黑体" w:cs="黑体"/>
          <w:sz w:val="32"/>
          <w:szCs w:val="32"/>
          <w:lang w:val="en-US" w:eastAsia="zh-CN"/>
        </w:rPr>
        <w:t>1.40</w:t>
      </w:r>
      <w:r>
        <w:rPr>
          <w:rFonts w:hint="eastAsia" w:ascii="仿宋_GB2312" w:hAnsi="宋体" w:eastAsia="仿宋_GB2312" w:cs="Courier New"/>
          <w:sz w:val="32"/>
          <w:szCs w:val="32"/>
        </w:rPr>
        <w:t>万元，减少的主要原因是</w:t>
      </w:r>
      <w:r>
        <w:rPr>
          <w:rFonts w:hint="eastAsia" w:ascii="黑体" w:hAnsi="黑体" w:eastAsia="黑体" w:cs="黑体"/>
          <w:sz w:val="32"/>
          <w:szCs w:val="32"/>
          <w:lang w:val="en-US" w:eastAsia="zh-CN"/>
        </w:rPr>
        <w:t>公务用车运行经费预算减少</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万元。增加的主要原因</w:t>
      </w:r>
      <w:r>
        <w:rPr>
          <w:rFonts w:hint="eastAsia" w:ascii="黑体" w:hAnsi="黑体" w:eastAsia="黑体" w:cs="黑体"/>
          <w:sz w:val="32"/>
          <w:szCs w:val="32"/>
          <w:lang w:val="en-US" w:eastAsia="zh-CN"/>
        </w:rPr>
        <w:t>无</w:t>
      </w:r>
      <w:r>
        <w:rPr>
          <w:rFonts w:hint="eastAsia" w:ascii="仿宋_GB2312" w:hAnsi="宋体" w:eastAsia="仿宋_GB2312" w:cs="Courier New"/>
          <w:sz w:val="32"/>
          <w:szCs w:val="32"/>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24.92</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4</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1436.64</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3</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80.66</w:t>
      </w:r>
      <w:r>
        <w:rPr>
          <w:rFonts w:hint="eastAsia" w:ascii="仿宋_GB2312" w:hAnsi="宋体" w:eastAsia="仿宋_GB2312" w:cs="Courier New"/>
          <w:sz w:val="32"/>
          <w:szCs w:val="32"/>
        </w:rPr>
        <w:t>万元</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none"/>
        </w:rPr>
      </w:pPr>
      <w:r>
        <w:rPr>
          <w:rFonts w:hint="eastAsia" w:ascii="仿宋_GB2312" w:hAnsi="仿宋_GB2312" w:eastAsia="仿宋_GB2312" w:cs="仿宋_GB2312"/>
          <w:sz w:val="32"/>
          <w:szCs w:val="32"/>
          <w:highlight w:val="none"/>
          <w:lang w:val="en-US" w:eastAsia="zh-CN"/>
        </w:rPr>
        <w:t>我单位</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lang w:val="en-US" w:eastAsia="zh-CN"/>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6742.74</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下降</w:t>
      </w:r>
      <w:r>
        <w:rPr>
          <w:rFonts w:hint="eastAsia" w:ascii="Times New Roman" w:hAnsi="Times New Roman" w:eastAsia="仿宋_GB2312" w:cs="Times New Roman"/>
          <w:color w:val="000000"/>
          <w:sz w:val="32"/>
          <w:szCs w:val="32"/>
          <w:lang w:val="en-US" w:eastAsia="zh-CN"/>
        </w:rPr>
        <w:t>1.30</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847.47</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下降</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以前年度结余资金收回</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黑体" w:hAnsi="黑体" w:eastAsia="黑体" w:cs="黑体"/>
          <w:sz w:val="32"/>
          <w:szCs w:val="32"/>
          <w:lang w:val="en-US" w:eastAsia="zh-CN"/>
        </w:rPr>
        <w:t>新乡市卫滨区城市管理局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25</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6</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19</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环卫车辆</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黑体" w:hAnsi="黑体" w:eastAsia="黑体" w:cs="黑体"/>
          <w:sz w:val="32"/>
          <w:szCs w:val="32"/>
          <w:lang w:val="en-US" w:eastAsia="zh-CN"/>
        </w:rPr>
        <w:t>新乡市卫滨区城市管理局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黑体" w:hAnsi="黑体" w:eastAsia="黑体" w:cs="黑体"/>
          <w:sz w:val="32"/>
          <w:szCs w:val="32"/>
          <w:lang w:val="en-US" w:eastAsia="zh-CN"/>
        </w:rPr>
        <w:t>新乡市卫滨区城市管理局</w:t>
      </w:r>
      <w:r>
        <w:rPr>
          <w:rFonts w:hint="eastAsia" w:ascii="仿宋_GB2312" w:hAnsi="宋体" w:eastAsia="仿宋_GB2312" w:cs="Courier New"/>
          <w:sz w:val="32"/>
          <w:szCs w:val="32"/>
          <w:highlight w:val="none"/>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黑体" w:hAnsi="黑体" w:eastAsia="黑体" w:cs="黑体"/>
          <w:sz w:val="32"/>
          <w:szCs w:val="32"/>
          <w:lang w:val="en-US" w:eastAsia="zh-CN"/>
        </w:rPr>
        <w:t>新乡市卫滨区城市管理局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万元等；我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bookmarkStart w:id="0" w:name="_GoBack"/>
      <w:bookmarkEnd w:id="0"/>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城市管理局</w:t>
      </w:r>
      <w:r>
        <w:rPr>
          <w:rFonts w:hint="eastAsia" w:ascii="黑体" w:hAnsi="Times New Roman" w:eastAsia="黑体" w:cs="黑体"/>
          <w:sz w:val="32"/>
          <w:szCs w:val="32"/>
        </w:rPr>
        <w:t>（汇总</w:t>
      </w:r>
      <w:r>
        <w:rPr>
          <w:rFonts w:hint="eastAsia" w:ascii="黑体" w:hAnsi="Times New Roman" w:eastAsia="黑体" w:cs="黑体"/>
          <w:sz w:val="32"/>
          <w:szCs w:val="32"/>
          <w:lang w:eastAsia="zh-CN"/>
        </w:rPr>
        <w:t>）</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92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75"/>
        <w:gridCol w:w="1537"/>
        <w:gridCol w:w="3075"/>
        <w:gridCol w:w="15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30"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9230"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692"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p>
        </w:tc>
        <w:tc>
          <w:tcPr>
            <w:tcW w:w="153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w:t>
            </w:r>
          </w:p>
        </w:tc>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项目  </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金额  </w:t>
            </w: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项目  </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五、事业收入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六、事业单位经营收入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七、上级补助收入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八、附属单位上缴收入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九、社会保险基金支出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九、其他收入</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收 入 合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支 出 合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年终结转结余</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 总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3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 总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60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4"/>
        <w:gridCol w:w="2454"/>
        <w:gridCol w:w="1019"/>
        <w:gridCol w:w="1229"/>
        <w:gridCol w:w="1229"/>
        <w:gridCol w:w="1229"/>
        <w:gridCol w:w="569"/>
        <w:gridCol w:w="569"/>
        <w:gridCol w:w="569"/>
        <w:gridCol w:w="569"/>
        <w:gridCol w:w="569"/>
        <w:gridCol w:w="569"/>
        <w:gridCol w:w="569"/>
        <w:gridCol w:w="569"/>
        <w:gridCol w:w="576"/>
        <w:gridCol w:w="569"/>
        <w:gridCol w:w="577"/>
        <w:gridCol w:w="570"/>
        <w:gridCol w:w="570"/>
        <w:gridCol w:w="5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jc w:val="center"/>
        </w:trPr>
        <w:tc>
          <w:tcPr>
            <w:tcW w:w="16095" w:type="dxa"/>
            <w:gridSpan w:val="20"/>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6095"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2024年部门收入总体情况表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6095" w:type="dxa"/>
            <w:gridSpan w:val="20"/>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r>
              <w:rPr>
                <w:rFonts w:hint="eastAsia" w:ascii="宋体" w:hAnsi="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部门（单位）代码</w:t>
            </w:r>
          </w:p>
        </w:tc>
        <w:tc>
          <w:tcPr>
            <w:tcW w:w="24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部门（单位）名称</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823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本年收入</w:t>
            </w:r>
          </w:p>
        </w:tc>
        <w:tc>
          <w:tcPr>
            <w:tcW w:w="343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4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5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5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w:t>
            </w:r>
          </w:p>
        </w:tc>
        <w:tc>
          <w:tcPr>
            <w:tcW w:w="2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202001</w:t>
            </w:r>
          </w:p>
        </w:tc>
        <w:tc>
          <w:tcPr>
            <w:tcW w:w="2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新乡市卫滨区城市管理局本级</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348.78</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348.78</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348.78</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348.78</w:t>
            </w: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新乡市卫滨区城市管理局</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202002</w:t>
            </w:r>
          </w:p>
        </w:tc>
        <w:tc>
          <w:tcPr>
            <w:tcW w:w="2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新乡市卫滨区市政公用事业服务中心</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214.97</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206.31</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206.31</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206.31</w:t>
            </w: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2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2"/>
        <w:gridCol w:w="492"/>
        <w:gridCol w:w="492"/>
        <w:gridCol w:w="737"/>
        <w:gridCol w:w="2458"/>
        <w:gridCol w:w="1171"/>
        <w:gridCol w:w="1171"/>
        <w:gridCol w:w="1171"/>
        <w:gridCol w:w="1171"/>
        <w:gridCol w:w="1171"/>
        <w:gridCol w:w="1170"/>
        <w:gridCol w:w="1171"/>
        <w:gridCol w:w="1171"/>
        <w:gridCol w:w="1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jc w:val="center"/>
        </w:trPr>
        <w:tc>
          <w:tcPr>
            <w:tcW w:w="15224"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522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052"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p>
        </w:tc>
        <w:tc>
          <w:tcPr>
            <w:tcW w:w="117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4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8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4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545.25</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441.97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78.36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80.66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545.25</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441.97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78.36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80.66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48.40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48.40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48.40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机关事业单位职业年金缴费支出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5.39</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5.39</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5.39</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公务员医疗补助</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423.04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423.04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321.58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76.54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其他城乡社区管理事务支出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死亡抚恤</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事业单位医疗</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城市建设支出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07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65"/>
        <w:gridCol w:w="867"/>
        <w:gridCol w:w="2895"/>
        <w:gridCol w:w="855"/>
        <w:gridCol w:w="855"/>
        <w:gridCol w:w="825"/>
        <w:gridCol w:w="855"/>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jc w:val="center"/>
        </w:trPr>
        <w:tc>
          <w:tcPr>
            <w:tcW w:w="10737"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0737"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0737"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r>
              <w:rPr>
                <w:rFonts w:hint="eastAsia" w:ascii="宋体" w:hAnsi="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3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  </w:t>
            </w:r>
          </w:p>
        </w:tc>
        <w:tc>
          <w:tcPr>
            <w:tcW w:w="73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25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　额</w:t>
            </w:r>
          </w:p>
        </w:tc>
        <w:tc>
          <w:tcPr>
            <w:tcW w:w="28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2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小计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一、本年收入</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二、上年结转</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55.61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55.61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55.61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503.70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495.04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495.04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二、年终结转结余</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收入合计：</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2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支出合计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7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2"/>
        <w:gridCol w:w="492"/>
        <w:gridCol w:w="492"/>
        <w:gridCol w:w="738"/>
        <w:gridCol w:w="2459"/>
        <w:gridCol w:w="1537"/>
        <w:gridCol w:w="1537"/>
        <w:gridCol w:w="1171"/>
        <w:gridCol w:w="1171"/>
        <w:gridCol w:w="1171"/>
        <w:gridCol w:w="950"/>
        <w:gridCol w:w="1095"/>
        <w:gridCol w:w="111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5705"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57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15"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p>
        </w:tc>
        <w:tc>
          <w:tcPr>
            <w:tcW w:w="129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4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5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0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4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545.25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441.97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78.36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w:t>
            </w: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545.25</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441.97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78.36</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48.40</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48.40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48.40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机关事业单位职业年金缴费支出</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5.39</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5.39</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5.39</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公务员医疗补助</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423.04</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423.04</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321.58</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76.54</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其他城乡社区管理事务支出</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死亡抚恤</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事业单位医疗</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210"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09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1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2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14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45"/>
        <w:gridCol w:w="2460"/>
        <w:gridCol w:w="1845"/>
        <w:gridCol w:w="2460"/>
        <w:gridCol w:w="1845"/>
        <w:gridCol w:w="1845"/>
        <w:gridCol w:w="1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jc w:val="center"/>
        </w:trPr>
        <w:tc>
          <w:tcPr>
            <w:tcW w:w="14154"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4154"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2308"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p>
        </w:tc>
        <w:tc>
          <w:tcPr>
            <w:tcW w:w="184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4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5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545.25</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520.33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34.51</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34.51</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30109</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职业年金缴费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公务员医疗补助缴费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11.09</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11.09</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25.43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25.43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83.68</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83.68</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76.54</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76.54</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134.07</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134.07</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50299</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0.27</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5.10</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2.28</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50208</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5.50</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30207</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50103</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25.95</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25.95</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13.89</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13.89</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30109</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职业年金缴费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0.56</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0.56</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30305</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生活补助</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社会福利和救助</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公务员医疗补助缴费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0.45</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0.45</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54.16</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54.16</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30207</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2.20</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1.13</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4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491"/>
        <w:gridCol w:w="1477"/>
        <w:gridCol w:w="492"/>
        <w:gridCol w:w="492"/>
        <w:gridCol w:w="1883"/>
        <w:gridCol w:w="930"/>
        <w:gridCol w:w="930"/>
        <w:gridCol w:w="975"/>
        <w:gridCol w:w="765"/>
        <w:gridCol w:w="690"/>
        <w:gridCol w:w="870"/>
        <w:gridCol w:w="795"/>
        <w:gridCol w:w="600"/>
        <w:gridCol w:w="615"/>
        <w:gridCol w:w="630"/>
        <w:gridCol w:w="750"/>
        <w:gridCol w:w="5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jc w:val="center"/>
        </w:trPr>
        <w:tc>
          <w:tcPr>
            <w:tcW w:w="14475" w:type="dxa"/>
            <w:gridSpan w:val="1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4475" w:type="dxa"/>
            <w:gridSpan w:val="1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475" w:type="dxa"/>
            <w:gridSpan w:val="18"/>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r>
              <w:rPr>
                <w:rFonts w:hint="eastAsia" w:ascii="宋体" w:hAnsi="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4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部门预算经济分类  </w:t>
            </w:r>
          </w:p>
        </w:tc>
        <w:tc>
          <w:tcPr>
            <w:tcW w:w="28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政府预算经济分类</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617.25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34.51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34.51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34.51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职业年金缴费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4.83</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公务员医疗补助缴费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3.93</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11.09</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25.43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25.43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25.43</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83.68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83.68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83.68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76.54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76.54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76.54</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134.07</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134.07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134.07</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72.27</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72.27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72.27</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2.28</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5.50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25.95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25.95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25.95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13.89</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职业年金缴费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0.56</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生活补助</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社会福利和救助</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8.63</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公务员医疗补助缴费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8.83</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54.16</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54.16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54.16</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10.79</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2.13</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1.13</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3032" w:type="dxa"/>
        <w:tblInd w:w="1101" w:type="dxa"/>
        <w:tblLayout w:type="fixed"/>
        <w:tblCellMar>
          <w:top w:w="0" w:type="dxa"/>
          <w:left w:w="108" w:type="dxa"/>
          <w:bottom w:w="0" w:type="dxa"/>
          <w:right w:w="108" w:type="dxa"/>
        </w:tblCellMar>
      </w:tblPr>
      <w:tblGrid>
        <w:gridCol w:w="2172"/>
        <w:gridCol w:w="2172"/>
        <w:gridCol w:w="2172"/>
        <w:gridCol w:w="2172"/>
        <w:gridCol w:w="2172"/>
        <w:gridCol w:w="2172"/>
      </w:tblGrid>
      <w:tr>
        <w:tblPrEx>
          <w:tblCellMar>
            <w:top w:w="0" w:type="dxa"/>
            <w:left w:w="108" w:type="dxa"/>
            <w:bottom w:w="0" w:type="dxa"/>
            <w:right w:w="108" w:type="dxa"/>
          </w:tblCellMar>
        </w:tblPrEx>
        <w:trPr>
          <w:trHeight w:val="327"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CellMar>
            <w:top w:w="0" w:type="dxa"/>
            <w:left w:w="108" w:type="dxa"/>
            <w:bottom w:w="0" w:type="dxa"/>
            <w:right w:w="108" w:type="dxa"/>
          </w:tblCellMar>
        </w:tblPrEx>
        <w:trPr>
          <w:trHeight w:val="285" w:hRule="atLeast"/>
        </w:trPr>
        <w:tc>
          <w:tcPr>
            <w:tcW w:w="10860"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部门名称：新乡市卫滨区城市管理局</w:t>
            </w:r>
          </w:p>
        </w:tc>
        <w:tc>
          <w:tcPr>
            <w:tcW w:w="217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“三公”经费合计</w:t>
            </w:r>
          </w:p>
        </w:tc>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因公出国（境）费</w:t>
            </w:r>
          </w:p>
        </w:tc>
        <w:tc>
          <w:tcPr>
            <w:tcW w:w="6516"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公务用车购置及运行费</w:t>
            </w:r>
          </w:p>
        </w:tc>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公务接待费</w:t>
            </w:r>
          </w:p>
        </w:tc>
      </w:tr>
      <w:tr>
        <w:tblPrEx>
          <w:tblCellMar>
            <w:top w:w="0" w:type="dxa"/>
            <w:left w:w="108" w:type="dxa"/>
            <w:bottom w:w="0" w:type="dxa"/>
            <w:right w:w="108" w:type="dxa"/>
          </w:tblCellMar>
        </w:tblPrEx>
        <w:trPr>
          <w:trHeight w:val="285" w:hRule="atLeast"/>
        </w:trPr>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公务用车购置费</w:t>
            </w: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公务用车运行费</w:t>
            </w:r>
          </w:p>
        </w:tc>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1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1"/>
        <w:gridCol w:w="491"/>
        <w:gridCol w:w="492"/>
        <w:gridCol w:w="737"/>
        <w:gridCol w:w="2460"/>
        <w:gridCol w:w="1171"/>
        <w:gridCol w:w="1171"/>
        <w:gridCol w:w="1171"/>
        <w:gridCol w:w="1171"/>
        <w:gridCol w:w="1171"/>
        <w:gridCol w:w="1171"/>
        <w:gridCol w:w="1171"/>
        <w:gridCol w:w="1172"/>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color w:val="000000"/>
                <w:sz w:val="38"/>
                <w:szCs w:val="38"/>
                <w:highlight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部门名称：新乡市卫滨区城市管理局</w:t>
            </w:r>
          </w:p>
        </w:tc>
        <w:tc>
          <w:tcPr>
            <w:tcW w:w="123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4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8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4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tabs>
          <w:tab w:val="left" w:pos="5760"/>
        </w:tabs>
        <w:ind w:firstLine="180" w:firstLineChars="100"/>
        <w:rPr>
          <w:rFonts w:hint="default" w:ascii="宋体" w:hAnsi="宋体" w:eastAsia="宋体" w:cs="宋体"/>
          <w:sz w:val="18"/>
          <w:szCs w:val="18"/>
          <w:highlight w:val="none"/>
          <w:lang w:val="en-US"/>
        </w:rPr>
      </w:pPr>
      <w:r>
        <w:rPr>
          <w:rFonts w:hint="eastAsia" w:ascii="宋体" w:hAnsi="宋体" w:cs="宋体"/>
          <w:kern w:val="0"/>
          <w:sz w:val="18"/>
          <w:szCs w:val="18"/>
          <w:highlight w:val="none"/>
          <w:lang w:eastAsia="zh-CN"/>
        </w:rPr>
        <w:t>说明：</w:t>
      </w:r>
      <w:r>
        <w:rPr>
          <w:rFonts w:hint="eastAsia" w:ascii="宋体" w:hAnsi="宋体" w:eastAsia="宋体" w:cs="宋体"/>
          <w:kern w:val="2"/>
          <w:sz w:val="18"/>
          <w:szCs w:val="18"/>
          <w:highlight w:val="none"/>
          <w:lang w:val="en-US" w:eastAsia="zh-CN" w:bidi="ar-SA"/>
        </w:rPr>
        <w:t>我们单位没有政府性基金收入，也没有使用政府性基金安排支出，故此表无数据</w:t>
      </w:r>
      <w:r>
        <w:rPr>
          <w:rFonts w:hint="eastAsia" w:ascii="宋体" w:hAnsi="宋体" w:cs="宋体"/>
          <w:kern w:val="2"/>
          <w:sz w:val="18"/>
          <w:szCs w:val="18"/>
          <w:highlight w:val="none"/>
          <w:lang w:val="en-US" w:eastAsia="zh-CN" w:bidi="ar-SA"/>
        </w:rPr>
        <w:t>。</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1561" w:tblpY="84"/>
        <w:tblOverlap w:val="never"/>
        <w:tblW w:w="141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1"/>
        <w:gridCol w:w="1171"/>
        <w:gridCol w:w="2743"/>
        <w:gridCol w:w="1035"/>
        <w:gridCol w:w="870"/>
        <w:gridCol w:w="1155"/>
        <w:gridCol w:w="1125"/>
        <w:gridCol w:w="1050"/>
        <w:gridCol w:w="1050"/>
        <w:gridCol w:w="1065"/>
        <w:gridCol w:w="960"/>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4115"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4115"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115"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r>
              <w:rPr>
                <w:rFonts w:hint="eastAsia" w:ascii="宋体" w:hAnsi="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类型</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27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本年拨款</w:t>
            </w:r>
          </w:p>
        </w:tc>
        <w:tc>
          <w:tcPr>
            <w:tcW w:w="3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财政拨款结转结余</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80.66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w:t>
            </w:r>
          </w:p>
        </w:tc>
        <w:tc>
          <w:tcPr>
            <w:tcW w:w="2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80.66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数字城管网运转费</w:t>
            </w:r>
          </w:p>
        </w:tc>
        <w:tc>
          <w:tcPr>
            <w:tcW w:w="2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新乡市卫滨区城市管理局本级</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9"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公厕工程款（与成都千成万建筑工程有限公司第八分公司建筑工程纠纷所需资金）</w:t>
            </w:r>
          </w:p>
        </w:tc>
        <w:tc>
          <w:tcPr>
            <w:tcW w:w="2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关于下达拆墙透绿奖补资金的通知</w:t>
            </w:r>
          </w:p>
        </w:tc>
        <w:tc>
          <w:tcPr>
            <w:tcW w:w="2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新乡市卫滨区市政公用事业服务中心</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94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1"/>
        <w:gridCol w:w="1449"/>
        <w:gridCol w:w="2198"/>
        <w:gridCol w:w="1172"/>
        <w:gridCol w:w="3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35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4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9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24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941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部门整体绩效目标表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1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4"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w:t>
            </w:r>
          </w:p>
        </w:tc>
        <w:tc>
          <w:tcPr>
            <w:tcW w:w="80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深入推进城市管理综合执法，指导推进城市精细化管理，推动城市管理走向城市治理。加强区级道路、路灯、城市排水、污水处理及城市供水、城镇燃气、集中供热等市政公用基础设施运行管理，加强城市道路清扫保洁，持续优化“两站”区域市容秩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年度主要任务</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任务名称</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市管理综合治理，实施数字化城管，道路清扫保洁，市政公用基础设施更新改造。</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组织实施数字化城管，门头招牌综合治理；占道（店外）经营专项整治，持续优化“两站”区域市容秩序。主次干道清扫保洁，燃气管道更新改造。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预算情况  </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部门预算总额（万元）</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1、资金来源：</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（1）政府预算资金</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625.91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（2）财政专户管理资金</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（3）单位资金</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2、资金结构：</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（1）基本支出</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（2）项目支出</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投入管理指标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工作目标管理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年度履职目标相关性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工作任务科学性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科学</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绩效指标合理性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合理</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预算和财务管理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预算编制完整性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完整</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决算真实性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真实</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合规</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管理制度健全性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预决算信息公开性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公开</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资产管理规范性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规范</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绩效管理  </w:t>
            </w:r>
          </w:p>
        </w:tc>
        <w:tc>
          <w:tcPr>
            <w:tcW w:w="2198"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绩效目标编制完成率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绩效自评完成率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部门绩效评价完成率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评价结果应用率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重点工作任务完成</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燃气管道更新改造</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100个/小区</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履职目标实现</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我区100个小区户内外燃气 管道等更新改造</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履职效益</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提高群众获得幸福感</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有效提高</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直接服务对象满意度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48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51"/>
        <w:gridCol w:w="2614"/>
        <w:gridCol w:w="915"/>
        <w:gridCol w:w="870"/>
        <w:gridCol w:w="735"/>
        <w:gridCol w:w="461"/>
        <w:gridCol w:w="615"/>
        <w:gridCol w:w="780"/>
        <w:gridCol w:w="1750"/>
        <w:gridCol w:w="1620"/>
        <w:gridCol w:w="1080"/>
        <w:gridCol w:w="705"/>
        <w:gridCol w:w="825"/>
        <w:gridCol w:w="7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jc w:val="center"/>
        </w:trPr>
        <w:tc>
          <w:tcPr>
            <w:tcW w:w="14876"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4876"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2024年部门预算项目绩效目标汇总表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4876"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单位编码（项目编码）</w:t>
            </w:r>
          </w:p>
        </w:tc>
        <w:tc>
          <w:tcPr>
            <w:tcW w:w="2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 （项目名称）</w:t>
            </w:r>
          </w:p>
        </w:tc>
        <w:tc>
          <w:tcPr>
            <w:tcW w:w="29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项目金额（万元）</w:t>
            </w:r>
          </w:p>
        </w:tc>
        <w:tc>
          <w:tcPr>
            <w:tcW w:w="81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8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成本指标</w:t>
            </w:r>
          </w:p>
        </w:tc>
        <w:tc>
          <w:tcPr>
            <w:tcW w:w="3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资金总额</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政府预算资金</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jc w:val="center"/>
        </w:trPr>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80.66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80.66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202001</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新乡市卫滨区城市管理局本级</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410703220000000016835</w:t>
            </w:r>
          </w:p>
        </w:tc>
        <w:tc>
          <w:tcPr>
            <w:tcW w:w="2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数字城管网运转费</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项目总成本</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≤24.64万元</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通信线路</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实现市容监督管理网格化</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项目受益群众满意度</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城管通数量</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“数字城管”网络信息双向传递</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通信运转费支付时效</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2023年8月1日前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jc w:val="center"/>
        </w:trPr>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410703220000000035606</w:t>
            </w:r>
          </w:p>
        </w:tc>
        <w:tc>
          <w:tcPr>
            <w:tcW w:w="2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公厕工程款（与成都千成万建筑工程有限公司第八分公司建筑工程纠纷所需资金）</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项目总成本</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≤62.16万元</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公厕数量</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5座</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改善我区居民如厕环境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项目受益群众满意度</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公厕质量达标率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资金支付完成时间</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2024年12月底前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202002</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新乡市卫滨区市政公用事业服务中心</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1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410703240000000042803</w:t>
            </w:r>
          </w:p>
        </w:tc>
        <w:tc>
          <w:tcPr>
            <w:tcW w:w="2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关于下达拆墙透绿奖补资金的通知</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拆墙透绿奖补资金</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≤86600元</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拆墙透绿任务数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完成任务数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使城市绿化率提高</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保证拆墙透绿任务完成</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全部完成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1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在12月底之前完成</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jc w:val="center"/>
        </w:trPr>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202002</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新乡市卫滨区市政公用事业服务中心</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410703240000000042802</w:t>
            </w:r>
          </w:p>
        </w:tc>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新财预【2023】207号关于下达拆墙透绿奖补资金的通知</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RlYzU3ZmUxYzY5MTkyMGU2ODI2ZTk2ZmQyZGQwYjE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58F2"/>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1C8C"/>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B3F29"/>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B32499"/>
    <w:rsid w:val="04E82E5D"/>
    <w:rsid w:val="04EB0D09"/>
    <w:rsid w:val="057366F5"/>
    <w:rsid w:val="0615654E"/>
    <w:rsid w:val="06C47767"/>
    <w:rsid w:val="08EE5446"/>
    <w:rsid w:val="09E907EB"/>
    <w:rsid w:val="0CEF2B00"/>
    <w:rsid w:val="0FA90872"/>
    <w:rsid w:val="10547DB9"/>
    <w:rsid w:val="10CC62E9"/>
    <w:rsid w:val="11A825AE"/>
    <w:rsid w:val="123705B9"/>
    <w:rsid w:val="13910C45"/>
    <w:rsid w:val="13FB422F"/>
    <w:rsid w:val="145C6F17"/>
    <w:rsid w:val="14E804E7"/>
    <w:rsid w:val="15B925CF"/>
    <w:rsid w:val="169267C0"/>
    <w:rsid w:val="175F3CA6"/>
    <w:rsid w:val="17767D2A"/>
    <w:rsid w:val="19FB7D8E"/>
    <w:rsid w:val="1A5B6391"/>
    <w:rsid w:val="1A61467A"/>
    <w:rsid w:val="1B9430C3"/>
    <w:rsid w:val="1C686BEF"/>
    <w:rsid w:val="1C7012F4"/>
    <w:rsid w:val="1CB36A70"/>
    <w:rsid w:val="1F9B6F21"/>
    <w:rsid w:val="209B625B"/>
    <w:rsid w:val="219D5072"/>
    <w:rsid w:val="221D378B"/>
    <w:rsid w:val="22294365"/>
    <w:rsid w:val="22796BD4"/>
    <w:rsid w:val="25E2722C"/>
    <w:rsid w:val="2632703B"/>
    <w:rsid w:val="26595612"/>
    <w:rsid w:val="2A37305D"/>
    <w:rsid w:val="2AD76DF3"/>
    <w:rsid w:val="2C1A4849"/>
    <w:rsid w:val="33ED7470"/>
    <w:rsid w:val="343D3BEB"/>
    <w:rsid w:val="365B3B1A"/>
    <w:rsid w:val="368469FD"/>
    <w:rsid w:val="37A34A15"/>
    <w:rsid w:val="37BF1123"/>
    <w:rsid w:val="39063762"/>
    <w:rsid w:val="399C7E17"/>
    <w:rsid w:val="39D92970"/>
    <w:rsid w:val="3BD07B55"/>
    <w:rsid w:val="3BD4180B"/>
    <w:rsid w:val="3D440195"/>
    <w:rsid w:val="3FAE2155"/>
    <w:rsid w:val="41555E67"/>
    <w:rsid w:val="435E58B6"/>
    <w:rsid w:val="43CC70A2"/>
    <w:rsid w:val="47D755C8"/>
    <w:rsid w:val="480E1D32"/>
    <w:rsid w:val="48201F82"/>
    <w:rsid w:val="49444771"/>
    <w:rsid w:val="497A4422"/>
    <w:rsid w:val="4BAC1AC0"/>
    <w:rsid w:val="4C7813AD"/>
    <w:rsid w:val="4CDA2801"/>
    <w:rsid w:val="4D723338"/>
    <w:rsid w:val="4F917FC6"/>
    <w:rsid w:val="501B68C6"/>
    <w:rsid w:val="508D27A6"/>
    <w:rsid w:val="510D0E91"/>
    <w:rsid w:val="5115798C"/>
    <w:rsid w:val="51C51D65"/>
    <w:rsid w:val="5236524B"/>
    <w:rsid w:val="55381AB4"/>
    <w:rsid w:val="579D29FC"/>
    <w:rsid w:val="57C60097"/>
    <w:rsid w:val="59156B87"/>
    <w:rsid w:val="59412E10"/>
    <w:rsid w:val="59642F2F"/>
    <w:rsid w:val="59AA14E0"/>
    <w:rsid w:val="59E52906"/>
    <w:rsid w:val="5AA211B6"/>
    <w:rsid w:val="5AD918CF"/>
    <w:rsid w:val="5AF554D4"/>
    <w:rsid w:val="5BBD7986"/>
    <w:rsid w:val="5C2F77C1"/>
    <w:rsid w:val="5CB70498"/>
    <w:rsid w:val="5CBA3AE4"/>
    <w:rsid w:val="5D1412C6"/>
    <w:rsid w:val="5E211941"/>
    <w:rsid w:val="5ED512CA"/>
    <w:rsid w:val="600E40C9"/>
    <w:rsid w:val="604E3D2F"/>
    <w:rsid w:val="610B36C1"/>
    <w:rsid w:val="62200402"/>
    <w:rsid w:val="62A55CA5"/>
    <w:rsid w:val="6468013A"/>
    <w:rsid w:val="649C46F2"/>
    <w:rsid w:val="6643017F"/>
    <w:rsid w:val="6711176C"/>
    <w:rsid w:val="67254250"/>
    <w:rsid w:val="69100770"/>
    <w:rsid w:val="694202B1"/>
    <w:rsid w:val="6B14138E"/>
    <w:rsid w:val="6C7E38C1"/>
    <w:rsid w:val="6CDE499F"/>
    <w:rsid w:val="70652020"/>
    <w:rsid w:val="71A9298B"/>
    <w:rsid w:val="72BD29C0"/>
    <w:rsid w:val="73022327"/>
    <w:rsid w:val="73722F12"/>
    <w:rsid w:val="73CB561A"/>
    <w:rsid w:val="748B06D6"/>
    <w:rsid w:val="762A388D"/>
    <w:rsid w:val="76CC200E"/>
    <w:rsid w:val="7789230E"/>
    <w:rsid w:val="779C1699"/>
    <w:rsid w:val="797F6F0E"/>
    <w:rsid w:val="79DC6ADA"/>
    <w:rsid w:val="7B0E49A9"/>
    <w:rsid w:val="7B9B28DB"/>
    <w:rsid w:val="7C4A603E"/>
    <w:rsid w:val="7D1744CA"/>
    <w:rsid w:val="7D1D18E6"/>
    <w:rsid w:val="7DC47EB1"/>
    <w:rsid w:val="7E152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customStyle="1" w:styleId="8">
    <w:name w:val="样式3"/>
    <w:basedOn w:val="1"/>
    <w:link w:val="9"/>
    <w:qFormat/>
    <w:uiPriority w:val="99"/>
    <w:pPr>
      <w:jc w:val="center"/>
    </w:pPr>
    <w:rPr>
      <w:rFonts w:ascii="方正小标宋简体" w:hAnsi="方正小标宋简体" w:eastAsia="仿宋" w:cs="方正小标宋简体"/>
      <w:sz w:val="28"/>
      <w:szCs w:val="52"/>
    </w:rPr>
  </w:style>
  <w:style w:type="character" w:customStyle="1" w:styleId="9">
    <w:name w:val="样式3 Char"/>
    <w:basedOn w:val="7"/>
    <w:link w:val="8"/>
    <w:qFormat/>
    <w:locked/>
    <w:uiPriority w:val="99"/>
    <w:rPr>
      <w:rFonts w:ascii="方正小标宋简体" w:hAnsi="方正小标宋简体" w:eastAsia="仿宋" w:cs="方正小标宋简体"/>
      <w:kern w:val="2"/>
      <w:sz w:val="28"/>
      <w:szCs w:val="52"/>
    </w:rPr>
  </w:style>
  <w:style w:type="character" w:customStyle="1" w:styleId="10">
    <w:name w:val="页脚 字符"/>
    <w:basedOn w:val="7"/>
    <w:link w:val="3"/>
    <w:qFormat/>
    <w:uiPriority w:val="0"/>
    <w:rPr>
      <w:rFonts w:ascii="Calibri" w:hAnsi="Calibri"/>
      <w:kern w:val="2"/>
      <w:sz w:val="18"/>
      <w:szCs w:val="18"/>
    </w:rPr>
  </w:style>
  <w:style w:type="character" w:customStyle="1" w:styleId="11">
    <w:name w:val="页眉 字符"/>
    <w:basedOn w:val="7"/>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10</TotalTime>
  <ScaleCrop>false</ScaleCrop>
  <LinksUpToDate>false</LinksUpToDate>
  <CharactersWithSpaces>14413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2024-03-21T07:14:00Z</cp:lastPrinted>
  <dcterms:modified xsi:type="dcterms:W3CDTF">2024-03-22T00:18:17Z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C6D45140CB9C40BA8885CAA2EB2A15FF</vt:lpwstr>
  </property>
</Properties>
</file>