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8364"/>
        </w:tabs>
        <w:kinsoku w:val="0"/>
        <w:overflowPunct w:val="0"/>
        <w:adjustRightInd w:val="0"/>
        <w:snapToGrid w:val="0"/>
        <w:spacing w:line="360" w:lineRule="auto"/>
        <w:ind w:left="101" w:right="42" w:firstLine="1040" w:firstLineChars="200"/>
        <w:jc w:val="center"/>
        <w:rPr>
          <w:rFonts w:hint="eastAsia" w:ascii="黑体" w:hAnsi="黑体" w:eastAsia="黑体"/>
          <w:sz w:val="52"/>
          <w:szCs w:val="52"/>
          <w:highlight w:val="none"/>
        </w:rPr>
      </w:pPr>
    </w:p>
    <w:p>
      <w:pPr>
        <w:tabs>
          <w:tab w:val="left" w:pos="8364"/>
        </w:tabs>
        <w:kinsoku w:val="0"/>
        <w:overflowPunct w:val="0"/>
        <w:adjustRightInd w:val="0"/>
        <w:snapToGrid w:val="0"/>
        <w:spacing w:line="360" w:lineRule="auto"/>
        <w:ind w:left="101" w:right="42" w:firstLine="1040" w:firstLineChars="200"/>
        <w:jc w:val="center"/>
        <w:rPr>
          <w:rFonts w:ascii="黑体" w:hAnsi="黑体" w:eastAsia="黑体"/>
          <w:sz w:val="52"/>
          <w:szCs w:val="52"/>
          <w:highlight w:val="none"/>
        </w:rPr>
      </w:pPr>
    </w:p>
    <w:p>
      <w:pPr>
        <w:tabs>
          <w:tab w:val="left" w:pos="8364"/>
        </w:tabs>
        <w:kinsoku w:val="0"/>
        <w:overflowPunct w:val="0"/>
        <w:adjustRightInd w:val="0"/>
        <w:snapToGrid w:val="0"/>
        <w:spacing w:line="560" w:lineRule="exact"/>
        <w:ind w:left="101" w:right="42" w:firstLine="1040" w:firstLineChars="200"/>
        <w:jc w:val="center"/>
        <w:rPr>
          <w:rFonts w:ascii="黑体" w:hAnsi="黑体" w:eastAsia="黑体"/>
          <w:sz w:val="52"/>
          <w:szCs w:val="52"/>
          <w:highlight w:val="none"/>
        </w:rPr>
      </w:pPr>
    </w:p>
    <w:p>
      <w:pPr>
        <w:jc w:val="center"/>
        <w:rPr>
          <w:rFonts w:ascii="宋体" w:hAnsi="宋体"/>
          <w:sz w:val="84"/>
          <w:szCs w:val="84"/>
          <w:highlight w:val="red"/>
        </w:rPr>
      </w:pPr>
      <w:r>
        <w:rPr>
          <w:rFonts w:hint="eastAsia" w:ascii="方正小标宋简体" w:hAnsi="方正小标宋简体" w:eastAsia="方正小标宋简体" w:cs="方正小标宋简体"/>
          <w:sz w:val="44"/>
          <w:szCs w:val="44"/>
          <w:highlight w:val="none"/>
          <w:lang w:val="en-US" w:eastAsia="zh-CN"/>
        </w:rPr>
        <w:t>新乡市卫滨区城市管理局本级2024年度   单位预算</w:t>
      </w:r>
    </w:p>
    <w:p>
      <w:pPr>
        <w:kinsoku w:val="0"/>
        <w:overflowPunct w:val="0"/>
        <w:adjustRightInd w:val="0"/>
        <w:snapToGrid w:val="0"/>
        <w:spacing w:line="560" w:lineRule="exact"/>
        <w:ind w:left="-142" w:right="51" w:firstLine="58" w:firstLineChars="7"/>
        <w:jc w:val="center"/>
        <w:rPr>
          <w:rFonts w:hint="eastAsia" w:ascii="黑体" w:hAnsi="Times New Roman" w:eastAsia="黑体" w:cs="黑体"/>
          <w:sz w:val="84"/>
          <w:szCs w:val="84"/>
        </w:rPr>
      </w:pPr>
    </w:p>
    <w:p>
      <w:pPr>
        <w:kinsoku w:val="0"/>
        <w:overflowPunct w:val="0"/>
        <w:adjustRightInd w:val="0"/>
        <w:snapToGrid w:val="0"/>
        <w:spacing w:line="560" w:lineRule="exact"/>
        <w:ind w:left="-142" w:right="51" w:firstLine="39" w:firstLineChars="7"/>
        <w:jc w:val="center"/>
        <w:rPr>
          <w:rFonts w:hint="eastAsia" w:ascii="黑体" w:hAnsi="Times New Roman" w:eastAsia="仿宋_GB2312" w:cs="黑体"/>
          <w:sz w:val="56"/>
          <w:szCs w:val="56"/>
          <w:lang w:val="en-US" w:eastAsia="zh-CN"/>
        </w:rPr>
      </w:pPr>
    </w:p>
    <w:p>
      <w:pPr>
        <w:kinsoku w:val="0"/>
        <w:overflowPunct w:val="0"/>
        <w:adjustRightInd w:val="0"/>
        <w:snapToGrid w:val="0"/>
        <w:spacing w:line="560" w:lineRule="exact"/>
        <w:ind w:left="-142" w:right="51" w:firstLine="39" w:firstLineChars="7"/>
        <w:jc w:val="center"/>
        <w:rPr>
          <w:rFonts w:hint="eastAsia" w:ascii="黑体" w:hAnsi="Times New Roman" w:eastAsia="仿宋_GB2312" w:cs="黑体"/>
          <w:sz w:val="56"/>
          <w:szCs w:val="56"/>
          <w:lang w:val="en-US" w:eastAsia="zh-CN"/>
        </w:rPr>
      </w:pPr>
    </w:p>
    <w:p>
      <w:pPr>
        <w:kinsoku w:val="0"/>
        <w:overflowPunct w:val="0"/>
        <w:adjustRightInd w:val="0"/>
        <w:snapToGrid w:val="0"/>
        <w:spacing w:line="560" w:lineRule="exact"/>
        <w:ind w:left="-142" w:right="51" w:firstLine="39" w:firstLineChars="7"/>
        <w:jc w:val="center"/>
        <w:rPr>
          <w:rFonts w:hint="eastAsia" w:ascii="黑体" w:hAnsi="Times New Roman" w:eastAsia="仿宋_GB2312" w:cs="黑体"/>
          <w:sz w:val="56"/>
          <w:szCs w:val="56"/>
          <w:lang w:val="en-US" w:eastAsia="zh-CN"/>
        </w:rPr>
      </w:pPr>
    </w:p>
    <w:p>
      <w:pPr>
        <w:kinsoku w:val="0"/>
        <w:overflowPunct w:val="0"/>
        <w:adjustRightInd w:val="0"/>
        <w:snapToGrid w:val="0"/>
        <w:spacing w:line="560" w:lineRule="exact"/>
        <w:ind w:left="-142" w:right="51" w:firstLine="39" w:firstLineChars="7"/>
        <w:jc w:val="center"/>
        <w:rPr>
          <w:rFonts w:hint="eastAsia"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jc w:val="center"/>
        <w:rPr>
          <w:rFonts w:hint="eastAsia" w:ascii="方正小标宋简体" w:hAnsi="方正小标宋简体" w:eastAsia="方正小标宋简体" w:cs="方正小标宋简体"/>
          <w:sz w:val="44"/>
          <w:szCs w:val="44"/>
          <w:highlight w:val="red"/>
          <w:lang w:val="en" w:eastAsia="zh-CN"/>
        </w:rPr>
      </w:pPr>
      <w:r>
        <w:rPr>
          <w:rFonts w:hint="eastAsia" w:ascii="方正小标宋简体" w:hAnsi="方正小标宋简体" w:eastAsia="方正小标宋简体" w:cs="方正小标宋简体"/>
          <w:sz w:val="44"/>
          <w:szCs w:val="44"/>
          <w:highlight w:val="none"/>
          <w:lang w:val="en" w:eastAsia="zh-CN"/>
        </w:rPr>
        <w:t>二〇二四年三月</w:t>
      </w: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keepNext w:val="0"/>
        <w:keepLines w:val="0"/>
        <w:pageBreakBefore w:val="0"/>
        <w:widowControl w:val="0"/>
        <w:wordWrap/>
        <w:topLinePunct w:val="0"/>
        <w:bidi w:val="0"/>
        <w:spacing w:line="360" w:lineRule="auto"/>
        <w:ind w:firstLine="640" w:firstLineChars="200"/>
        <w:textAlignment w:val="auto"/>
        <w:rPr>
          <w:rFonts w:hint="eastAsia" w:ascii="仿宋_GB2312" w:hAnsi="黑体" w:eastAsia="仿宋_GB2312"/>
          <w:sz w:val="32"/>
          <w:szCs w:val="32"/>
          <w:highlight w:val="red"/>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r>
        <w:rPr>
          <w:rFonts w:hint="eastAsia" w:ascii="黑体" w:hAnsi="Times New Roman" w:eastAsia="黑体" w:cs="黑体"/>
          <w:sz w:val="56"/>
          <w:szCs w:val="56"/>
        </w:rPr>
        <w:t>目 录</w:t>
      </w:r>
    </w:p>
    <w:p>
      <w:pPr>
        <w:kinsoku w:val="0"/>
        <w:overflowPunct w:val="0"/>
        <w:adjustRightInd w:val="0"/>
        <w:snapToGrid w:val="0"/>
        <w:spacing w:line="560" w:lineRule="exact"/>
        <w:ind w:right="51" w:firstLine="3360" w:firstLineChars="600"/>
        <w:rPr>
          <w:rFonts w:ascii="黑体" w:hAnsi="Times New Roman" w:eastAsia="黑体" w:cs="黑体"/>
          <w:sz w:val="56"/>
          <w:szCs w:val="56"/>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rPr>
      </w:pPr>
      <w:r>
        <w:rPr>
          <w:rFonts w:hint="eastAsia" w:ascii="黑体" w:hAnsi="黑体" w:eastAsia="黑体" w:cs="黑体"/>
          <w:sz w:val="32"/>
          <w:szCs w:val="32"/>
        </w:rPr>
        <w:t>第一部分 新乡市卫滨区</w:t>
      </w:r>
      <w:r>
        <w:rPr>
          <w:rFonts w:hint="eastAsia" w:ascii="黑体" w:hAnsi="黑体" w:eastAsia="黑体" w:cs="黑体"/>
          <w:sz w:val="32"/>
          <w:szCs w:val="32"/>
          <w:lang w:val="en-US" w:eastAsia="zh-CN"/>
        </w:rPr>
        <w:t>城市管理局</w:t>
      </w:r>
      <w:r>
        <w:rPr>
          <w:rFonts w:hint="eastAsia" w:ascii="黑体" w:hAnsi="黑体" w:eastAsia="黑体" w:cs="黑体"/>
          <w:sz w:val="32"/>
          <w:szCs w:val="32"/>
        </w:rPr>
        <w:t>概况</w:t>
      </w:r>
    </w:p>
    <w:p>
      <w:pPr>
        <w:keepNext w:val="0"/>
        <w:keepLines w:val="0"/>
        <w:pageBreakBefore w:val="0"/>
        <w:widowControl w:val="0"/>
        <w:kinsoku w:val="0"/>
        <w:wordWrap/>
        <w:overflowPunct w:val="0"/>
        <w:topLinePunct w:val="0"/>
        <w:bidi w:val="0"/>
        <w:adjustRightInd w:val="0"/>
        <w:snapToGrid w:val="0"/>
        <w:spacing w:line="360" w:lineRule="auto"/>
        <w:ind w:right="3566" w:firstLine="640" w:firstLineChars="200"/>
        <w:jc w:val="left"/>
        <w:textAlignment w:val="auto"/>
        <w:rPr>
          <w:rFonts w:ascii="仿宋_GB2312" w:hAnsi="Times New Roman" w:eastAsia="仿宋_GB2312" w:cs="仿宋_GB2312"/>
          <w:sz w:val="32"/>
          <w:szCs w:val="32"/>
        </w:rPr>
      </w:pPr>
      <w:r>
        <w:rPr>
          <w:rFonts w:hint="eastAsia" w:ascii="仿宋_GB2312" w:hAnsi="Times New Roman" w:eastAsia="仿宋_GB2312" w:cs="仿宋_GB2312"/>
          <w:sz w:val="32"/>
          <w:szCs w:val="32"/>
        </w:rPr>
        <w:t>一、主要职能</w:t>
      </w:r>
    </w:p>
    <w:p>
      <w:pPr>
        <w:keepNext w:val="0"/>
        <w:keepLines w:val="0"/>
        <w:pageBreakBefore w:val="0"/>
        <w:widowControl w:val="0"/>
        <w:kinsoku w:val="0"/>
        <w:wordWrap/>
        <w:overflowPunct w:val="0"/>
        <w:topLinePunct w:val="0"/>
        <w:bidi w:val="0"/>
        <w:adjustRightInd w:val="0"/>
        <w:snapToGrid w:val="0"/>
        <w:spacing w:line="360" w:lineRule="auto"/>
        <w:ind w:right="3566" w:firstLine="640" w:firstLineChars="200"/>
        <w:jc w:val="left"/>
        <w:textAlignment w:val="auto"/>
        <w:rPr>
          <w:rFonts w:ascii="仿宋_GB2312" w:hAnsi="Times New Roman" w:eastAsia="仿宋_GB2312" w:cs="仿宋_GB2312"/>
          <w:sz w:val="32"/>
          <w:szCs w:val="32"/>
        </w:rPr>
      </w:pPr>
      <w:r>
        <w:rPr>
          <w:rFonts w:hint="eastAsia" w:ascii="仿宋_GB2312" w:hAnsi="Times New Roman" w:eastAsia="仿宋_GB2312" w:cs="仿宋_GB2312"/>
          <w:sz w:val="32"/>
          <w:szCs w:val="32"/>
        </w:rPr>
        <w:t>二、</w:t>
      </w:r>
      <w:r>
        <w:rPr>
          <w:rFonts w:ascii="仿宋_GB2312" w:hAnsi="Times New Roman" w:eastAsia="仿宋_GB2312" w:cs="仿宋_GB2312"/>
          <w:sz w:val="32"/>
          <w:szCs w:val="32"/>
        </w:rPr>
        <w:t>部门</w:t>
      </w:r>
      <w:r>
        <w:rPr>
          <w:rFonts w:hint="eastAsia" w:ascii="仿宋_GB2312" w:hAnsi="Times New Roman" w:eastAsia="仿宋_GB2312" w:cs="仿宋_GB2312"/>
          <w:sz w:val="32"/>
          <w:szCs w:val="32"/>
        </w:rPr>
        <w:t>所属</w:t>
      </w:r>
      <w:r>
        <w:rPr>
          <w:rFonts w:ascii="仿宋_GB2312" w:hAnsi="Times New Roman" w:eastAsia="仿宋_GB2312" w:cs="仿宋_GB2312"/>
          <w:sz w:val="32"/>
          <w:szCs w:val="32"/>
        </w:rPr>
        <w:t>预算单位</w:t>
      </w:r>
      <w:r>
        <w:rPr>
          <w:rFonts w:hint="eastAsia" w:ascii="仿宋_GB2312" w:hAnsi="Times New Roman" w:eastAsia="仿宋_GB2312" w:cs="仿宋_GB2312"/>
          <w:sz w:val="32"/>
          <w:szCs w:val="32"/>
        </w:rPr>
        <w:t>构成情况</w:t>
      </w:r>
    </w:p>
    <w:p>
      <w:pPr>
        <w:keepNext w:val="0"/>
        <w:keepLines w:val="0"/>
        <w:pageBreakBefore w:val="0"/>
        <w:widowControl w:val="0"/>
        <w:kinsoku w:val="0"/>
        <w:wordWrap/>
        <w:overflowPunct w:val="0"/>
        <w:topLinePunct w:val="0"/>
        <w:bidi w:val="0"/>
        <w:adjustRightInd w:val="0"/>
        <w:snapToGrid w:val="0"/>
        <w:spacing w:line="360" w:lineRule="auto"/>
        <w:ind w:right="521" w:firstLine="640" w:firstLineChars="200"/>
        <w:textAlignment w:val="auto"/>
        <w:rPr>
          <w:rFonts w:hint="eastAsia" w:ascii="黑体" w:hAnsi="Times New Roman" w:eastAsia="黑体" w:cs="黑体"/>
          <w:w w:val="99"/>
          <w:sz w:val="32"/>
          <w:szCs w:val="32"/>
        </w:rPr>
      </w:pPr>
      <w:r>
        <w:rPr>
          <w:rFonts w:hint="eastAsia" w:ascii="黑体" w:hAnsi="Times New Roman" w:eastAsia="黑体" w:cs="黑体"/>
          <w:sz w:val="32"/>
          <w:szCs w:val="32"/>
        </w:rPr>
        <w:t>第二部分 新乡市</w:t>
      </w:r>
      <w:r>
        <w:rPr>
          <w:rFonts w:hint="eastAsia" w:ascii="黑体" w:hAnsi="黑体" w:eastAsia="黑体" w:cs="黑体"/>
          <w:sz w:val="32"/>
          <w:szCs w:val="32"/>
        </w:rPr>
        <w:t>卫滨区</w:t>
      </w:r>
      <w:r>
        <w:rPr>
          <w:rFonts w:hint="eastAsia" w:ascii="黑体" w:hAnsi="黑体" w:eastAsia="黑体" w:cs="黑体"/>
          <w:sz w:val="32"/>
          <w:szCs w:val="32"/>
          <w:lang w:val="en-US" w:eastAsia="zh-CN"/>
        </w:rPr>
        <w:t>城市管理局</w:t>
      </w:r>
      <w:r>
        <w:rPr>
          <w:rFonts w:hint="default" w:ascii="Times New Roman" w:hAnsi="Times New Roman" w:eastAsia="黑体" w:cs="Times New Roman"/>
          <w:spacing w:val="-119"/>
          <w:sz w:val="32"/>
          <w:szCs w:val="32"/>
        </w:rPr>
        <w:t xml:space="preserve"> </w:t>
      </w:r>
      <w:r>
        <w:rPr>
          <w:rFonts w:hint="default" w:ascii="黑体" w:hAnsi="Times New Roman" w:eastAsia="黑体" w:cs="黑体"/>
          <w:sz w:val="32"/>
          <w:szCs w:val="32"/>
        </w:rPr>
        <w:t>202</w:t>
      </w:r>
      <w:r>
        <w:rPr>
          <w:rFonts w:hint="eastAsia" w:ascii="黑体" w:hAnsi="Times New Roman" w:eastAsia="黑体" w:cs="黑体"/>
          <w:sz w:val="32"/>
          <w:szCs w:val="32"/>
          <w:lang w:val="en-US" w:eastAsia="zh-CN"/>
        </w:rPr>
        <w:t>4</w:t>
      </w:r>
      <w:r>
        <w:rPr>
          <w:rFonts w:hint="eastAsia" w:ascii="黑体" w:hAnsi="Times New Roman" w:eastAsia="黑体" w:cs="黑体"/>
          <w:sz w:val="32"/>
          <w:szCs w:val="32"/>
        </w:rPr>
        <w:t>年度</w:t>
      </w:r>
      <w:r>
        <w:rPr>
          <w:rFonts w:hint="eastAsia" w:ascii="黑体" w:hAnsi="Times New Roman" w:eastAsia="黑体" w:cs="黑体"/>
          <w:sz w:val="32"/>
          <w:szCs w:val="32"/>
          <w:lang w:val="en-US" w:eastAsia="zh-CN"/>
        </w:rPr>
        <w:t>单位</w:t>
      </w:r>
      <w:r>
        <w:rPr>
          <w:rFonts w:hint="eastAsia" w:ascii="黑体" w:hAnsi="Times New Roman" w:eastAsia="黑体" w:cs="黑体"/>
          <w:sz w:val="32"/>
          <w:szCs w:val="32"/>
        </w:rPr>
        <w:t>预算情况说明</w:t>
      </w:r>
      <w:r>
        <w:rPr>
          <w:rFonts w:ascii="黑体" w:hAnsi="Times New Roman" w:eastAsia="黑体" w:cs="黑体"/>
          <w:w w:val="99"/>
          <w:sz w:val="32"/>
          <w:szCs w:val="32"/>
        </w:rPr>
        <w:t xml:space="preserve"> </w:t>
      </w:r>
    </w:p>
    <w:p>
      <w:pPr>
        <w:keepNext w:val="0"/>
        <w:keepLines w:val="0"/>
        <w:pageBreakBefore w:val="0"/>
        <w:widowControl w:val="0"/>
        <w:kinsoku w:val="0"/>
        <w:wordWrap/>
        <w:overflowPunct w:val="0"/>
        <w:topLinePunct w:val="0"/>
        <w:bidi w:val="0"/>
        <w:adjustRightInd w:val="0"/>
        <w:snapToGrid w:val="0"/>
        <w:spacing w:line="360" w:lineRule="auto"/>
        <w:ind w:right="521" w:firstLine="640" w:firstLineChars="200"/>
        <w:textAlignment w:val="auto"/>
        <w:rPr>
          <w:rFonts w:hint="eastAsia" w:ascii="黑体" w:hAnsi="Times New Roman" w:eastAsia="黑体" w:cs="黑体"/>
          <w:w w:val="99"/>
          <w:sz w:val="32"/>
          <w:szCs w:val="32"/>
        </w:rPr>
      </w:pPr>
      <w:r>
        <w:rPr>
          <w:rFonts w:hint="eastAsia" w:ascii="仿宋_GB2312" w:hAnsi="黑体" w:eastAsia="仿宋_GB2312"/>
          <w:sz w:val="32"/>
          <w:szCs w:val="32"/>
        </w:rPr>
        <w:t>一、收入支出预算总体情况说明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黑体" w:eastAsia="仿宋_GB2312"/>
          <w:sz w:val="32"/>
          <w:szCs w:val="32"/>
        </w:rPr>
      </w:pPr>
      <w:r>
        <w:rPr>
          <w:rFonts w:hint="eastAsia" w:ascii="仿宋_GB2312" w:hAnsi="黑体" w:eastAsia="仿宋_GB2312"/>
          <w:sz w:val="32"/>
          <w:szCs w:val="32"/>
        </w:rPr>
        <w:t>二、收入预算总体情况说明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仿宋_GB2312" w:hAnsi="黑体" w:eastAsia="仿宋_GB2312"/>
          <w:sz w:val="32"/>
          <w:szCs w:val="32"/>
        </w:rPr>
        <w:t>三、支出预算总体情况说明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仿宋_GB2312" w:hAnsi="黑体" w:eastAsia="仿宋_GB2312"/>
          <w:sz w:val="32"/>
          <w:szCs w:val="32"/>
        </w:rPr>
        <w:t>四、财政拨款收入支出预算总体情况说明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仿宋_GB2312" w:hAnsi="黑体" w:eastAsia="仿宋_GB2312"/>
          <w:sz w:val="32"/>
          <w:szCs w:val="32"/>
        </w:rPr>
        <w:t>五、一般公共预算支出预算情况说明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仿宋_GB2312" w:hAnsi="Times New Roman" w:eastAsia="仿宋_GB2312" w:cs="黑体"/>
          <w:kern w:val="0"/>
          <w:sz w:val="32"/>
          <w:szCs w:val="32"/>
        </w:rPr>
        <w:t>六、一般公共预算基本和项目支出预算情况说明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仿宋_GB2312" w:hAnsi="Times New Roman" w:eastAsia="仿宋_GB2312" w:cs="黑体"/>
          <w:kern w:val="0"/>
          <w:sz w:val="32"/>
          <w:szCs w:val="32"/>
        </w:rPr>
        <w:t>七、政府性基金预算支出预算情况说明</w:t>
      </w:r>
    </w:p>
    <w:p>
      <w:pPr>
        <w:keepNext w:val="0"/>
        <w:keepLines w:val="0"/>
        <w:pageBreakBefore w:val="0"/>
        <w:widowControl w:val="0"/>
        <w:kinsoku w:val="0"/>
        <w:wordWrap/>
        <w:overflowPunct w:val="0"/>
        <w:topLinePunct w:val="0"/>
        <w:bidi w:val="0"/>
        <w:adjustRightInd w:val="0"/>
        <w:snapToGrid w:val="0"/>
        <w:spacing w:line="360" w:lineRule="auto"/>
        <w:ind w:right="521" w:firstLine="640" w:firstLineChars="200"/>
        <w:textAlignment w:val="auto"/>
        <w:rPr>
          <w:rFonts w:hint="eastAsia" w:ascii="仿宋_GB2312" w:hAnsi="Times New Roman" w:eastAsia="仿宋_GB2312" w:cs="黑体"/>
          <w:w w:val="99"/>
          <w:sz w:val="32"/>
          <w:szCs w:val="32"/>
        </w:rPr>
      </w:pPr>
      <w:r>
        <w:rPr>
          <w:rFonts w:hint="eastAsia" w:ascii="仿宋_GB2312" w:hAnsi="Times New Roman" w:eastAsia="仿宋_GB2312" w:cs="黑体"/>
          <w:kern w:val="0"/>
          <w:sz w:val="32"/>
          <w:szCs w:val="32"/>
        </w:rPr>
        <w:t>八、“三公”经费支出预算情况说明</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36" w:firstLineChars="200"/>
        <w:textAlignment w:val="auto"/>
        <w:rPr>
          <w:rFonts w:hint="eastAsia" w:ascii="仿宋_GB2312" w:hAnsi="宋体" w:eastAsia="仿宋_GB2312" w:cs="Courier New"/>
          <w:sz w:val="32"/>
          <w:szCs w:val="32"/>
        </w:rPr>
      </w:pPr>
      <w:r>
        <w:rPr>
          <w:rFonts w:hint="eastAsia" w:ascii="仿宋_GB2312" w:hAnsi="Times New Roman" w:eastAsia="仿宋_GB2312" w:cs="黑体"/>
          <w:spacing w:val="-1"/>
          <w:kern w:val="0"/>
          <w:sz w:val="32"/>
          <w:szCs w:val="32"/>
        </w:rPr>
        <w:t>九、其他重要事项的情况说明</w:t>
      </w:r>
    </w:p>
    <w:p>
      <w:pPr>
        <w:keepNext w:val="0"/>
        <w:keepLines w:val="0"/>
        <w:pageBreakBefore w:val="0"/>
        <w:widowControl w:val="0"/>
        <w:kinsoku w:val="0"/>
        <w:wordWrap/>
        <w:overflowPunct w:val="0"/>
        <w:topLinePunct w:val="0"/>
        <w:bidi w:val="0"/>
        <w:adjustRightInd w:val="0"/>
        <w:snapToGrid w:val="0"/>
        <w:spacing w:line="360" w:lineRule="auto"/>
        <w:ind w:right="521" w:firstLine="640" w:firstLineChars="200"/>
        <w:textAlignment w:val="auto"/>
        <w:rPr>
          <w:rFonts w:ascii="黑体" w:hAnsi="Times New Roman" w:eastAsia="黑体" w:cs="黑体"/>
          <w:sz w:val="32"/>
          <w:szCs w:val="32"/>
        </w:rPr>
      </w:pPr>
      <w:r>
        <w:rPr>
          <w:rFonts w:hint="eastAsia" w:ascii="黑体" w:hAnsi="Times New Roman" w:eastAsia="黑体" w:cs="黑体"/>
          <w:sz w:val="32"/>
          <w:szCs w:val="32"/>
        </w:rPr>
        <w:t xml:space="preserve">第三部分 </w:t>
      </w:r>
      <w:r>
        <w:rPr>
          <w:rFonts w:ascii="黑体" w:hAnsi="Times New Roman" w:eastAsia="黑体" w:cs="黑体"/>
          <w:spacing w:val="-32"/>
          <w:sz w:val="32"/>
          <w:szCs w:val="32"/>
        </w:rPr>
        <w:t xml:space="preserve"> </w:t>
      </w:r>
      <w:r>
        <w:rPr>
          <w:rFonts w:hint="eastAsia" w:ascii="黑体" w:hAnsi="Times New Roman" w:eastAsia="黑体" w:cs="黑体"/>
          <w:sz w:val="32"/>
          <w:szCs w:val="32"/>
        </w:rPr>
        <w:t>名词解释</w:t>
      </w:r>
    </w:p>
    <w:p>
      <w:pPr>
        <w:keepNext w:val="0"/>
        <w:keepLines w:val="0"/>
        <w:pageBreakBefore w:val="0"/>
        <w:widowControl w:val="0"/>
        <w:kinsoku w:val="0"/>
        <w:wordWrap/>
        <w:overflowPunct w:val="0"/>
        <w:topLinePunct w:val="0"/>
        <w:bidi w:val="0"/>
        <w:adjustRightInd w:val="0"/>
        <w:snapToGrid w:val="0"/>
        <w:spacing w:line="360" w:lineRule="auto"/>
        <w:ind w:firstLine="640" w:firstLineChars="200"/>
        <w:textAlignment w:val="auto"/>
        <w:rPr>
          <w:rFonts w:hint="eastAsia" w:ascii="黑体" w:hAnsi="Times New Roman" w:eastAsia="黑体" w:cs="黑体"/>
          <w:sz w:val="32"/>
          <w:szCs w:val="32"/>
        </w:rPr>
      </w:pPr>
      <w:r>
        <w:rPr>
          <w:rFonts w:hint="eastAsia" w:ascii="黑体" w:hAnsi="Times New Roman" w:eastAsia="黑体" w:cs="黑体"/>
          <w:sz w:val="32"/>
          <w:szCs w:val="32"/>
        </w:rPr>
        <w:t>附件：新乡市卫滨区</w:t>
      </w:r>
      <w:r>
        <w:rPr>
          <w:rFonts w:hint="eastAsia" w:ascii="黑体" w:hAnsi="Times New Roman" w:eastAsia="黑体" w:cs="黑体"/>
          <w:sz w:val="32"/>
          <w:szCs w:val="32"/>
          <w:lang w:val="en-US" w:eastAsia="zh-CN"/>
        </w:rPr>
        <w:t>城市管理局</w:t>
      </w:r>
      <w:r>
        <w:rPr>
          <w:rFonts w:hint="eastAsia" w:ascii="黑体" w:hAnsi="Times New Roman" w:eastAsia="黑体" w:cs="黑体"/>
          <w:sz w:val="32"/>
          <w:szCs w:val="32"/>
        </w:rPr>
        <w:t>本级</w:t>
      </w:r>
      <w:r>
        <w:rPr>
          <w:rFonts w:hint="default" w:ascii="Times New Roman" w:hAnsi="Times New Roman" w:eastAsia="黑体" w:cs="Times New Roman"/>
          <w:sz w:val="32"/>
          <w:szCs w:val="32"/>
        </w:rPr>
        <w:t>202</w:t>
      </w:r>
      <w:r>
        <w:rPr>
          <w:rFonts w:hint="eastAsia" w:ascii="Times New Roman" w:hAnsi="Times New Roman" w:eastAsia="黑体" w:cs="Times New Roman"/>
          <w:sz w:val="32"/>
          <w:szCs w:val="32"/>
          <w:lang w:val="en-US" w:eastAsia="zh-CN"/>
        </w:rPr>
        <w:t>4</w:t>
      </w:r>
      <w:r>
        <w:rPr>
          <w:rFonts w:hint="eastAsia" w:ascii="黑体" w:hAnsi="Times New Roman" w:eastAsia="黑体" w:cs="黑体"/>
          <w:sz w:val="32"/>
          <w:szCs w:val="32"/>
        </w:rPr>
        <w:t>年度</w:t>
      </w:r>
      <w:r>
        <w:rPr>
          <w:rFonts w:hint="eastAsia" w:ascii="黑体" w:hAnsi="Times New Roman" w:eastAsia="黑体" w:cs="黑体"/>
          <w:sz w:val="32"/>
          <w:szCs w:val="32"/>
          <w:lang w:val="en-US" w:eastAsia="zh-CN"/>
        </w:rPr>
        <w:t>单位</w:t>
      </w:r>
      <w:r>
        <w:rPr>
          <w:rFonts w:hint="eastAsia" w:ascii="黑体" w:hAnsi="Times New Roman" w:eastAsia="黑体" w:cs="黑体"/>
          <w:sz w:val="32"/>
          <w:szCs w:val="32"/>
        </w:rPr>
        <w:t>预算表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ascii="仿宋_GB2312" w:hAnsi="Times New Roman" w:eastAsia="仿宋_GB2312" w:cs="仿宋_GB2312"/>
          <w:sz w:val="32"/>
          <w:szCs w:val="32"/>
        </w:rPr>
      </w:pPr>
      <w:r>
        <w:rPr>
          <w:rFonts w:hint="eastAsia" w:ascii="仿宋_GB2312" w:hAnsi="Times New Roman" w:eastAsia="仿宋_GB2312" w:cs="仿宋_GB2312"/>
          <w:sz w:val="32"/>
          <w:szCs w:val="32"/>
        </w:rPr>
        <w:t>一、</w:t>
      </w:r>
      <w:r>
        <w:rPr>
          <w:rFonts w:hint="eastAsia" w:ascii="仿宋_GB2312" w:hAnsi="Times New Roman" w:eastAsia="仿宋_GB2312" w:cs="仿宋_GB2312"/>
          <w:sz w:val="32"/>
          <w:szCs w:val="32"/>
          <w:lang w:val="en-US" w:eastAsia="zh-CN"/>
        </w:rPr>
        <w:t>2024年部门收支预算表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二、202</w:t>
      </w:r>
      <w:r>
        <w:rPr>
          <w:rFonts w:hint="eastAsia" w:ascii="仿宋_GB2312" w:hAnsi="Times New Roman" w:eastAsia="仿宋_GB2312" w:cs="仿宋_GB2312"/>
          <w:sz w:val="32"/>
          <w:szCs w:val="32"/>
          <w:lang w:val="en-US" w:eastAsia="zh-CN"/>
        </w:rPr>
        <w:t>4</w:t>
      </w:r>
      <w:r>
        <w:rPr>
          <w:rFonts w:hint="eastAsia" w:ascii="仿宋_GB2312" w:hAnsi="Times New Roman" w:eastAsia="仿宋_GB2312" w:cs="仿宋_GB2312"/>
          <w:sz w:val="32"/>
          <w:szCs w:val="32"/>
        </w:rPr>
        <w:t>年部门收入预算表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三、202</w:t>
      </w:r>
      <w:r>
        <w:rPr>
          <w:rFonts w:hint="eastAsia" w:ascii="仿宋_GB2312" w:hAnsi="Times New Roman" w:eastAsia="仿宋_GB2312" w:cs="仿宋_GB2312"/>
          <w:sz w:val="32"/>
          <w:szCs w:val="32"/>
          <w:lang w:val="en-US" w:eastAsia="zh-CN"/>
        </w:rPr>
        <w:t>4</w:t>
      </w:r>
      <w:r>
        <w:rPr>
          <w:rFonts w:hint="eastAsia" w:ascii="仿宋_GB2312" w:hAnsi="Times New Roman" w:eastAsia="仿宋_GB2312" w:cs="仿宋_GB2312"/>
          <w:sz w:val="32"/>
          <w:szCs w:val="32"/>
        </w:rPr>
        <w:t>年部门支出预算表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四、202</w:t>
      </w:r>
      <w:r>
        <w:rPr>
          <w:rFonts w:hint="eastAsia" w:ascii="仿宋_GB2312" w:hAnsi="Times New Roman" w:eastAsia="仿宋_GB2312" w:cs="仿宋_GB2312"/>
          <w:sz w:val="32"/>
          <w:szCs w:val="32"/>
          <w:lang w:val="en-US" w:eastAsia="zh-CN"/>
        </w:rPr>
        <w:t>4</w:t>
      </w:r>
      <w:r>
        <w:rPr>
          <w:rFonts w:hint="eastAsia" w:ascii="仿宋_GB2312" w:hAnsi="Times New Roman" w:eastAsia="仿宋_GB2312" w:cs="仿宋_GB2312"/>
          <w:sz w:val="32"/>
          <w:szCs w:val="32"/>
        </w:rPr>
        <w:t>年财政拨款收支总体情况表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五、202</w:t>
      </w:r>
      <w:r>
        <w:rPr>
          <w:rFonts w:hint="eastAsia" w:ascii="仿宋_GB2312" w:hAnsi="Times New Roman" w:eastAsia="仿宋_GB2312" w:cs="仿宋_GB2312"/>
          <w:sz w:val="32"/>
          <w:szCs w:val="32"/>
          <w:lang w:val="en-US" w:eastAsia="zh-CN"/>
        </w:rPr>
        <w:t>4</w:t>
      </w:r>
      <w:r>
        <w:rPr>
          <w:rFonts w:hint="eastAsia" w:ascii="仿宋_GB2312" w:hAnsi="Times New Roman" w:eastAsia="仿宋_GB2312" w:cs="仿宋_GB2312"/>
          <w:sz w:val="32"/>
          <w:szCs w:val="32"/>
        </w:rPr>
        <w:t>年一般公共预算支出预算表</w:t>
      </w:r>
    </w:p>
    <w:p>
      <w:pPr>
        <w:keepNext w:val="0"/>
        <w:keepLines w:val="0"/>
        <w:pageBreakBefore w:val="0"/>
        <w:widowControl w:val="0"/>
        <w:numPr>
          <w:ilvl w:val="0"/>
          <w:numId w:val="1"/>
        </w:numPr>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一般公共预算基本支出表</w:t>
      </w:r>
    </w:p>
    <w:p>
      <w:pPr>
        <w:keepNext w:val="0"/>
        <w:keepLines w:val="0"/>
        <w:pageBreakBefore w:val="0"/>
        <w:widowControl w:val="0"/>
        <w:numPr>
          <w:ilvl w:val="0"/>
          <w:numId w:val="1"/>
        </w:numPr>
        <w:kinsoku w:val="0"/>
        <w:wordWrap/>
        <w:overflowPunct w:val="0"/>
        <w:topLinePunct w:val="0"/>
        <w:bidi w:val="0"/>
        <w:adjustRightInd w:val="0"/>
        <w:snapToGrid w:val="0"/>
        <w:spacing w:line="360" w:lineRule="auto"/>
        <w:ind w:right="51" w:firstLine="640" w:firstLineChars="200"/>
        <w:jc w:val="left"/>
        <w:textAlignment w:val="auto"/>
        <w:rPr>
          <w:rFonts w:ascii="仿宋_GB2312" w:hAnsi="Times New Roman" w:eastAsia="仿宋_GB2312" w:cs="仿宋_GB2312"/>
          <w:sz w:val="32"/>
          <w:szCs w:val="32"/>
        </w:rPr>
      </w:pPr>
      <w:r>
        <w:rPr>
          <w:rFonts w:hint="eastAsia" w:ascii="仿宋_GB2312" w:hAnsi="Times New Roman" w:eastAsia="仿宋_GB2312" w:cs="仿宋_GB2312"/>
          <w:sz w:val="32"/>
          <w:szCs w:val="32"/>
        </w:rPr>
        <w:t>202</w:t>
      </w:r>
      <w:r>
        <w:rPr>
          <w:rFonts w:hint="eastAsia" w:ascii="仿宋_GB2312" w:hAnsi="Times New Roman" w:eastAsia="仿宋_GB2312" w:cs="仿宋_GB2312"/>
          <w:sz w:val="32"/>
          <w:szCs w:val="32"/>
          <w:lang w:val="en-US" w:eastAsia="zh-CN"/>
        </w:rPr>
        <w:t>4</w:t>
      </w:r>
      <w:r>
        <w:rPr>
          <w:rFonts w:hint="eastAsia" w:ascii="仿宋_GB2312" w:hAnsi="Times New Roman" w:eastAsia="仿宋_GB2312" w:cs="仿宋_GB2312"/>
          <w:sz w:val="32"/>
          <w:szCs w:val="32"/>
        </w:rPr>
        <w:t>年支出经济分类汇总表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eastAsia="仿宋_GB2312"/>
          <w:sz w:val="32"/>
          <w:szCs w:val="32"/>
        </w:rPr>
      </w:pPr>
      <w:r>
        <w:rPr>
          <w:rFonts w:hint="eastAsia" w:ascii="仿宋_GB2312" w:hAnsi="Times New Roman" w:eastAsia="仿宋_GB2312" w:cs="仿宋_GB2312"/>
          <w:sz w:val="32"/>
          <w:szCs w:val="32"/>
        </w:rPr>
        <w:t>八、</w:t>
      </w: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年一般公共预算“三公”经费预算表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九、202</w:t>
      </w: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lang w:eastAsia="zh-CN"/>
        </w:rPr>
        <w:t>年政府性基金支出预算表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十、项目支出预算表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eastAsia="仿宋_GB2312"/>
          <w:sz w:val="32"/>
          <w:szCs w:val="32"/>
          <w:highlight w:val="none"/>
        </w:rPr>
      </w:pPr>
      <w:r>
        <w:rPr>
          <w:rFonts w:hint="eastAsia" w:ascii="仿宋_GB2312" w:eastAsia="仿宋_GB2312"/>
          <w:sz w:val="32"/>
          <w:szCs w:val="32"/>
          <w:highlight w:val="none"/>
        </w:rPr>
        <w:t>十一</w:t>
      </w:r>
      <w:r>
        <w:rPr>
          <w:rFonts w:hint="eastAsia" w:ascii="仿宋_GB2312" w:hAnsi="Times New Roman" w:eastAsia="仿宋_GB2312" w:cs="仿宋_GB2312"/>
          <w:sz w:val="32"/>
          <w:szCs w:val="32"/>
          <w:highlight w:val="none"/>
        </w:rPr>
        <w:t>、</w:t>
      </w:r>
      <w:r>
        <w:rPr>
          <w:rFonts w:hint="eastAsia" w:ascii="仿宋_GB2312" w:eastAsia="仿宋_GB2312"/>
          <w:sz w:val="32"/>
          <w:szCs w:val="32"/>
          <w:highlight w:val="none"/>
          <w:lang w:val="en-US" w:eastAsia="zh-CN"/>
        </w:rPr>
        <w:t>单位</w:t>
      </w:r>
      <w:r>
        <w:rPr>
          <w:rFonts w:hint="eastAsia" w:ascii="仿宋_GB2312" w:eastAsia="仿宋_GB2312"/>
          <w:sz w:val="32"/>
          <w:szCs w:val="32"/>
          <w:highlight w:val="none"/>
        </w:rPr>
        <w:t>整体绩效目标表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eastAsia="仿宋_GB2312"/>
          <w:sz w:val="32"/>
          <w:szCs w:val="32"/>
          <w:highlight w:val="red"/>
        </w:rPr>
      </w:pPr>
      <w:r>
        <w:rPr>
          <w:rFonts w:hint="eastAsia" w:ascii="仿宋_GB2312" w:eastAsia="仿宋_GB2312"/>
          <w:sz w:val="32"/>
          <w:szCs w:val="32"/>
          <w:highlight w:val="none"/>
        </w:rPr>
        <w:t>十二</w:t>
      </w:r>
      <w:r>
        <w:rPr>
          <w:rFonts w:hint="eastAsia" w:ascii="仿宋_GB2312" w:hAnsi="Times New Roman" w:eastAsia="仿宋_GB2312" w:cs="仿宋_GB2312"/>
          <w:sz w:val="32"/>
          <w:szCs w:val="32"/>
          <w:highlight w:val="none"/>
        </w:rPr>
        <w:t>、</w:t>
      </w:r>
      <w:r>
        <w:rPr>
          <w:rFonts w:hint="eastAsia" w:ascii="仿宋_GB2312" w:eastAsia="仿宋_GB2312"/>
          <w:sz w:val="32"/>
          <w:szCs w:val="32"/>
          <w:highlight w:val="none"/>
        </w:rPr>
        <w:t>202</w:t>
      </w: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rPr>
        <w:t>年</w:t>
      </w:r>
      <w:r>
        <w:rPr>
          <w:rFonts w:hint="eastAsia" w:ascii="仿宋_GB2312" w:eastAsia="仿宋_GB2312"/>
          <w:sz w:val="32"/>
          <w:szCs w:val="32"/>
          <w:highlight w:val="none"/>
          <w:lang w:val="en-US" w:eastAsia="zh-CN"/>
        </w:rPr>
        <w:t>单位</w:t>
      </w:r>
      <w:r>
        <w:rPr>
          <w:rFonts w:hint="eastAsia" w:ascii="仿宋_GB2312" w:eastAsia="仿宋_GB2312"/>
          <w:sz w:val="32"/>
          <w:szCs w:val="32"/>
          <w:highlight w:val="none"/>
        </w:rPr>
        <w:t>预算项目绩效目标汇总表</w:t>
      </w:r>
    </w:p>
    <w:p>
      <w:pPr>
        <w:keepNext w:val="0"/>
        <w:keepLines w:val="0"/>
        <w:pageBreakBefore w:val="0"/>
        <w:widowControl w:val="0"/>
        <w:wordWrap/>
        <w:topLinePunct w:val="0"/>
        <w:bidi w:val="0"/>
        <w:adjustRightInd w:val="0"/>
        <w:snapToGrid w:val="0"/>
        <w:spacing w:line="360" w:lineRule="auto"/>
        <w:ind w:firstLine="1120" w:firstLineChars="350"/>
        <w:textAlignment w:val="auto"/>
        <w:rPr>
          <w:rFonts w:hint="eastAsia" w:ascii="黑体" w:hAnsi="黑体" w:eastAsia="黑体"/>
          <w:sz w:val="32"/>
          <w:szCs w:val="32"/>
        </w:rPr>
      </w:pPr>
      <w:r>
        <w:rPr>
          <w:rFonts w:hint="eastAsia" w:ascii="黑体" w:hAnsi="黑体" w:eastAsia="黑体"/>
          <w:sz w:val="32"/>
          <w:szCs w:val="32"/>
        </w:rPr>
        <w:t xml:space="preserve"> </w:t>
      </w: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第一部分</w:t>
      </w: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新乡市卫滨区</w:t>
      </w:r>
      <w:r>
        <w:rPr>
          <w:rFonts w:hint="eastAsia" w:ascii="方正小标宋简体" w:hAnsi="方正小标宋简体" w:eastAsia="方正小标宋简体" w:cs="方正小标宋简体"/>
          <w:sz w:val="36"/>
          <w:szCs w:val="36"/>
          <w:lang w:val="en-US" w:eastAsia="zh-CN"/>
        </w:rPr>
        <w:t>城市管理局</w:t>
      </w:r>
      <w:r>
        <w:rPr>
          <w:rFonts w:hint="eastAsia" w:ascii="方正小标宋简体" w:hAnsi="方正小标宋简体" w:eastAsia="方正小标宋简体" w:cs="方正小标宋简体"/>
          <w:sz w:val="36"/>
          <w:szCs w:val="36"/>
        </w:rPr>
        <w:t>概况</w:t>
      </w: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numPr>
          <w:ilvl w:val="0"/>
          <w:numId w:val="2"/>
        </w:numPr>
        <w:wordWrap/>
        <w:topLinePunct w:val="0"/>
        <w:bidi w:val="0"/>
        <w:adjustRightInd w:val="0"/>
        <w:snapToGrid w:val="0"/>
        <w:spacing w:line="360" w:lineRule="auto"/>
        <w:textAlignment w:val="auto"/>
        <w:rPr>
          <w:rFonts w:hint="eastAsia" w:ascii="黑体" w:hAnsi="黑体" w:eastAsia="黑体"/>
          <w:sz w:val="32"/>
          <w:szCs w:val="32"/>
        </w:rPr>
      </w:pPr>
      <w:r>
        <w:rPr>
          <w:rFonts w:hint="eastAsia" w:ascii="黑体" w:hAnsi="Times New Roman" w:eastAsia="黑体" w:cs="黑体"/>
          <w:sz w:val="32"/>
          <w:szCs w:val="32"/>
        </w:rPr>
        <w:t>新乡市</w:t>
      </w:r>
      <w:r>
        <w:rPr>
          <w:rFonts w:hint="eastAsia" w:ascii="黑体" w:hAnsi="黑体" w:eastAsia="黑体" w:cs="黑体"/>
          <w:sz w:val="32"/>
          <w:szCs w:val="32"/>
        </w:rPr>
        <w:t>卫滨区</w:t>
      </w:r>
      <w:r>
        <w:rPr>
          <w:rFonts w:hint="eastAsia" w:ascii="黑体" w:hAnsi="黑体" w:eastAsia="黑体" w:cs="黑体"/>
          <w:sz w:val="32"/>
          <w:szCs w:val="32"/>
          <w:lang w:val="en-US" w:eastAsia="zh-CN"/>
        </w:rPr>
        <w:t>城市管理局</w:t>
      </w:r>
      <w:r>
        <w:rPr>
          <w:rFonts w:hint="eastAsia" w:ascii="黑体" w:hAnsi="黑体" w:eastAsia="黑体"/>
          <w:sz w:val="32"/>
          <w:szCs w:val="32"/>
        </w:rPr>
        <w:t>主要职责</w:t>
      </w:r>
    </w:p>
    <w:p>
      <w:pPr>
        <w:pStyle w:val="7"/>
        <w:widowControl/>
        <w:spacing w:line="600" w:lineRule="exact"/>
        <w:ind w:firstLine="620" w:firstLineChars="200"/>
        <w:jc w:val="both"/>
      </w:pPr>
      <w:r>
        <w:rPr>
          <w:rFonts w:ascii="仿宋_GB2312" w:eastAsia="仿宋_GB2312" w:cs="仿宋_GB2312"/>
          <w:color w:val="000000"/>
          <w:sz w:val="31"/>
          <w:szCs w:val="31"/>
        </w:rPr>
        <w:t>（一）贯彻执行国家、省、市有关城市管理方面的法律法规和政策，组织制定全区市容环境卫生、市政公用设施管理维护和园林绿化建设管理养护的长远规划和年度计划；拟订城市市容和环境卫生、市政公用设施管理维护和园林绿化建设管理养护的具体办法，报区政府批准后组织实施；参与制定城市总体规划中环境卫生、市政公用设施管理维护、园林绿化建设管理养护专业规划；负责全区城市管理工作的规划、计划、组织协调、监督检查。</w:t>
      </w:r>
    </w:p>
    <w:p>
      <w:pPr>
        <w:pStyle w:val="7"/>
        <w:widowControl/>
        <w:spacing w:line="600" w:lineRule="exact"/>
        <w:ind w:firstLine="620" w:firstLineChars="200"/>
        <w:jc w:val="both"/>
      </w:pPr>
      <w:r>
        <w:rPr>
          <w:rFonts w:ascii="仿宋_GB2312" w:eastAsia="仿宋_GB2312" w:cs="仿宋_GB2312"/>
          <w:color w:val="000000"/>
          <w:sz w:val="31"/>
          <w:szCs w:val="31"/>
        </w:rPr>
        <w:t>（二）负责辖区城市环境容貌治理、环境卫生、户外广告</w:t>
      </w:r>
      <w:r>
        <w:rPr>
          <w:rFonts w:ascii="仿宋_GB2312" w:hAnsi="仿宋_GB2312" w:eastAsia="仿宋_GB2312" w:cs="仿宋_GB2312"/>
          <w:bCs/>
          <w:sz w:val="32"/>
          <w:szCs w:val="32"/>
        </w:rPr>
        <w:t>（门头招牌）</w:t>
      </w:r>
      <w:r>
        <w:rPr>
          <w:rFonts w:ascii="仿宋_GB2312" w:eastAsia="仿宋_GB2312" w:cs="仿宋_GB2312"/>
          <w:color w:val="000000"/>
          <w:sz w:val="31"/>
          <w:szCs w:val="31"/>
        </w:rPr>
        <w:t>、建筑垃圾、城管监察的综合管理。负责对辖区城市生活垃圾处理的指导、协调和管理工作；负责组织全区性城市管理综合治理，对各镇、办事处和区直有关单位市容环境卫生工作进行监督、检查和指导。</w:t>
      </w:r>
    </w:p>
    <w:p>
      <w:pPr>
        <w:pStyle w:val="7"/>
        <w:widowControl/>
        <w:spacing w:line="600" w:lineRule="exact"/>
        <w:ind w:firstLine="620" w:firstLineChars="200"/>
        <w:jc w:val="both"/>
      </w:pPr>
      <w:r>
        <w:rPr>
          <w:rFonts w:ascii="仿宋_GB2312" w:eastAsia="仿宋_GB2312" w:cs="仿宋_GB2312"/>
          <w:sz w:val="31"/>
          <w:szCs w:val="31"/>
        </w:rPr>
        <w:t>（三）负责区级道路、路灯、城市排水、污水处理及城市供水、城镇燃气、集中供热等市政公用基础设施运行管理和特许经营管理工作；负责城区防汛排涝及“</w:t>
      </w:r>
      <w:r>
        <w:rPr>
          <w:rFonts w:hint="default" w:ascii="Times New Roman" w:hAnsi="Times New Roman"/>
          <w:sz w:val="31"/>
          <w:szCs w:val="31"/>
        </w:rPr>
        <w:t>12319</w:t>
      </w:r>
      <w:r>
        <w:rPr>
          <w:rFonts w:ascii="仿宋_GB2312" w:eastAsia="仿宋_GB2312" w:cs="仿宋_GB2312"/>
          <w:sz w:val="31"/>
          <w:szCs w:val="31"/>
        </w:rPr>
        <w:t>”热线工作。</w:t>
      </w:r>
    </w:p>
    <w:p>
      <w:pPr>
        <w:pStyle w:val="7"/>
        <w:widowControl/>
        <w:spacing w:line="600" w:lineRule="exact"/>
        <w:ind w:firstLine="620" w:firstLineChars="200"/>
        <w:jc w:val="both"/>
      </w:pPr>
      <w:r>
        <w:rPr>
          <w:rFonts w:ascii="仿宋_GB2312" w:eastAsia="仿宋_GB2312" w:cs="仿宋_GB2312"/>
          <w:sz w:val="31"/>
          <w:szCs w:val="31"/>
        </w:rPr>
        <w:t>（四）负责辖区园林绿化的行业管理和指导，及生态园林城市、园林城市创建和园林绿化管理等工作。</w:t>
      </w:r>
    </w:p>
    <w:p>
      <w:pPr>
        <w:pStyle w:val="7"/>
        <w:widowControl/>
        <w:spacing w:line="600" w:lineRule="exact"/>
        <w:ind w:firstLine="620" w:firstLineChars="200"/>
        <w:jc w:val="both"/>
      </w:pPr>
      <w:r>
        <w:rPr>
          <w:rFonts w:ascii="仿宋_GB2312" w:eastAsia="仿宋_GB2312" w:cs="仿宋_GB2312"/>
          <w:color w:val="000000"/>
          <w:sz w:val="31"/>
          <w:szCs w:val="31"/>
        </w:rPr>
        <w:t>（五）负责辖区城市综合执法工作的综合管理、指挥协调、监督检查、教育培训、考核评价，按照城市管理的需要制定不同时期工作目标和政策。</w:t>
      </w:r>
    </w:p>
    <w:p>
      <w:pPr>
        <w:pStyle w:val="7"/>
        <w:widowControl/>
        <w:spacing w:line="600" w:lineRule="exact"/>
        <w:ind w:firstLine="620" w:firstLineChars="200"/>
        <w:jc w:val="both"/>
      </w:pPr>
      <w:r>
        <w:rPr>
          <w:rFonts w:ascii="仿宋_GB2312" w:eastAsia="仿宋_GB2312" w:cs="仿宋_GB2312"/>
          <w:color w:val="000000"/>
          <w:sz w:val="31"/>
          <w:szCs w:val="31"/>
        </w:rPr>
        <w:t>（六）负责对辖区环境卫生设施拆迁处置及对从事城市生活废弃物收集、运输、清扫、处置专业的单位、个人的资质进行审查和监督管理；负责对辖区范围内户外广告</w:t>
      </w:r>
      <w:r>
        <w:rPr>
          <w:rFonts w:ascii="仿宋_GB2312" w:hAnsi="仿宋_GB2312" w:eastAsia="仿宋_GB2312" w:cs="仿宋_GB2312"/>
          <w:bCs/>
          <w:sz w:val="32"/>
          <w:szCs w:val="32"/>
        </w:rPr>
        <w:t>（门头招牌）</w:t>
      </w:r>
      <w:r>
        <w:rPr>
          <w:rFonts w:ascii="仿宋_GB2312" w:eastAsia="仿宋_GB2312" w:cs="仿宋_GB2312"/>
          <w:color w:val="000000"/>
          <w:sz w:val="31"/>
          <w:szCs w:val="31"/>
        </w:rPr>
        <w:t>设置的审批和管理；负责指导辖区城市公共停车场运行管理。</w:t>
      </w:r>
    </w:p>
    <w:p>
      <w:pPr>
        <w:pStyle w:val="7"/>
        <w:widowControl/>
        <w:spacing w:line="600" w:lineRule="exact"/>
        <w:ind w:firstLine="620" w:firstLineChars="200"/>
        <w:jc w:val="both"/>
      </w:pPr>
      <w:r>
        <w:rPr>
          <w:rFonts w:ascii="仿宋_GB2312" w:eastAsia="仿宋_GB2312" w:cs="仿宋_GB2312"/>
          <w:sz w:val="31"/>
          <w:szCs w:val="31"/>
        </w:rPr>
        <w:t>（七）负责全区环卫设施建设维修、市政基础设施管理维护、园林绿化建设管理养护专项资金的计划、监督、使用和管理。负责环卫设施建设维修、市政基础设施管理维护、园林绿化建设管理养护任务量的核定，维修养护管理经费的定额使用和管理；负责环卫设施建设维修、市政基础设施管理维护、园林绿化建设管理养护作业市场的综合管理和维修管理养护队伍的资质审查；负责协调、组织、监督环卫设施建设维修、市政基础设施管理维护、园林绿化建设管理养护作业任务的招标、管理、质量检查和考核工作；负责环卫、市政基础设施、园林绿化管理养护对外经济技术合作和股权融资、项目引资工作。</w:t>
      </w:r>
    </w:p>
    <w:p>
      <w:pPr>
        <w:pStyle w:val="7"/>
        <w:widowControl/>
        <w:spacing w:line="600" w:lineRule="exact"/>
        <w:ind w:firstLine="620" w:firstLineChars="200"/>
        <w:jc w:val="both"/>
      </w:pPr>
      <w:r>
        <w:rPr>
          <w:rFonts w:ascii="仿宋_GB2312" w:eastAsia="仿宋_GB2312" w:cs="仿宋_GB2312"/>
          <w:color w:val="000000"/>
          <w:sz w:val="31"/>
          <w:szCs w:val="31"/>
        </w:rPr>
        <w:t>（八）贯彻国家、省、市有关实施数字化城管的规定、标准，拟订本区实施数字化城管的实施方案和制度，并组织实施；负责对数字化城管工作的指导、协调和监督考核；承担区城市管理委员会办公室的日常工作。</w:t>
      </w:r>
    </w:p>
    <w:p>
      <w:pPr>
        <w:pStyle w:val="7"/>
        <w:widowControl/>
        <w:spacing w:line="600" w:lineRule="exact"/>
        <w:ind w:firstLine="620" w:firstLineChars="200"/>
        <w:jc w:val="both"/>
      </w:pPr>
      <w:r>
        <w:rPr>
          <w:rFonts w:ascii="仿宋_GB2312" w:eastAsia="仿宋_GB2312" w:cs="仿宋_GB2312"/>
          <w:color w:val="000000"/>
          <w:sz w:val="31"/>
          <w:szCs w:val="31"/>
        </w:rPr>
        <w:t>（九）负责辖区内餐饮服务业油烟污染防治的监督管理工作。</w:t>
      </w:r>
    </w:p>
    <w:p>
      <w:pPr>
        <w:pStyle w:val="7"/>
        <w:widowControl/>
        <w:spacing w:line="600" w:lineRule="exact"/>
        <w:ind w:firstLine="620" w:firstLineChars="200"/>
        <w:jc w:val="both"/>
      </w:pPr>
      <w:r>
        <w:rPr>
          <w:rFonts w:ascii="仿宋_GB2312" w:eastAsia="仿宋_GB2312" w:cs="仿宋_GB2312"/>
          <w:color w:val="000000"/>
          <w:sz w:val="31"/>
          <w:szCs w:val="31"/>
        </w:rPr>
        <w:t>（十）负责对辖区互联网租赁自行车停放秩序的监督管理工作。</w:t>
      </w:r>
    </w:p>
    <w:p>
      <w:pPr>
        <w:pStyle w:val="7"/>
        <w:widowControl/>
        <w:spacing w:line="600" w:lineRule="exact"/>
        <w:ind w:firstLine="620" w:firstLineChars="200"/>
        <w:jc w:val="both"/>
      </w:pPr>
      <w:r>
        <w:rPr>
          <w:rFonts w:ascii="仿宋_GB2312" w:eastAsia="仿宋_GB2312" w:cs="仿宋_GB2312"/>
          <w:color w:val="000000"/>
          <w:sz w:val="31"/>
          <w:szCs w:val="31"/>
        </w:rPr>
        <w:t>（十一）负责住房和城乡建设领域法律、法规、规章规定全部的行政处罚工作；负责环境保护管理方面社会噪声污染、建筑施工噪声污染、建筑施工扬尘污染、餐饮服务业油烟污染、露天烧烤污染、城市焚烧沥青塑料垃圾等烟尘和恶臭污染、城市露天焚烧秸秆、落叶等烟尘污染、燃放烟花爆竹污染的行政处罚工作；负责工商管理方面户外公共场所无照经营、违规设置户外广告</w:t>
      </w:r>
      <w:r>
        <w:rPr>
          <w:rFonts w:ascii="仿宋_GB2312" w:hAnsi="仿宋_GB2312" w:eastAsia="仿宋_GB2312" w:cs="仿宋_GB2312"/>
          <w:bCs/>
          <w:sz w:val="32"/>
          <w:szCs w:val="32"/>
        </w:rPr>
        <w:t>（门头招牌）</w:t>
      </w:r>
      <w:r>
        <w:rPr>
          <w:rFonts w:ascii="仿宋_GB2312" w:eastAsia="仿宋_GB2312" w:cs="仿宋_GB2312"/>
          <w:color w:val="000000"/>
          <w:sz w:val="31"/>
          <w:szCs w:val="31"/>
        </w:rPr>
        <w:t>的行政处罚工作；负责水务管理方面向城市河道倾倒废弃物和垃圾及违规取土、城市河道违法建筑物拆除等的行政处罚工作；负责食品药品监管方面户外公共场所食品销售和餐饮摊点无证经营以及违规回收贩卖药品等的行政处罚；负责侵占城市道路、违法停放车辆的行政处罚工作。实施与上述范围内法律、法规规定的行政处罚权有关的行政强制措施。</w:t>
      </w:r>
    </w:p>
    <w:p>
      <w:pPr>
        <w:pStyle w:val="7"/>
        <w:widowControl/>
        <w:spacing w:line="600" w:lineRule="exact"/>
        <w:ind w:firstLine="620" w:firstLineChars="200"/>
        <w:jc w:val="both"/>
      </w:pPr>
      <w:r>
        <w:rPr>
          <w:rFonts w:ascii="仿宋_GB2312" w:eastAsia="仿宋_GB2312" w:cs="仿宋_GB2312"/>
          <w:color w:val="000000"/>
          <w:sz w:val="31"/>
          <w:szCs w:val="31"/>
        </w:rPr>
        <w:t>（十二）对各镇、办事处的城市管理和综合执法工作进行业务指导、组织协调、监督检查。</w:t>
      </w:r>
    </w:p>
    <w:p>
      <w:pPr>
        <w:pStyle w:val="7"/>
        <w:widowControl/>
        <w:spacing w:line="600" w:lineRule="exact"/>
        <w:ind w:firstLine="620" w:firstLineChars="200"/>
        <w:jc w:val="both"/>
      </w:pPr>
      <w:r>
        <w:rPr>
          <w:rFonts w:ascii="仿宋_GB2312" w:eastAsia="仿宋_GB2312" w:cs="仿宋_GB2312"/>
          <w:color w:val="000000"/>
          <w:sz w:val="31"/>
          <w:szCs w:val="31"/>
        </w:rPr>
        <w:t>（十三）完成区委、区政府交办的其他事项。</w:t>
      </w:r>
    </w:p>
    <w:p>
      <w:pPr>
        <w:pStyle w:val="10"/>
        <w:keepNext w:val="0"/>
        <w:keepLines w:val="0"/>
        <w:pageBreakBefore w:val="0"/>
        <w:widowControl w:val="0"/>
        <w:wordWrap/>
        <w:topLinePunct w:val="0"/>
        <w:bidi w:val="0"/>
        <w:spacing w:line="360" w:lineRule="auto"/>
        <w:ind w:firstLine="640" w:firstLineChars="200"/>
        <w:jc w:val="both"/>
        <w:textAlignment w:val="auto"/>
        <w:rPr>
          <w:rFonts w:hint="eastAsia" w:ascii="黑体" w:hAnsi="黑体" w:eastAsia="黑体" w:cs="黑体"/>
          <w:sz w:val="32"/>
          <w:szCs w:val="32"/>
          <w:highlight w:val="red"/>
          <w:lang w:eastAsia="zh-CN"/>
        </w:rPr>
      </w:pPr>
      <w:r>
        <w:rPr>
          <w:rFonts w:hint="eastAsia" w:ascii="仿宋_GB2312" w:hAnsi="宋体" w:eastAsia="仿宋_GB2312" w:cs="Courier New"/>
          <w:sz w:val="32"/>
          <w:szCs w:val="32"/>
        </w:rPr>
        <w:t xml:space="preserve"> </w:t>
      </w:r>
      <w:r>
        <w:rPr>
          <w:rFonts w:hint="eastAsia" w:ascii="黑体" w:hAnsi="黑体" w:eastAsia="黑体" w:cs="黑体"/>
          <w:sz w:val="32"/>
          <w:szCs w:val="32"/>
          <w:highlight w:val="none"/>
          <w:lang w:eastAsia="zh-CN"/>
        </w:rPr>
        <w:t>二、</w:t>
      </w:r>
      <w:r>
        <w:rPr>
          <w:rFonts w:hint="eastAsia" w:ascii="黑体" w:hAnsi="Times New Roman" w:eastAsia="黑体" w:cs="黑体"/>
          <w:sz w:val="32"/>
          <w:szCs w:val="32"/>
        </w:rPr>
        <w:t>新乡市</w:t>
      </w:r>
      <w:r>
        <w:rPr>
          <w:rFonts w:hint="eastAsia" w:ascii="黑体" w:hAnsi="黑体" w:eastAsia="黑体" w:cs="黑体"/>
          <w:sz w:val="32"/>
          <w:szCs w:val="32"/>
          <w:highlight w:val="none"/>
        </w:rPr>
        <w:t>卫滨区</w:t>
      </w:r>
      <w:r>
        <w:rPr>
          <w:rFonts w:hint="eastAsia" w:ascii="黑体" w:hAnsi="黑体" w:eastAsia="黑体" w:cs="黑体"/>
          <w:sz w:val="32"/>
          <w:szCs w:val="32"/>
          <w:highlight w:val="none"/>
          <w:lang w:val="en-US" w:eastAsia="zh-CN"/>
        </w:rPr>
        <w:t>城市管理局</w:t>
      </w:r>
      <w:r>
        <w:rPr>
          <w:rFonts w:hint="eastAsia" w:ascii="黑体" w:hAnsi="黑体" w:eastAsia="黑体"/>
          <w:sz w:val="32"/>
          <w:szCs w:val="32"/>
          <w:highlight w:val="none"/>
        </w:rPr>
        <w:t>单位构成</w:t>
      </w:r>
    </w:p>
    <w:p>
      <w:pPr>
        <w:spacing w:line="360" w:lineRule="auto"/>
        <w:ind w:firstLine="640" w:firstLineChars="200"/>
        <w:jc w:val="left"/>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年度卫滨区城管局</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预算包括局本级预算</w:t>
      </w:r>
      <w:r>
        <w:rPr>
          <w:rFonts w:hint="eastAsia" w:ascii="仿宋_GB2312" w:hAnsi="仿宋_GB2312" w:eastAsia="仿宋_GB2312" w:cs="仿宋_GB2312"/>
          <w:sz w:val="32"/>
          <w:szCs w:val="32"/>
          <w:lang w:eastAsia="zh-CN"/>
        </w:rPr>
        <w:t>。</w:t>
      </w:r>
    </w:p>
    <w:p>
      <w:pPr>
        <w:ind w:firstLine="640" w:firstLineChars="200"/>
        <w:rPr>
          <w:rFonts w:hint="eastAsia" w:ascii="Times New Roman" w:hAnsi="Times New Roman" w:eastAsia="仿宋_GB2312"/>
          <w:sz w:val="32"/>
          <w:szCs w:val="32"/>
        </w:rPr>
      </w:pPr>
      <w:r>
        <w:rPr>
          <w:rFonts w:hint="eastAsia" w:ascii="仿宋_GB2312" w:hAnsi="仿宋_GB2312" w:eastAsia="仿宋_GB2312" w:cs="仿宋_GB2312"/>
          <w:sz w:val="32"/>
          <w:szCs w:val="32"/>
        </w:rPr>
        <w:t>新乡市卫滨区城市管理局设下列内设机构：</w:t>
      </w:r>
      <w:r>
        <w:rPr>
          <w:rFonts w:ascii="Times New Roman" w:hAnsi="仿宋_GB2312" w:eastAsia="仿宋_GB2312"/>
          <w:sz w:val="32"/>
          <w:szCs w:val="32"/>
        </w:rPr>
        <w:t>办公室（政策法规室、</w:t>
      </w:r>
      <w:r>
        <w:rPr>
          <w:rFonts w:hint="eastAsia" w:ascii="仿宋_GB2312" w:eastAsia="仿宋_GB2312" w:cs="仿宋_GB2312"/>
          <w:color w:val="000000"/>
          <w:sz w:val="31"/>
          <w:szCs w:val="31"/>
        </w:rPr>
        <w:t>市容监管科</w:t>
      </w:r>
      <w:r>
        <w:rPr>
          <w:rFonts w:ascii="Times New Roman" w:hAnsi="仿宋_GB2312" w:eastAsia="仿宋_GB2312"/>
          <w:sz w:val="32"/>
          <w:szCs w:val="32"/>
        </w:rPr>
        <w:t>）</w:t>
      </w:r>
      <w:r>
        <w:rPr>
          <w:rFonts w:hint="eastAsia" w:ascii="仿宋_GB2312" w:hAnsi="仿宋_GB2312" w:eastAsia="仿宋_GB2312" w:cs="仿宋_GB2312"/>
          <w:sz w:val="32"/>
          <w:szCs w:val="32"/>
        </w:rPr>
        <w:t>、</w:t>
      </w:r>
      <w:r>
        <w:rPr>
          <w:rFonts w:ascii="Times New Roman" w:eastAsia="仿宋_GB2312"/>
          <w:sz w:val="32"/>
          <w:szCs w:val="32"/>
        </w:rPr>
        <w:t>城市综合管理室（</w:t>
      </w:r>
      <w:r>
        <w:rPr>
          <w:rFonts w:ascii="Times New Roman" w:hAnsi="仿宋_GB2312" w:eastAsia="仿宋_GB2312"/>
          <w:sz w:val="32"/>
          <w:szCs w:val="32"/>
        </w:rPr>
        <w:t>市容环境卫生管理室、市政</w:t>
      </w:r>
      <w:r>
        <w:rPr>
          <w:rFonts w:hint="eastAsia" w:ascii="Times New Roman" w:hAnsi="仿宋_GB2312" w:eastAsia="仿宋_GB2312"/>
          <w:sz w:val="32"/>
          <w:szCs w:val="32"/>
        </w:rPr>
        <w:t>园林</w:t>
      </w:r>
      <w:r>
        <w:rPr>
          <w:rFonts w:ascii="Times New Roman" w:hAnsi="仿宋_GB2312" w:eastAsia="仿宋_GB2312"/>
          <w:sz w:val="32"/>
          <w:szCs w:val="32"/>
        </w:rPr>
        <w:t>绿化</w:t>
      </w:r>
      <w:r>
        <w:rPr>
          <w:rFonts w:hint="eastAsia" w:ascii="Times New Roman" w:hAnsi="仿宋_GB2312" w:eastAsia="仿宋_GB2312"/>
          <w:sz w:val="32"/>
          <w:szCs w:val="32"/>
        </w:rPr>
        <w:t>公用事业</w:t>
      </w:r>
      <w:r>
        <w:rPr>
          <w:rFonts w:ascii="Times New Roman" w:hAnsi="仿宋_GB2312" w:eastAsia="仿宋_GB2312"/>
          <w:sz w:val="32"/>
          <w:szCs w:val="32"/>
        </w:rPr>
        <w:t>管理室</w:t>
      </w:r>
      <w:r>
        <w:rPr>
          <w:rFonts w:ascii="Times New Roman" w:eastAsia="仿宋_GB2312"/>
          <w:sz w:val="32"/>
          <w:szCs w:val="32"/>
        </w:rPr>
        <w:t>）</w:t>
      </w:r>
      <w:r>
        <w:rPr>
          <w:rFonts w:hint="eastAsia" w:ascii="Times New Roman" w:eastAsia="仿宋_GB2312"/>
          <w:sz w:val="32"/>
          <w:szCs w:val="32"/>
        </w:rPr>
        <w:t>。</w:t>
      </w:r>
    </w:p>
    <w:p>
      <w:pPr>
        <w:spacing w:line="360" w:lineRule="auto"/>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纳入本单位202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年度单位预算编制范围的单位共1个，具体是：</w:t>
      </w:r>
    </w:p>
    <w:p>
      <w:pPr>
        <w:numPr>
          <w:ilvl w:val="0"/>
          <w:numId w:val="3"/>
        </w:numPr>
        <w:spacing w:line="360" w:lineRule="auto"/>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新乡市卫滨区城市管理局本级</w:t>
      </w: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pacing w:val="-38"/>
          <w:sz w:val="36"/>
          <w:szCs w:val="36"/>
        </w:rPr>
      </w:pPr>
      <w:r>
        <w:rPr>
          <w:rFonts w:hint="eastAsia" w:ascii="方正小标宋简体" w:hAnsi="方正小标宋简体" w:eastAsia="方正小标宋简体" w:cs="方正小标宋简体"/>
          <w:sz w:val="36"/>
          <w:szCs w:val="36"/>
        </w:rPr>
        <w:t>第二部分</w:t>
      </w:r>
    </w:p>
    <w:p>
      <w:pPr>
        <w:keepNext w:val="0"/>
        <w:keepLines w:val="0"/>
        <w:pageBreakBefore w:val="0"/>
        <w:widowControl w:val="0"/>
        <w:wordWrap/>
        <w:topLinePunct w:val="0"/>
        <w:bidi w:val="0"/>
        <w:adjustRightInd w:val="0"/>
        <w:snapToGrid w:val="0"/>
        <w:spacing w:line="360" w:lineRule="auto"/>
        <w:ind w:firstLine="720" w:firstLineChars="200"/>
        <w:jc w:val="center"/>
        <w:textAlignment w:val="auto"/>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lang w:val="en-US" w:eastAsia="zh-CN"/>
        </w:rPr>
        <w:t>新乡市</w:t>
      </w:r>
      <w:r>
        <w:rPr>
          <w:rFonts w:hint="eastAsia" w:ascii="方正小标宋简体" w:hAnsi="方正小标宋简体" w:eastAsia="方正小标宋简体" w:cs="方正小标宋简体"/>
          <w:sz w:val="36"/>
          <w:szCs w:val="36"/>
        </w:rPr>
        <w:t>卫滨区</w:t>
      </w:r>
      <w:r>
        <w:rPr>
          <w:rFonts w:hint="eastAsia" w:ascii="方正小标宋简体" w:hAnsi="方正小标宋简体" w:eastAsia="方正小标宋简体" w:cs="方正小标宋简体"/>
          <w:sz w:val="36"/>
          <w:szCs w:val="36"/>
          <w:lang w:val="en-US" w:eastAsia="zh-CN"/>
        </w:rPr>
        <w:t>城市管理局</w:t>
      </w:r>
      <w:r>
        <w:rPr>
          <w:rFonts w:hint="eastAsia" w:ascii="方正小标宋简体" w:hAnsi="方正小标宋简体" w:eastAsia="方正小标宋简体" w:cs="方正小标宋简体"/>
          <w:sz w:val="36"/>
          <w:szCs w:val="36"/>
        </w:rPr>
        <w:t>202</w:t>
      </w:r>
      <w:r>
        <w:rPr>
          <w:rFonts w:hint="eastAsia" w:ascii="方正小标宋简体" w:hAnsi="方正小标宋简体" w:eastAsia="方正小标宋简体" w:cs="方正小标宋简体"/>
          <w:sz w:val="36"/>
          <w:szCs w:val="36"/>
          <w:lang w:val="en-US" w:eastAsia="zh-CN"/>
        </w:rPr>
        <w:t>4</w:t>
      </w:r>
      <w:r>
        <w:rPr>
          <w:rFonts w:hint="eastAsia" w:ascii="方正小标宋简体" w:hAnsi="方正小标宋简体" w:eastAsia="方正小标宋简体" w:cs="方正小标宋简体"/>
          <w:sz w:val="36"/>
          <w:szCs w:val="36"/>
        </w:rPr>
        <w:t>年度</w:t>
      </w:r>
      <w:r>
        <w:rPr>
          <w:rFonts w:hint="eastAsia" w:ascii="方正小标宋简体" w:hAnsi="方正小标宋简体" w:eastAsia="方正小标宋简体" w:cs="方正小标宋简体"/>
          <w:sz w:val="36"/>
          <w:szCs w:val="36"/>
          <w:lang w:val="en-US" w:eastAsia="zh-CN"/>
        </w:rPr>
        <w:t>单位</w:t>
      </w:r>
      <w:r>
        <w:rPr>
          <w:rFonts w:hint="eastAsia" w:ascii="方正小标宋简体" w:hAnsi="方正小标宋简体" w:eastAsia="方正小标宋简体" w:cs="方正小标宋简体"/>
          <w:sz w:val="36"/>
          <w:szCs w:val="36"/>
        </w:rPr>
        <w:t>预算情况说明</w:t>
      </w:r>
    </w:p>
    <w:p>
      <w:pPr>
        <w:keepNext w:val="0"/>
        <w:keepLines w:val="0"/>
        <w:pageBreakBefore w:val="0"/>
        <w:widowControl w:val="0"/>
        <w:wordWrap/>
        <w:topLinePunct w:val="0"/>
        <w:bidi w:val="0"/>
        <w:adjustRightInd w:val="0"/>
        <w:snapToGrid w:val="0"/>
        <w:spacing w:line="360" w:lineRule="auto"/>
        <w:ind w:firstLine="640" w:firstLineChars="200"/>
        <w:textAlignment w:val="auto"/>
        <w:rPr>
          <w:rFonts w:ascii="黑体" w:hAnsi="黑体" w:eastAsia="黑体"/>
          <w:sz w:val="32"/>
          <w:szCs w:val="32"/>
        </w:rPr>
      </w:pPr>
      <w:r>
        <w:rPr>
          <w:rFonts w:hint="eastAsia" w:ascii="黑体" w:hAnsi="黑体" w:eastAsia="黑体"/>
          <w:sz w:val="32"/>
          <w:szCs w:val="32"/>
        </w:rPr>
        <w:t>一、收入支出预算总体情况说明</w:t>
      </w:r>
    </w:p>
    <w:p>
      <w:pPr>
        <w:adjustRightInd w:val="0"/>
        <w:snapToGrid w:val="0"/>
        <w:spacing w:line="360" w:lineRule="auto"/>
        <w:ind w:firstLine="640" w:firstLineChars="200"/>
        <w:rPr>
          <w:rFonts w:ascii="仿宋_GB2312" w:hAnsi="宋体" w:eastAsia="仿宋_GB2312" w:cs="Courier New"/>
          <w:sz w:val="32"/>
          <w:szCs w:val="32"/>
        </w:rPr>
      </w:pPr>
      <w:r>
        <w:rPr>
          <w:rFonts w:hint="eastAsia" w:ascii="Times New Roman" w:hAnsi="Times New Roman" w:eastAsia="仿宋_GB2312" w:cs="Times New Roman"/>
          <w:sz w:val="32"/>
          <w:szCs w:val="32"/>
          <w:lang w:val="en-US" w:eastAsia="zh-CN"/>
        </w:rPr>
        <w:t>新乡市卫滨区城市管理局</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年收入总计</w:t>
      </w:r>
      <w:r>
        <w:rPr>
          <w:rFonts w:hint="eastAsia" w:ascii="Times New Roman" w:hAnsi="Times New Roman" w:eastAsia="仿宋_GB2312" w:cs="Times New Roman"/>
          <w:sz w:val="32"/>
          <w:szCs w:val="32"/>
          <w:lang w:val="en-US" w:eastAsia="zh-CN"/>
        </w:rPr>
        <w:t>410.94</w:t>
      </w:r>
      <w:r>
        <w:rPr>
          <w:rFonts w:hint="eastAsia" w:ascii="仿宋_GB2312" w:hAnsi="仿宋_GB2312" w:eastAsia="仿宋_GB2312" w:cs="仿宋_GB2312"/>
          <w:sz w:val="32"/>
          <w:szCs w:val="32"/>
        </w:rPr>
        <w:t>万元，支出总计</w:t>
      </w:r>
      <w:r>
        <w:rPr>
          <w:rFonts w:hint="eastAsia" w:ascii="Times New Roman" w:hAnsi="Times New Roman" w:eastAsia="仿宋_GB2312" w:cs="Times New Roman"/>
          <w:sz w:val="32"/>
          <w:szCs w:val="32"/>
          <w:lang w:val="en-US" w:eastAsia="zh-CN"/>
        </w:rPr>
        <w:t>410.94</w:t>
      </w:r>
      <w:r>
        <w:rPr>
          <w:rFonts w:hint="eastAsia" w:ascii="仿宋_GB2312" w:hAnsi="仿宋_GB2312" w:eastAsia="仿宋_GB2312" w:cs="仿宋_GB2312"/>
          <w:sz w:val="32"/>
          <w:szCs w:val="32"/>
        </w:rPr>
        <w:t>万元，与</w:t>
      </w: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eastAsia="zh-CN"/>
        </w:rPr>
        <w:t>预算</w:t>
      </w:r>
      <w:r>
        <w:rPr>
          <w:rFonts w:hint="eastAsia" w:ascii="仿宋_GB2312" w:hAnsi="仿宋_GB2312" w:eastAsia="仿宋_GB2312" w:cs="仿宋_GB2312"/>
          <w:sz w:val="32"/>
          <w:szCs w:val="32"/>
        </w:rPr>
        <w:t>相比，收</w:t>
      </w:r>
      <w:r>
        <w:rPr>
          <w:rFonts w:hint="eastAsia" w:ascii="仿宋_GB2312" w:hAnsi="仿宋_GB2312" w:eastAsia="仿宋_GB2312" w:cs="仿宋_GB2312"/>
          <w:sz w:val="32"/>
          <w:szCs w:val="32"/>
          <w:lang w:eastAsia="zh-CN"/>
        </w:rPr>
        <w:t>入</w:t>
      </w:r>
      <w:r>
        <w:rPr>
          <w:rFonts w:hint="eastAsia" w:ascii="仿宋_GB2312" w:hAnsi="仿宋_GB2312" w:eastAsia="仿宋_GB2312" w:cs="仿宋_GB2312"/>
          <w:sz w:val="32"/>
          <w:szCs w:val="32"/>
        </w:rPr>
        <w:t>减少</w:t>
      </w:r>
      <w:r>
        <w:rPr>
          <w:rFonts w:hint="default" w:ascii="Times New Roman" w:hAnsi="Times New Roman" w:eastAsia="仿宋_GB2312" w:cs="Times New Roman"/>
          <w:sz w:val="32"/>
          <w:szCs w:val="32"/>
          <w:lang w:val="en-US" w:eastAsia="zh-CN"/>
        </w:rPr>
        <w:t>1359.92</w:t>
      </w:r>
      <w:r>
        <w:rPr>
          <w:rFonts w:hint="eastAsia" w:ascii="仿宋_GB2312" w:hAnsi="仿宋_GB2312" w:eastAsia="仿宋_GB2312" w:cs="仿宋_GB2312"/>
          <w:sz w:val="32"/>
          <w:szCs w:val="32"/>
        </w:rPr>
        <w:t>万元，下降</w:t>
      </w:r>
      <w:r>
        <w:rPr>
          <w:rFonts w:hint="eastAsia" w:ascii="Times New Roman" w:hAnsi="Times New Roman" w:eastAsia="仿宋_GB2312" w:cs="Times New Roman"/>
          <w:sz w:val="32"/>
          <w:szCs w:val="32"/>
          <w:lang w:val="en-US" w:eastAsia="zh-CN"/>
        </w:rPr>
        <w:t>76.79</w:t>
      </w:r>
      <w:r>
        <w:rPr>
          <w:rFonts w:hint="eastAsia" w:ascii="仿宋_GB2312" w:hAnsi="仿宋_GB2312" w:eastAsia="仿宋_GB2312" w:cs="仿宋_GB2312"/>
          <w:sz w:val="32"/>
          <w:szCs w:val="32"/>
        </w:rPr>
        <w:t>%。主要原因是</w:t>
      </w:r>
      <w:r>
        <w:rPr>
          <w:rFonts w:hint="eastAsia" w:ascii="仿宋_GB2312" w:hAnsi="仿宋_GB2312" w:eastAsia="仿宋_GB2312" w:cs="仿宋_GB2312"/>
          <w:sz w:val="32"/>
          <w:szCs w:val="32"/>
          <w:lang w:val="en-US" w:eastAsia="zh-CN"/>
        </w:rPr>
        <w:t>减少</w:t>
      </w:r>
      <w:r>
        <w:rPr>
          <w:rFonts w:hint="eastAsia" w:ascii="仿宋_GB2312" w:hAnsi="仿宋_GB2312" w:eastAsia="仿宋_GB2312" w:cs="仿宋_GB2312"/>
          <w:sz w:val="32"/>
          <w:szCs w:val="32"/>
        </w:rPr>
        <w:t>了燃气管道更新改造项目</w:t>
      </w:r>
      <w:r>
        <w:rPr>
          <w:rFonts w:hint="eastAsia" w:ascii="仿宋_GB2312" w:hAnsi="仿宋_GB2312" w:eastAsia="仿宋_GB2312" w:cs="仿宋_GB2312"/>
          <w:sz w:val="32"/>
          <w:szCs w:val="32"/>
          <w:lang w:val="en-US" w:eastAsia="zh-CN"/>
        </w:rPr>
        <w:t>资金;</w:t>
      </w:r>
      <w:r>
        <w:rPr>
          <w:rFonts w:hint="eastAsia" w:ascii="仿宋_GB2312" w:hAnsi="仿宋_GB2312" w:eastAsia="仿宋_GB2312" w:cs="仿宋_GB2312"/>
          <w:sz w:val="32"/>
          <w:szCs w:val="32"/>
          <w:lang w:eastAsia="zh-CN"/>
        </w:rPr>
        <w:t>支出</w:t>
      </w:r>
      <w:r>
        <w:rPr>
          <w:rFonts w:hint="eastAsia" w:ascii="仿宋_GB2312" w:hAnsi="仿宋_GB2312" w:eastAsia="仿宋_GB2312" w:cs="仿宋_GB2312"/>
          <w:sz w:val="32"/>
          <w:szCs w:val="32"/>
        </w:rPr>
        <w:t>减少</w:t>
      </w:r>
      <w:r>
        <w:rPr>
          <w:rFonts w:hint="default" w:ascii="Times New Roman" w:hAnsi="Times New Roman" w:eastAsia="仿宋_GB2312" w:cs="Times New Roman"/>
          <w:sz w:val="32"/>
          <w:szCs w:val="32"/>
          <w:lang w:val="en-US" w:eastAsia="zh-CN"/>
        </w:rPr>
        <w:t>1359.92</w:t>
      </w:r>
      <w:r>
        <w:rPr>
          <w:rFonts w:hint="eastAsia" w:ascii="仿宋_GB2312" w:hAnsi="仿宋_GB2312" w:eastAsia="仿宋_GB2312" w:cs="仿宋_GB2312"/>
          <w:sz w:val="32"/>
          <w:szCs w:val="32"/>
        </w:rPr>
        <w:t>万元，增下降</w:t>
      </w:r>
      <w:r>
        <w:rPr>
          <w:rFonts w:hint="eastAsia" w:ascii="Times New Roman" w:hAnsi="Times New Roman" w:eastAsia="仿宋_GB2312" w:cs="Times New Roman"/>
          <w:sz w:val="32"/>
          <w:szCs w:val="32"/>
          <w:lang w:val="en-US" w:eastAsia="zh-CN"/>
        </w:rPr>
        <w:t>76.79</w:t>
      </w:r>
      <w:r>
        <w:rPr>
          <w:rFonts w:hint="eastAsia" w:ascii="仿宋_GB2312" w:hAnsi="仿宋_GB2312" w:eastAsia="仿宋_GB2312" w:cs="仿宋_GB2312"/>
          <w:sz w:val="32"/>
          <w:szCs w:val="32"/>
        </w:rPr>
        <w:t>%。主要原因是</w:t>
      </w:r>
      <w:r>
        <w:rPr>
          <w:rFonts w:hint="eastAsia" w:ascii="仿宋_GB2312" w:hAnsi="仿宋_GB2312" w:eastAsia="仿宋_GB2312" w:cs="仿宋_GB2312"/>
          <w:sz w:val="32"/>
          <w:szCs w:val="32"/>
          <w:lang w:val="en-US" w:eastAsia="zh-CN"/>
        </w:rPr>
        <w:t>减少</w:t>
      </w:r>
      <w:r>
        <w:rPr>
          <w:rFonts w:hint="eastAsia" w:ascii="仿宋_GB2312" w:hAnsi="仿宋_GB2312" w:eastAsia="仿宋_GB2312" w:cs="仿宋_GB2312"/>
          <w:sz w:val="32"/>
          <w:szCs w:val="32"/>
        </w:rPr>
        <w:t>了燃气管道更新改造项目支出</w:t>
      </w:r>
      <w:r>
        <w:rPr>
          <w:rFonts w:hint="eastAsia" w:ascii="仿宋_GB2312" w:hAnsi="宋体" w:eastAsia="仿宋_GB2312" w:cs="Courier New"/>
          <w:sz w:val="32"/>
          <w:szCs w:val="32"/>
        </w:rPr>
        <w:t>。</w:t>
      </w:r>
    </w:p>
    <w:p>
      <w:pPr>
        <w:keepNext w:val="0"/>
        <w:keepLines w:val="0"/>
        <w:pageBreakBefore w:val="0"/>
        <w:widowControl w:val="0"/>
        <w:wordWrap/>
        <w:topLinePunct w:val="0"/>
        <w:bidi w:val="0"/>
        <w:spacing w:line="360" w:lineRule="auto"/>
        <w:ind w:firstLine="640" w:firstLineChars="200"/>
        <w:textAlignment w:val="auto"/>
        <w:rPr>
          <w:rFonts w:ascii="黑体" w:hAnsi="黑体" w:eastAsia="黑体"/>
          <w:sz w:val="32"/>
          <w:szCs w:val="32"/>
          <w:highlight w:val="none"/>
        </w:rPr>
      </w:pPr>
      <w:r>
        <w:rPr>
          <w:rFonts w:hint="eastAsia" w:ascii="黑体" w:hAnsi="黑体" w:eastAsia="黑体"/>
          <w:sz w:val="32"/>
          <w:szCs w:val="32"/>
          <w:highlight w:val="none"/>
        </w:rPr>
        <w:t>二、收入预算总体情况说明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eastAsia="仿宋_GB2312"/>
          <w:sz w:val="32"/>
          <w:szCs w:val="32"/>
          <w:highlight w:val="none"/>
          <w:lang w:val="en-US" w:eastAsia="zh-CN"/>
        </w:rPr>
        <w:t>新乡市卫滨区城市管理局</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年收入预算合计</w:t>
      </w:r>
      <w:r>
        <w:rPr>
          <w:rFonts w:hint="eastAsia" w:ascii="Times New Roman" w:hAnsi="Times New Roman" w:eastAsia="仿宋_GB2312" w:cs="Times New Roman"/>
          <w:sz w:val="32"/>
          <w:szCs w:val="32"/>
          <w:lang w:val="en-US" w:eastAsia="zh-CN"/>
        </w:rPr>
        <w:t>410.94</w:t>
      </w:r>
      <w:r>
        <w:rPr>
          <w:rFonts w:hint="eastAsia" w:ascii="仿宋_GB2312" w:hAnsi="仿宋_GB2312" w:eastAsia="仿宋_GB2312" w:cs="仿宋_GB2312"/>
          <w:sz w:val="32"/>
          <w:szCs w:val="32"/>
        </w:rPr>
        <w:t>万元，收入预算总计减少</w:t>
      </w:r>
      <w:r>
        <w:rPr>
          <w:rFonts w:hint="eastAsia" w:ascii="Times New Roman" w:hAnsi="Times New Roman" w:eastAsia="仿宋_GB2312" w:cs="Times New Roman"/>
          <w:sz w:val="32"/>
          <w:szCs w:val="32"/>
          <w:lang w:val="en-US" w:eastAsia="zh-CN"/>
        </w:rPr>
        <w:t>1359.92</w:t>
      </w:r>
      <w:r>
        <w:rPr>
          <w:rFonts w:hint="eastAsia" w:ascii="仿宋_GB2312" w:hAnsi="仿宋_GB2312" w:eastAsia="仿宋_GB2312" w:cs="仿宋_GB2312"/>
          <w:sz w:val="32"/>
          <w:szCs w:val="32"/>
        </w:rPr>
        <w:t>万元，</w:t>
      </w:r>
      <w:r>
        <w:rPr>
          <w:rFonts w:hint="eastAsia" w:ascii="仿宋_GB2312" w:hAnsi="仿宋_GB2312" w:eastAsia="仿宋_GB2312" w:cs="仿宋_GB2312"/>
          <w:color w:val="000000"/>
          <w:sz w:val="32"/>
          <w:szCs w:val="32"/>
        </w:rPr>
        <w:t xml:space="preserve">下降 </w:t>
      </w:r>
      <w:r>
        <w:rPr>
          <w:rFonts w:hint="eastAsia" w:ascii="Times New Roman" w:hAnsi="Times New Roman" w:eastAsia="仿宋_GB2312" w:cs="Times New Roman"/>
          <w:color w:val="000000"/>
          <w:sz w:val="32"/>
          <w:szCs w:val="32"/>
          <w:lang w:val="en-US" w:eastAsia="zh-CN"/>
        </w:rPr>
        <w:t>76.79</w:t>
      </w:r>
      <w:r>
        <w:rPr>
          <w:rFonts w:hint="default" w:ascii="Times New Roman" w:hAnsi="Times New Roman" w:eastAsia="仿宋_GB2312" w:cs="Times New Roman"/>
          <w:sz w:val="32"/>
          <w:szCs w:val="32"/>
        </w:rPr>
        <w:t xml:space="preserve"> %</w:t>
      </w:r>
      <w:r>
        <w:rPr>
          <w:rFonts w:hint="eastAsia" w:ascii="仿宋_GB2312" w:hAnsi="仿宋_GB2312" w:eastAsia="仿宋_GB2312" w:cs="仿宋_GB2312"/>
          <w:sz w:val="32"/>
          <w:szCs w:val="32"/>
        </w:rPr>
        <w:t>，原因为</w:t>
      </w:r>
      <w:r>
        <w:rPr>
          <w:rFonts w:hint="eastAsia" w:ascii="仿宋_GB2312" w:hAnsi="仿宋_GB2312" w:eastAsia="仿宋_GB2312" w:cs="仿宋_GB2312"/>
          <w:sz w:val="32"/>
          <w:szCs w:val="32"/>
          <w:lang w:val="en-US" w:eastAsia="zh-CN"/>
        </w:rPr>
        <w:t>减少</w:t>
      </w:r>
      <w:r>
        <w:rPr>
          <w:rFonts w:hint="eastAsia" w:ascii="仿宋_GB2312" w:hAnsi="仿宋_GB2312" w:eastAsia="仿宋_GB2312" w:cs="仿宋_GB2312"/>
          <w:sz w:val="32"/>
          <w:szCs w:val="32"/>
        </w:rPr>
        <w:t>了燃气管道更新改造项目</w:t>
      </w:r>
      <w:r>
        <w:rPr>
          <w:rFonts w:hint="eastAsia" w:ascii="仿宋_GB2312" w:hAnsi="仿宋_GB2312" w:eastAsia="仿宋_GB2312" w:cs="仿宋_GB2312"/>
          <w:sz w:val="32"/>
          <w:szCs w:val="32"/>
          <w:lang w:val="en-US" w:eastAsia="zh-CN"/>
        </w:rPr>
        <w:t>资金</w:t>
      </w:r>
      <w:r>
        <w:rPr>
          <w:rFonts w:hint="eastAsia" w:ascii="仿宋_GB2312" w:hAnsi="仿宋_GB2312" w:eastAsia="仿宋_GB2312" w:cs="仿宋_GB2312"/>
          <w:sz w:val="32"/>
          <w:szCs w:val="32"/>
        </w:rPr>
        <w:t>。其中：一般公共预算</w:t>
      </w:r>
      <w:r>
        <w:rPr>
          <w:rFonts w:hint="eastAsia" w:ascii="Times New Roman" w:hAnsi="Times New Roman" w:eastAsia="仿宋_GB2312" w:cs="Times New Roman"/>
          <w:sz w:val="32"/>
          <w:szCs w:val="32"/>
          <w:lang w:val="en-US" w:eastAsia="zh-CN"/>
        </w:rPr>
        <w:t>410.94</w:t>
      </w:r>
      <w:r>
        <w:rPr>
          <w:rFonts w:hint="eastAsia" w:ascii="仿宋_GB2312" w:hAnsi="仿宋_GB2312" w:eastAsia="仿宋_GB2312" w:cs="仿宋_GB2312"/>
          <w:sz w:val="32"/>
          <w:szCs w:val="32"/>
        </w:rPr>
        <w:t>万元; 政府性基金收入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万元；国有资本</w:t>
      </w:r>
      <w:r>
        <w:rPr>
          <w:rFonts w:hint="eastAsia" w:ascii="仿宋_GB2312" w:hAnsi="仿宋_GB2312" w:eastAsia="仿宋_GB2312" w:cs="仿宋_GB2312"/>
          <w:sz w:val="32"/>
          <w:szCs w:val="32"/>
          <w:lang w:eastAsia="zh-CN"/>
        </w:rPr>
        <w:t>经营</w:t>
      </w:r>
      <w:r>
        <w:rPr>
          <w:rFonts w:hint="eastAsia" w:ascii="仿宋_GB2312" w:hAnsi="仿宋_GB2312" w:eastAsia="仿宋_GB2312" w:cs="仿宋_GB2312"/>
          <w:sz w:val="32"/>
          <w:szCs w:val="32"/>
        </w:rPr>
        <w:t>预算收入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万元；财政专户管理</w:t>
      </w:r>
      <w:r>
        <w:rPr>
          <w:rFonts w:hint="eastAsia" w:ascii="仿宋_GB2312" w:hAnsi="仿宋_GB2312" w:eastAsia="仿宋_GB2312" w:cs="仿宋_GB2312"/>
          <w:sz w:val="32"/>
          <w:szCs w:val="32"/>
          <w:lang w:eastAsia="zh-CN"/>
        </w:rPr>
        <w:t>资金</w:t>
      </w:r>
      <w:r>
        <w:rPr>
          <w:rFonts w:hint="eastAsia" w:ascii="仿宋_GB2312" w:hAnsi="仿宋_GB2312" w:eastAsia="仿宋_GB2312" w:cs="仿宋_GB2312"/>
          <w:sz w:val="32"/>
          <w:szCs w:val="32"/>
        </w:rPr>
        <w:t>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highlight w:val="none"/>
          <w:lang w:eastAsia="zh-CN"/>
        </w:rPr>
        <w:t>（其中专户管理的教育收费</w:t>
      </w:r>
      <w:r>
        <w:rPr>
          <w:rFonts w:hint="eastAsia" w:ascii="Times New Roman" w:hAnsi="Times New Roman" w:eastAsia="仿宋_GB2312" w:cs="Times New Roman"/>
          <w:sz w:val="32"/>
          <w:szCs w:val="32"/>
          <w:highlight w:val="none"/>
          <w:lang w:val="en-US" w:eastAsia="zh-CN"/>
        </w:rPr>
        <w:t>0</w:t>
      </w:r>
      <w:r>
        <w:rPr>
          <w:rFonts w:hint="eastAsia" w:ascii="仿宋_GB2312" w:hAnsi="仿宋_GB2312" w:eastAsia="仿宋_GB2312" w:cs="仿宋_GB2312"/>
          <w:sz w:val="32"/>
          <w:szCs w:val="32"/>
          <w:highlight w:val="none"/>
          <w:lang w:val="en-US" w:eastAsia="zh-CN"/>
        </w:rPr>
        <w:t>万元</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事业</w:t>
      </w:r>
      <w:r>
        <w:rPr>
          <w:rFonts w:hint="eastAsia" w:ascii="仿宋_GB2312" w:hAnsi="仿宋_GB2312" w:eastAsia="仿宋_GB2312" w:cs="仿宋_GB2312"/>
          <w:sz w:val="32"/>
          <w:szCs w:val="32"/>
        </w:rPr>
        <w:t>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；事业单位经营</w:t>
      </w:r>
      <w:r>
        <w:rPr>
          <w:rFonts w:hint="eastAsia" w:ascii="仿宋_GB2312" w:hAnsi="仿宋_GB2312" w:eastAsia="仿宋_GB2312" w:cs="仿宋_GB2312"/>
          <w:sz w:val="32"/>
          <w:szCs w:val="32"/>
        </w:rPr>
        <w:t>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；上级补助</w:t>
      </w:r>
      <w:r>
        <w:rPr>
          <w:rFonts w:hint="eastAsia" w:ascii="仿宋_GB2312" w:hAnsi="仿宋_GB2312" w:eastAsia="仿宋_GB2312" w:cs="仿宋_GB2312"/>
          <w:sz w:val="32"/>
          <w:szCs w:val="32"/>
        </w:rPr>
        <w:t>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；附属单位上缴</w:t>
      </w:r>
      <w:r>
        <w:rPr>
          <w:rFonts w:hint="eastAsia" w:ascii="仿宋_GB2312" w:hAnsi="仿宋_GB2312" w:eastAsia="仿宋_GB2312" w:cs="仿宋_GB2312"/>
          <w:sz w:val="32"/>
          <w:szCs w:val="32"/>
        </w:rPr>
        <w:t>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其他收入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；上年结转结余中一般公共预算</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w:t>
      </w:r>
      <w:r>
        <w:rPr>
          <w:rFonts w:hint="eastAsia" w:ascii="仿宋_GB2312" w:hAnsi="仿宋_GB2312" w:eastAsia="仿宋_GB2312" w:cs="仿宋_GB2312"/>
          <w:sz w:val="32"/>
          <w:szCs w:val="32"/>
        </w:rPr>
        <w:t>政府性基金</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w:t>
      </w:r>
      <w:r>
        <w:rPr>
          <w:rFonts w:hint="eastAsia" w:ascii="仿宋_GB2312" w:hAnsi="仿宋_GB2312" w:eastAsia="仿宋_GB2312" w:cs="仿宋_GB2312"/>
          <w:sz w:val="32"/>
          <w:szCs w:val="32"/>
        </w:rPr>
        <w:t>国有资本</w:t>
      </w:r>
      <w:r>
        <w:rPr>
          <w:rFonts w:hint="eastAsia" w:ascii="仿宋_GB2312" w:hAnsi="仿宋_GB2312" w:eastAsia="仿宋_GB2312" w:cs="仿宋_GB2312"/>
          <w:sz w:val="32"/>
          <w:szCs w:val="32"/>
          <w:lang w:eastAsia="zh-CN"/>
        </w:rPr>
        <w:t>经营</w:t>
      </w:r>
      <w:r>
        <w:rPr>
          <w:rFonts w:hint="eastAsia" w:ascii="仿宋_GB2312" w:hAnsi="仿宋_GB2312" w:eastAsia="仿宋_GB2312" w:cs="仿宋_GB2312"/>
          <w:sz w:val="32"/>
          <w:szCs w:val="32"/>
        </w:rPr>
        <w:t>预算</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w:t>
      </w:r>
      <w:r>
        <w:rPr>
          <w:rFonts w:hint="eastAsia" w:ascii="仿宋_GB2312" w:hAnsi="仿宋_GB2312" w:eastAsia="仿宋_GB2312" w:cs="仿宋_GB2312"/>
          <w:sz w:val="32"/>
          <w:szCs w:val="32"/>
        </w:rPr>
        <w:t>财政专户管理</w:t>
      </w:r>
      <w:r>
        <w:rPr>
          <w:rFonts w:hint="eastAsia" w:ascii="仿宋_GB2312" w:hAnsi="仿宋_GB2312" w:eastAsia="仿宋_GB2312" w:cs="仿宋_GB2312"/>
          <w:sz w:val="32"/>
          <w:szCs w:val="32"/>
          <w:lang w:eastAsia="zh-CN"/>
        </w:rPr>
        <w:t>资金</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；上年结转结余中单位资金</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黑体" w:hAnsi="黑体" w:eastAsia="黑体"/>
          <w:sz w:val="32"/>
          <w:szCs w:val="32"/>
        </w:rPr>
        <w:t>三、支出预算总体情况说明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sz w:val="32"/>
          <w:szCs w:val="32"/>
          <w:highlight w:val="red"/>
        </w:rPr>
      </w:pPr>
      <w:r>
        <w:rPr>
          <w:rFonts w:hint="eastAsia" w:ascii="仿宋_GB2312" w:eastAsia="仿宋_GB2312"/>
          <w:sz w:val="32"/>
          <w:szCs w:val="32"/>
          <w:highlight w:val="none"/>
          <w:lang w:val="en-US" w:eastAsia="zh-CN"/>
        </w:rPr>
        <w:t>新乡市卫滨区城市管理局</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年支出预算合计</w:t>
      </w:r>
      <w:r>
        <w:rPr>
          <w:rFonts w:hint="eastAsia" w:ascii="Times New Roman" w:hAnsi="Times New Roman" w:eastAsia="仿宋_GB2312" w:cs="Times New Roman"/>
          <w:sz w:val="32"/>
          <w:szCs w:val="32"/>
          <w:lang w:val="en-US" w:eastAsia="zh-CN"/>
        </w:rPr>
        <w:t>410.94</w:t>
      </w:r>
      <w:r>
        <w:rPr>
          <w:rFonts w:hint="eastAsia" w:ascii="仿宋_GB2312" w:hAnsi="仿宋_GB2312" w:eastAsia="仿宋_GB2312" w:cs="仿宋_GB2312"/>
          <w:sz w:val="32"/>
          <w:szCs w:val="32"/>
        </w:rPr>
        <w:t>万元，其中：基本支出</w:t>
      </w:r>
      <w:r>
        <w:rPr>
          <w:rFonts w:hint="eastAsia" w:ascii="Times New Roman" w:hAnsi="Times New Roman" w:eastAsia="仿宋_GB2312" w:cs="Times New Roman"/>
          <w:sz w:val="32"/>
          <w:szCs w:val="32"/>
          <w:lang w:val="en-US" w:eastAsia="zh-CN"/>
        </w:rPr>
        <w:t>338.94</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82.48</w:t>
      </w:r>
      <w:r>
        <w:rPr>
          <w:rFonts w:hint="default" w:ascii="Times New Roman" w:hAnsi="Times New Roman" w:eastAsia="仿宋_GB2312" w:cs="Times New Roman"/>
          <w:sz w:val="32"/>
          <w:szCs w:val="32"/>
        </w:rPr>
        <w:t>%</w:t>
      </w:r>
      <w:r>
        <w:rPr>
          <w:rFonts w:hint="eastAsia" w:ascii="仿宋_GB2312" w:hAnsi="仿宋_GB2312" w:eastAsia="仿宋_GB2312" w:cs="仿宋_GB2312"/>
          <w:sz w:val="32"/>
          <w:szCs w:val="32"/>
        </w:rPr>
        <w:t>；项目支出</w:t>
      </w:r>
      <w:r>
        <w:rPr>
          <w:rFonts w:hint="eastAsia" w:ascii="Times New Roman" w:hAnsi="Times New Roman" w:eastAsia="仿宋_GB2312" w:cs="Times New Roman"/>
          <w:sz w:val="32"/>
          <w:szCs w:val="32"/>
          <w:lang w:val="en-US" w:eastAsia="zh-CN"/>
        </w:rPr>
        <w:t>72.00</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17.52</w:t>
      </w:r>
      <w:r>
        <w:rPr>
          <w:rFonts w:hint="default" w:ascii="Times New Roman" w:hAnsi="Times New Roman" w:eastAsia="仿宋_GB2312" w:cs="Times New Roman"/>
          <w:sz w:val="32"/>
          <w:szCs w:val="32"/>
        </w:rPr>
        <w:t>%</w:t>
      </w:r>
      <w:r>
        <w:rPr>
          <w:rFonts w:hint="eastAsia" w:ascii="仿宋_GB2312" w:hAnsi="仿宋_GB2312" w:eastAsia="仿宋_GB2312" w:cs="仿宋_GB2312"/>
          <w:sz w:val="32"/>
          <w:szCs w:val="32"/>
        </w:rPr>
        <w:t>。</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黑体" w:hAnsi="黑体" w:eastAsia="黑体"/>
          <w:sz w:val="32"/>
          <w:szCs w:val="32"/>
        </w:rPr>
        <w:t>四、财政拨款收入支出预算总体情况说明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eastAsia="仿宋_GB2312"/>
          <w:sz w:val="32"/>
          <w:szCs w:val="32"/>
          <w:highlight w:val="none"/>
          <w:lang w:val="en-US" w:eastAsia="zh-CN"/>
        </w:rPr>
        <w:t>新乡市卫滨区城市管理局</w:t>
      </w:r>
      <w:r>
        <w:rPr>
          <w:rFonts w:hint="default" w:ascii="Times New Roman" w:hAnsi="Times New Roman" w:eastAsia="仿宋_GB2312" w:cs="Times New Roman"/>
          <w:b w:val="0"/>
          <w:bCs w:val="0"/>
          <w:sz w:val="32"/>
          <w:szCs w:val="32"/>
        </w:rPr>
        <w:t>202</w:t>
      </w:r>
      <w:r>
        <w:rPr>
          <w:rFonts w:hint="eastAsia" w:ascii="Times New Roman" w:hAnsi="Times New Roman" w:eastAsia="仿宋_GB2312" w:cs="Times New Roman"/>
          <w:b w:val="0"/>
          <w:bCs w:val="0"/>
          <w:sz w:val="32"/>
          <w:szCs w:val="32"/>
          <w:lang w:val="en-US" w:eastAsia="zh-CN"/>
        </w:rPr>
        <w:t>4</w:t>
      </w:r>
      <w:r>
        <w:rPr>
          <w:rFonts w:hint="eastAsia" w:ascii="仿宋_GB2312" w:hAnsi="仿宋_GB2312" w:eastAsia="仿宋_GB2312" w:cs="仿宋_GB2312"/>
          <w:b w:val="0"/>
          <w:bCs w:val="0"/>
          <w:sz w:val="32"/>
          <w:szCs w:val="32"/>
        </w:rPr>
        <w:t>年一般公共财政预算拨款收支预算</w:t>
      </w:r>
      <w:r>
        <w:rPr>
          <w:rFonts w:hint="eastAsia" w:ascii="Times New Roman" w:hAnsi="Times New Roman" w:eastAsia="仿宋_GB2312" w:cs="Times New Roman"/>
          <w:b w:val="0"/>
          <w:bCs w:val="0"/>
          <w:sz w:val="32"/>
          <w:szCs w:val="32"/>
          <w:lang w:val="en-US" w:eastAsia="zh-CN"/>
        </w:rPr>
        <w:t>410.94</w:t>
      </w:r>
      <w:r>
        <w:rPr>
          <w:rFonts w:hint="eastAsia" w:ascii="仿宋_GB2312" w:hAnsi="仿宋_GB2312" w:eastAsia="仿宋_GB2312" w:cs="仿宋_GB2312"/>
          <w:b w:val="0"/>
          <w:bCs w:val="0"/>
          <w:sz w:val="32"/>
          <w:szCs w:val="32"/>
        </w:rPr>
        <w:t>万元，政府性基金收支预算</w:t>
      </w:r>
      <w:r>
        <w:rPr>
          <w:rFonts w:hint="eastAsia" w:ascii="Times New Roman" w:hAnsi="Times New Roman" w:eastAsia="仿宋_GB2312" w:cs="Times New Roman"/>
          <w:b w:val="0"/>
          <w:bCs w:val="0"/>
          <w:sz w:val="32"/>
          <w:szCs w:val="32"/>
          <w:lang w:val="en-US" w:eastAsia="zh-CN"/>
        </w:rPr>
        <w:t>0</w:t>
      </w:r>
      <w:r>
        <w:rPr>
          <w:rFonts w:hint="eastAsia" w:ascii="仿宋_GB2312" w:hAnsi="仿宋_GB2312" w:eastAsia="仿宋_GB2312" w:cs="仿宋_GB2312"/>
          <w:b w:val="0"/>
          <w:bCs w:val="0"/>
          <w:sz w:val="32"/>
          <w:szCs w:val="32"/>
        </w:rPr>
        <w:t>万元。与 20</w:t>
      </w:r>
      <w:r>
        <w:rPr>
          <w:rFonts w:hint="eastAsia" w:ascii="仿宋_GB2312" w:hAnsi="仿宋_GB2312" w:eastAsia="仿宋_GB2312" w:cs="仿宋_GB2312"/>
          <w:b w:val="0"/>
          <w:bCs w:val="0"/>
          <w:sz w:val="32"/>
          <w:szCs w:val="32"/>
          <w:lang w:val="en-US" w:eastAsia="zh-CN"/>
        </w:rPr>
        <w:t>23</w:t>
      </w:r>
      <w:r>
        <w:rPr>
          <w:rFonts w:hint="eastAsia" w:ascii="仿宋_GB2312" w:hAnsi="仿宋_GB2312" w:eastAsia="仿宋_GB2312" w:cs="仿宋_GB2312"/>
          <w:b w:val="0"/>
          <w:bCs w:val="0"/>
          <w:sz w:val="32"/>
          <w:szCs w:val="32"/>
        </w:rPr>
        <w:t>年相比，一般公共预算收支预算减少</w:t>
      </w:r>
      <w:r>
        <w:rPr>
          <w:rFonts w:hint="eastAsia" w:ascii="Times New Roman" w:hAnsi="Times New Roman" w:eastAsia="仿宋_GB2312" w:cs="Times New Roman"/>
          <w:b w:val="0"/>
          <w:bCs w:val="0"/>
          <w:sz w:val="32"/>
          <w:szCs w:val="32"/>
          <w:lang w:val="en-US" w:eastAsia="zh-CN"/>
        </w:rPr>
        <w:t>1359.92</w:t>
      </w:r>
      <w:r>
        <w:rPr>
          <w:rFonts w:hint="eastAsia" w:ascii="仿宋_GB2312" w:hAnsi="仿宋_GB2312" w:eastAsia="仿宋_GB2312" w:cs="仿宋_GB2312"/>
          <w:b w:val="0"/>
          <w:bCs w:val="0"/>
          <w:sz w:val="32"/>
          <w:szCs w:val="32"/>
        </w:rPr>
        <w:t>万元，下降</w:t>
      </w:r>
      <w:r>
        <w:rPr>
          <w:rFonts w:hint="eastAsia" w:ascii="Times New Roman" w:hAnsi="Times New Roman" w:eastAsia="仿宋_GB2312" w:cs="Times New Roman"/>
          <w:b w:val="0"/>
          <w:bCs w:val="0"/>
          <w:sz w:val="32"/>
          <w:szCs w:val="32"/>
          <w:lang w:val="en-US" w:eastAsia="zh-CN"/>
        </w:rPr>
        <w:t>76.79</w:t>
      </w:r>
      <w:r>
        <w:rPr>
          <w:rFonts w:hint="default" w:ascii="Times New Roman" w:hAnsi="Times New Roman" w:eastAsia="仿宋_GB2312" w:cs="Times New Roman"/>
          <w:b w:val="0"/>
          <w:bCs w:val="0"/>
          <w:sz w:val="32"/>
          <w:szCs w:val="32"/>
        </w:rPr>
        <w:t>%</w:t>
      </w:r>
      <w:r>
        <w:rPr>
          <w:rFonts w:hint="eastAsia" w:ascii="仿宋_GB2312" w:hAnsi="仿宋_GB2312" w:eastAsia="仿宋_GB2312" w:cs="仿宋_GB2312"/>
          <w:b w:val="0"/>
          <w:bCs w:val="0"/>
          <w:sz w:val="32"/>
          <w:szCs w:val="32"/>
        </w:rPr>
        <w:t>，主要原因是</w:t>
      </w:r>
      <w:r>
        <w:rPr>
          <w:rFonts w:hint="eastAsia" w:ascii="仿宋_GB2312" w:hAnsi="仿宋_GB2312" w:eastAsia="仿宋_GB2312" w:cs="仿宋_GB2312"/>
          <w:sz w:val="32"/>
          <w:szCs w:val="32"/>
          <w:lang w:val="en-US" w:eastAsia="zh-CN"/>
        </w:rPr>
        <w:t>减少</w:t>
      </w:r>
      <w:r>
        <w:rPr>
          <w:rFonts w:hint="eastAsia" w:ascii="仿宋_GB2312" w:hAnsi="仿宋_GB2312" w:eastAsia="仿宋_GB2312" w:cs="仿宋_GB2312"/>
          <w:sz w:val="32"/>
          <w:szCs w:val="32"/>
        </w:rPr>
        <w:t>了燃气管道更新改造项目</w:t>
      </w:r>
      <w:r>
        <w:rPr>
          <w:rFonts w:hint="eastAsia" w:ascii="仿宋_GB2312" w:hAnsi="仿宋_GB2312" w:eastAsia="仿宋_GB2312" w:cs="仿宋_GB2312"/>
          <w:sz w:val="32"/>
          <w:szCs w:val="32"/>
          <w:lang w:val="en-US" w:eastAsia="zh-CN"/>
        </w:rPr>
        <w:t>资金</w:t>
      </w:r>
      <w:r>
        <w:rPr>
          <w:rFonts w:hint="eastAsia" w:ascii="仿宋_GB2312" w:hAnsi="仿宋_GB2312" w:eastAsia="仿宋_GB2312" w:cs="仿宋_GB2312"/>
          <w:b w:val="0"/>
          <w:bCs w:val="0"/>
          <w:sz w:val="32"/>
          <w:szCs w:val="32"/>
        </w:rPr>
        <w:t>；</w:t>
      </w:r>
      <w:r>
        <w:rPr>
          <w:rFonts w:hint="eastAsia" w:ascii="仿宋_GB2312" w:hAnsi="仿宋_GB2312" w:eastAsia="仿宋_GB2312" w:cs="仿宋_GB2312"/>
          <w:sz w:val="32"/>
          <w:szCs w:val="32"/>
        </w:rPr>
        <w:t>政府性基金收支预算</w:t>
      </w:r>
      <w:r>
        <w:rPr>
          <w:rFonts w:hint="eastAsia" w:ascii="仿宋_GB2312" w:hAnsi="仿宋_GB2312" w:eastAsia="仿宋_GB2312" w:cs="仿宋_GB2312"/>
          <w:sz w:val="32"/>
          <w:szCs w:val="32"/>
          <w:lang w:eastAsia="zh-CN"/>
        </w:rPr>
        <w:t>与上年保持一致</w:t>
      </w:r>
      <w:r>
        <w:rPr>
          <w:rFonts w:hint="eastAsia" w:ascii="仿宋_GB2312" w:hAnsi="仿宋_GB2312" w:eastAsia="仿宋_GB2312" w:cs="仿宋_GB2312"/>
          <w:sz w:val="32"/>
          <w:szCs w:val="32"/>
        </w:rPr>
        <w:t>。</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highlight w:val="none"/>
        </w:rPr>
      </w:pPr>
      <w:r>
        <w:rPr>
          <w:rFonts w:hint="eastAsia" w:ascii="黑体" w:hAnsi="黑体" w:eastAsia="黑体"/>
          <w:sz w:val="32"/>
          <w:szCs w:val="32"/>
          <w:highlight w:val="none"/>
        </w:rPr>
        <w:t>五、一般公共预算支出预算情况说明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仿宋_GB2312" w:eastAsia="仿宋_GB2312"/>
          <w:sz w:val="32"/>
          <w:szCs w:val="32"/>
          <w:highlight w:val="none"/>
          <w:lang w:val="en-US" w:eastAsia="zh-CN"/>
        </w:rPr>
        <w:t>新乡市卫滨区城市管理局</w:t>
      </w:r>
      <w:r>
        <w:rPr>
          <w:rFonts w:hint="default" w:ascii="Times New Roman" w:hAnsi="Times New Roman" w:eastAsia="仿宋_GB2312" w:cs="Times New Roman"/>
          <w:sz w:val="32"/>
          <w:szCs w:val="32"/>
          <w:highlight w:val="none"/>
        </w:rPr>
        <w:t>2</w:t>
      </w:r>
      <w:r>
        <w:rPr>
          <w:rFonts w:hint="default" w:ascii="Times New Roman" w:hAnsi="Times New Roman" w:eastAsia="仿宋_GB2312" w:cs="Times New Roman"/>
          <w:sz w:val="32"/>
          <w:szCs w:val="32"/>
        </w:rPr>
        <w:t>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年一般公共预算支出年初预算</w:t>
      </w:r>
      <w:r>
        <w:rPr>
          <w:rFonts w:hint="eastAsia" w:ascii="Times New Roman" w:hAnsi="Times New Roman" w:eastAsia="仿宋_GB2312" w:cs="Times New Roman"/>
          <w:sz w:val="32"/>
          <w:szCs w:val="32"/>
          <w:lang w:val="en-US" w:eastAsia="zh-CN"/>
        </w:rPr>
        <w:t>410.94</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其中：基本</w:t>
      </w:r>
      <w:r>
        <w:rPr>
          <w:rFonts w:hint="eastAsia" w:ascii="仿宋_GB2312" w:hAnsi="仿宋_GB2312" w:eastAsia="仿宋_GB2312" w:cs="仿宋_GB2312"/>
          <w:sz w:val="32"/>
          <w:szCs w:val="32"/>
        </w:rPr>
        <w:t>支出</w:t>
      </w:r>
      <w:r>
        <w:rPr>
          <w:rFonts w:hint="eastAsia" w:ascii="Times New Roman" w:hAnsi="Times New Roman" w:eastAsia="仿宋_GB2312" w:cs="Times New Roman"/>
          <w:sz w:val="32"/>
          <w:szCs w:val="32"/>
          <w:lang w:val="en-US" w:eastAsia="zh-CN"/>
        </w:rPr>
        <w:t>338.94</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82.48</w:t>
      </w:r>
      <w:r>
        <w:rPr>
          <w:rFonts w:hint="default" w:ascii="Times New Roman" w:hAnsi="Times New Roman" w:eastAsia="仿宋_GB2312" w:cs="Times New Roman"/>
          <w:sz w:val="32"/>
          <w:szCs w:val="32"/>
        </w:rPr>
        <w:t>%</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项目</w:t>
      </w:r>
      <w:r>
        <w:rPr>
          <w:rFonts w:hint="eastAsia" w:ascii="仿宋_GB2312" w:hAnsi="仿宋_GB2312" w:eastAsia="仿宋_GB2312" w:cs="仿宋_GB2312"/>
          <w:sz w:val="32"/>
          <w:szCs w:val="32"/>
        </w:rPr>
        <w:t>支出</w:t>
      </w:r>
      <w:r>
        <w:rPr>
          <w:rFonts w:hint="eastAsia" w:ascii="Times New Roman" w:hAnsi="Times New Roman" w:eastAsia="仿宋_GB2312" w:cs="Times New Roman"/>
          <w:sz w:val="32"/>
          <w:szCs w:val="32"/>
          <w:lang w:val="en-US" w:eastAsia="zh-CN"/>
        </w:rPr>
        <w:t>72.00</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17.52</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w:t>
      </w:r>
      <w:r>
        <w:rPr>
          <w:rFonts w:hint="eastAsia" w:ascii="仿宋_GB2312" w:hAnsi="仿宋_GB2312" w:eastAsia="仿宋_GB2312" w:cs="仿宋_GB2312"/>
          <w:sz w:val="32"/>
          <w:szCs w:val="32"/>
          <w:highlight w:val="none"/>
          <w:lang w:val="en-US" w:eastAsia="zh-CN"/>
        </w:rPr>
        <w:t>主要用于以下方面：社会保障和就业（类）支出39.34万元，占9.57%；卫生健康（类）支出21.15万元，占5.15%；住房保障（类）支出25.95万元，占6.31%。</w:t>
      </w:r>
      <w:r>
        <w:rPr>
          <w:rFonts w:hint="eastAsia" w:ascii="仿宋_GB2312" w:hAnsi="宋体" w:eastAsia="仿宋_GB2312" w:cs="Courier New"/>
          <w:sz w:val="32"/>
          <w:szCs w:val="32"/>
        </w:rPr>
        <w:t xml:space="preserve"> </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highlight w:val="red"/>
        </w:rPr>
      </w:pPr>
      <w:r>
        <w:rPr>
          <w:rFonts w:hint="eastAsia" w:ascii="黑体" w:hAnsi="Times New Roman" w:eastAsia="黑体" w:cs="黑体"/>
          <w:kern w:val="0"/>
          <w:sz w:val="32"/>
          <w:szCs w:val="32"/>
          <w:highlight w:val="none"/>
        </w:rPr>
        <w:t>六、一般公共预算基本和项目支出预算情况说明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eastAsia="仿宋_GB2312"/>
          <w:sz w:val="32"/>
          <w:szCs w:val="32"/>
          <w:highlight w:val="none"/>
          <w:lang w:val="en-US" w:eastAsia="zh-CN"/>
        </w:rPr>
        <w:t>新乡市卫滨区城市管理局</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年一般公共预算基本支出</w:t>
      </w:r>
      <w:r>
        <w:rPr>
          <w:rFonts w:hint="eastAsia" w:ascii="Times New Roman" w:hAnsi="Times New Roman" w:eastAsia="仿宋_GB2312" w:cs="Times New Roman"/>
          <w:sz w:val="32"/>
          <w:szCs w:val="32"/>
          <w:lang w:val="en-US" w:eastAsia="zh-CN"/>
        </w:rPr>
        <w:t>338.94</w:t>
      </w:r>
      <w:r>
        <w:rPr>
          <w:rFonts w:hint="eastAsia" w:ascii="仿宋_GB2312" w:hAnsi="仿宋_GB2312" w:eastAsia="仿宋_GB2312" w:cs="仿宋_GB2312"/>
          <w:sz w:val="32"/>
          <w:szCs w:val="32"/>
        </w:rPr>
        <w:t>万元，其中：</w:t>
      </w:r>
      <w:r>
        <w:rPr>
          <w:rFonts w:hint="eastAsia" w:ascii="仿宋_GB2312" w:hAnsi="仿宋_GB2312" w:eastAsia="仿宋_GB2312" w:cs="仿宋_GB2312"/>
          <w:b/>
          <w:spacing w:val="-1"/>
          <w:kern w:val="0"/>
          <w:sz w:val="32"/>
          <w:szCs w:val="32"/>
        </w:rPr>
        <w:t>人员经费</w:t>
      </w:r>
      <w:r>
        <w:rPr>
          <w:rFonts w:hint="eastAsia" w:ascii="仿宋_GB2312" w:hAnsi="仿宋_GB2312" w:eastAsia="仿宋_GB2312" w:cs="仿宋_GB2312"/>
          <w:b/>
          <w:spacing w:val="-1"/>
          <w:kern w:val="0"/>
          <w:sz w:val="32"/>
          <w:szCs w:val="32"/>
          <w:highlight w:val="none"/>
          <w:lang w:eastAsia="zh-CN"/>
        </w:rPr>
        <w:t>支出</w:t>
      </w:r>
      <w:r>
        <w:rPr>
          <w:rFonts w:hint="eastAsia" w:ascii="Times New Roman" w:hAnsi="Times New Roman" w:eastAsia="仿宋_GB2312" w:cs="Times New Roman"/>
          <w:sz w:val="32"/>
          <w:szCs w:val="32"/>
          <w:lang w:val="en-US" w:eastAsia="zh-CN"/>
        </w:rPr>
        <w:t>321.98</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95.00</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w:t>
      </w:r>
      <w:r>
        <w:rPr>
          <w:rFonts w:hint="eastAsia" w:ascii="仿宋_GB2312" w:hAnsi="仿宋_GB2312" w:eastAsia="仿宋_GB2312" w:cs="仿宋_GB2312"/>
          <w:sz w:val="32"/>
          <w:szCs w:val="32"/>
        </w:rPr>
        <w:t>主要包括：基本工资、津贴补贴、奖金、社会保障缴费、伙食补助费、绩效工资、机关事业单位基本养老保险缴费、职业年金缴费、职工基本医疗保险缴费、公务员医疗补助缴费、住房公积金、医疗费、其他工资福利支出、离休费、退休费、退职（役）费、抚恤金、生活补助、 救济费、医疗费补助、助学金、奖励金、个人农业生产补贴、其他对个人和家庭的补助支出；</w:t>
      </w:r>
      <w:r>
        <w:rPr>
          <w:rFonts w:hint="eastAsia" w:ascii="仿宋_GB2312" w:hAnsi="仿宋_GB2312" w:eastAsia="仿宋_GB2312" w:cs="仿宋_GB2312"/>
          <w:b/>
          <w:spacing w:val="-1"/>
          <w:kern w:val="0"/>
          <w:sz w:val="32"/>
          <w:szCs w:val="32"/>
        </w:rPr>
        <w:t>公用经费</w:t>
      </w:r>
      <w:r>
        <w:rPr>
          <w:rFonts w:hint="eastAsia" w:ascii="仿宋_GB2312" w:hAnsi="仿宋_GB2312" w:eastAsia="仿宋_GB2312" w:cs="仿宋_GB2312"/>
          <w:b/>
          <w:spacing w:val="-1"/>
          <w:kern w:val="0"/>
          <w:sz w:val="32"/>
          <w:szCs w:val="32"/>
          <w:highlight w:val="none"/>
          <w:lang w:eastAsia="zh-CN"/>
        </w:rPr>
        <w:t>支出</w:t>
      </w:r>
      <w:r>
        <w:rPr>
          <w:rFonts w:hint="eastAsia" w:ascii="Times New Roman" w:hAnsi="Times New Roman" w:eastAsia="仿宋_GB2312" w:cs="Times New Roman"/>
          <w:sz w:val="32"/>
          <w:szCs w:val="32"/>
          <w:lang w:val="en-US" w:eastAsia="zh-CN"/>
        </w:rPr>
        <w:t>16.96</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5.00</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w:t>
      </w:r>
      <w:r>
        <w:rPr>
          <w:rFonts w:hint="eastAsia" w:ascii="仿宋_GB2312" w:hAnsi="仿宋_GB2312" w:eastAsia="仿宋_GB2312" w:cs="仿宋_GB2312"/>
          <w:sz w:val="32"/>
          <w:szCs w:val="32"/>
        </w:rPr>
        <w:t>主要包括：办公费、印刷费、咨询费、手续费、水费、电费、邮电费、取暖费、物业管理费、差旅费、因公出国（境）费、维 修（护）费、租赁费、会议费、培训费、公务接待费、专用材料费、被装购置费、专用燃料费、劳务费、委托业务费、工会经费、福利费、公务用车运行维护费、其他交通费用、税金及附加费用、其他商品和服务支出、办公设备购置、专用设备购置、大型修缮、信息网络及软件购置更新、其他资本性支出。</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sz w:val="32"/>
          <w:szCs w:val="32"/>
          <w:highlight w:val="none"/>
        </w:rPr>
      </w:pPr>
      <w:r>
        <w:rPr>
          <w:rFonts w:hint="default" w:ascii="Times New Roman" w:hAnsi="Times New Roman" w:eastAsia="仿宋_GB2312" w:cs="Times New Roman"/>
          <w:sz w:val="32"/>
          <w:szCs w:val="32"/>
          <w:highlight w:val="none"/>
        </w:rPr>
        <w:t>202</w:t>
      </w:r>
      <w:r>
        <w:rPr>
          <w:rFonts w:hint="eastAsia" w:ascii="Times New Roman" w:hAnsi="Times New Roman" w:eastAsia="仿宋_GB2312" w:cs="Times New Roman"/>
          <w:sz w:val="32"/>
          <w:szCs w:val="32"/>
          <w:highlight w:val="none"/>
          <w:lang w:val="en-US" w:eastAsia="zh-CN"/>
        </w:rPr>
        <w:t>4</w:t>
      </w:r>
      <w:r>
        <w:rPr>
          <w:rFonts w:hint="eastAsia" w:ascii="仿宋_GB2312" w:hAnsi="仿宋_GB2312" w:eastAsia="仿宋_GB2312" w:cs="仿宋_GB2312"/>
          <w:sz w:val="32"/>
          <w:szCs w:val="32"/>
          <w:highlight w:val="none"/>
        </w:rPr>
        <w:t>年一般公共预算安排项目支出预算</w:t>
      </w:r>
      <w:r>
        <w:rPr>
          <w:rFonts w:hint="eastAsia" w:ascii="Times New Roman" w:hAnsi="Times New Roman" w:eastAsia="仿宋_GB2312" w:cs="Times New Roman"/>
          <w:sz w:val="32"/>
          <w:szCs w:val="32"/>
          <w:highlight w:val="none"/>
          <w:lang w:val="en-US" w:eastAsia="zh-CN"/>
        </w:rPr>
        <w:t>72.00</w:t>
      </w:r>
      <w:r>
        <w:rPr>
          <w:rFonts w:hint="eastAsia" w:ascii="仿宋_GB2312" w:hAnsi="仿宋_GB2312" w:eastAsia="仿宋_GB2312" w:cs="仿宋_GB2312"/>
          <w:sz w:val="32"/>
          <w:szCs w:val="32"/>
          <w:highlight w:val="none"/>
        </w:rPr>
        <w:t>万元，全部纳入项目绩效目标管理。其中：运转类项目</w:t>
      </w:r>
      <w:r>
        <w:rPr>
          <w:rFonts w:hint="eastAsia" w:ascii="Times New Roman" w:hAnsi="Times New Roman" w:eastAsia="仿宋_GB2312" w:cs="Times New Roman"/>
          <w:sz w:val="32"/>
          <w:szCs w:val="32"/>
          <w:highlight w:val="none"/>
          <w:lang w:val="en-US" w:eastAsia="zh-CN"/>
        </w:rPr>
        <w:t>72.00</w:t>
      </w:r>
      <w:r>
        <w:rPr>
          <w:rFonts w:hint="eastAsia" w:ascii="仿宋_GB2312" w:hAnsi="仿宋_GB2312" w:eastAsia="仿宋_GB2312" w:cs="仿宋_GB2312"/>
          <w:sz w:val="32"/>
          <w:szCs w:val="32"/>
          <w:highlight w:val="none"/>
        </w:rPr>
        <w:t>万元、</w:t>
      </w:r>
      <w:r>
        <w:rPr>
          <w:rFonts w:hint="eastAsia" w:ascii="仿宋_GB2312" w:hAnsi="仿宋_GB2312" w:eastAsia="仿宋_GB2312" w:cs="仿宋_GB2312"/>
          <w:sz w:val="32"/>
          <w:szCs w:val="32"/>
          <w:highlight w:val="none"/>
          <w:lang w:eastAsia="zh-CN"/>
        </w:rPr>
        <w:t>特定目标</w:t>
      </w:r>
      <w:r>
        <w:rPr>
          <w:rFonts w:hint="eastAsia" w:ascii="仿宋_GB2312" w:hAnsi="仿宋_GB2312" w:eastAsia="仿宋_GB2312" w:cs="仿宋_GB2312"/>
          <w:sz w:val="32"/>
          <w:szCs w:val="32"/>
          <w:highlight w:val="none"/>
        </w:rPr>
        <w:t>类项目</w:t>
      </w:r>
      <w:r>
        <w:rPr>
          <w:rFonts w:hint="eastAsia" w:ascii="Times New Roman" w:hAnsi="Times New Roman" w:eastAsia="仿宋_GB2312" w:cs="Times New Roman"/>
          <w:sz w:val="32"/>
          <w:szCs w:val="32"/>
          <w:highlight w:val="none"/>
          <w:lang w:val="en-US" w:eastAsia="zh-CN"/>
        </w:rPr>
        <w:t>0</w:t>
      </w:r>
      <w:r>
        <w:rPr>
          <w:rFonts w:hint="eastAsia" w:ascii="仿宋_GB2312" w:hAnsi="仿宋_GB2312" w:eastAsia="仿宋_GB2312" w:cs="仿宋_GB2312"/>
          <w:sz w:val="32"/>
          <w:szCs w:val="32"/>
          <w:highlight w:val="none"/>
        </w:rPr>
        <w:t>万元。</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highlight w:val="red"/>
        </w:rPr>
      </w:pPr>
      <w:r>
        <w:rPr>
          <w:rFonts w:hint="eastAsia" w:ascii="黑体" w:hAnsi="Times New Roman" w:eastAsia="黑体" w:cs="黑体"/>
          <w:kern w:val="0"/>
          <w:sz w:val="32"/>
          <w:szCs w:val="32"/>
          <w:highlight w:val="none"/>
        </w:rPr>
        <w:t>七、政府性基金预算支出预算情况说明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sz w:val="32"/>
          <w:szCs w:val="32"/>
          <w:highlight w:val="none"/>
        </w:rPr>
      </w:pPr>
      <w:r>
        <w:rPr>
          <w:rFonts w:hint="eastAsia" w:ascii="仿宋_GB2312" w:eastAsia="仿宋_GB2312"/>
          <w:sz w:val="32"/>
          <w:szCs w:val="32"/>
          <w:highlight w:val="none"/>
        </w:rPr>
        <w:t>我</w:t>
      </w:r>
      <w:r>
        <w:rPr>
          <w:rFonts w:hint="eastAsia" w:ascii="仿宋_GB2312" w:hAnsi="宋体" w:eastAsia="仿宋_GB2312" w:cs="Courier New"/>
          <w:sz w:val="32"/>
          <w:szCs w:val="32"/>
          <w:highlight w:val="none"/>
          <w:lang w:eastAsia="zh-CN"/>
        </w:rPr>
        <w:t>局</w:t>
      </w:r>
      <w:r>
        <w:rPr>
          <w:rFonts w:hint="eastAsia" w:ascii="仿宋_GB2312" w:hAnsi="宋体" w:eastAsia="仿宋_GB2312" w:cs="Courier New"/>
          <w:sz w:val="32"/>
          <w:szCs w:val="32"/>
          <w:highlight w:val="none"/>
        </w:rPr>
        <w:t>202</w:t>
      </w:r>
      <w:r>
        <w:rPr>
          <w:rFonts w:hint="eastAsia" w:ascii="仿宋_GB2312" w:hAnsi="宋体" w:eastAsia="仿宋_GB2312" w:cs="Courier New"/>
          <w:sz w:val="32"/>
          <w:szCs w:val="32"/>
          <w:highlight w:val="none"/>
          <w:lang w:val="en-US" w:eastAsia="zh-CN"/>
        </w:rPr>
        <w:t>4</w:t>
      </w:r>
      <w:r>
        <w:rPr>
          <w:rFonts w:hint="eastAsia" w:ascii="仿宋_GB2312" w:hAnsi="宋体" w:eastAsia="仿宋_GB2312" w:cs="Courier New"/>
          <w:sz w:val="32"/>
          <w:szCs w:val="32"/>
          <w:highlight w:val="none"/>
        </w:rPr>
        <w:t>年无使用政府性基金预算拨款安排的支出</w:t>
      </w:r>
      <w:r>
        <w:rPr>
          <w:rFonts w:hint="eastAsia" w:ascii="仿宋_GB2312" w:hAnsi="宋体" w:eastAsia="仿宋_GB2312" w:cs="Courier New"/>
          <w:sz w:val="32"/>
          <w:szCs w:val="32"/>
          <w:highlight w:val="none"/>
          <w:lang w:eastAsia="zh-CN"/>
        </w:rPr>
        <w:t>，</w:t>
      </w:r>
      <w:r>
        <w:rPr>
          <w:rFonts w:hint="eastAsia" w:ascii="仿宋_GB2312" w:hAnsi="仿宋_GB2312" w:eastAsia="仿宋_GB2312" w:cs="仿宋_GB2312"/>
          <w:sz w:val="32"/>
          <w:szCs w:val="32"/>
          <w:highlight w:val="none"/>
          <w:lang w:val="en-US" w:eastAsia="zh-CN"/>
        </w:rPr>
        <w:t xml:space="preserve">年初预算为 </w:t>
      </w:r>
      <w:r>
        <w:rPr>
          <w:rFonts w:hint="default" w:ascii="Times New Roman" w:hAnsi="Times New Roman" w:eastAsia="仿宋_GB2312" w:cs="Times New Roman"/>
          <w:sz w:val="32"/>
          <w:szCs w:val="32"/>
          <w:highlight w:val="none"/>
          <w:lang w:val="en-US" w:eastAsia="zh-CN"/>
        </w:rPr>
        <w:t>0</w:t>
      </w:r>
      <w:r>
        <w:rPr>
          <w:rFonts w:hint="eastAsia" w:ascii="仿宋_GB2312" w:hAnsi="仿宋_GB2312" w:eastAsia="仿宋_GB2312" w:cs="仿宋_GB2312"/>
          <w:sz w:val="32"/>
          <w:szCs w:val="32"/>
          <w:highlight w:val="none"/>
          <w:lang w:val="en-US" w:eastAsia="zh-CN"/>
        </w:rPr>
        <w:t xml:space="preserve"> 万元。</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lang w:eastAsia="zh-CN"/>
        </w:rPr>
      </w:pPr>
      <w:r>
        <w:rPr>
          <w:rFonts w:hint="eastAsia" w:ascii="黑体" w:hAnsi="Times New Roman" w:eastAsia="黑体" w:cs="黑体"/>
          <w:kern w:val="0"/>
          <w:sz w:val="32"/>
          <w:szCs w:val="32"/>
        </w:rPr>
        <w:t>八、 “三公”经费支出预算情况说明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仿宋_GB2312" w:eastAsia="仿宋_GB2312"/>
          <w:sz w:val="32"/>
          <w:szCs w:val="32"/>
          <w:highlight w:val="none"/>
          <w:lang w:val="en-US" w:eastAsia="zh-CN"/>
        </w:rPr>
        <w:t>新乡市卫滨区城市管理局</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宋体" w:eastAsia="仿宋_GB2312" w:cs="Courier New"/>
          <w:sz w:val="32"/>
          <w:szCs w:val="32"/>
        </w:rPr>
        <w:t>年“三公”经费预算为</w:t>
      </w:r>
      <w:r>
        <w:rPr>
          <w:rFonts w:hint="eastAsia" w:ascii="黑体" w:hAnsi="黑体" w:eastAsia="黑体" w:cs="黑体"/>
          <w:sz w:val="32"/>
          <w:szCs w:val="32"/>
          <w:lang w:val="en-US" w:eastAsia="zh-CN"/>
        </w:rPr>
        <w:t>5.50</w:t>
      </w:r>
      <w:r>
        <w:rPr>
          <w:rFonts w:hint="eastAsia" w:ascii="仿宋_GB2312" w:hAnsi="宋体" w:eastAsia="仿宋_GB2312" w:cs="Courier New"/>
          <w:sz w:val="32"/>
          <w:szCs w:val="32"/>
        </w:rPr>
        <w:t>万元。</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宋体" w:eastAsia="仿宋_GB2312" w:cs="Courier New"/>
          <w:sz w:val="32"/>
          <w:szCs w:val="32"/>
        </w:rPr>
        <w:t xml:space="preserve">年“三公”经费支出预算数比 </w:t>
      </w: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宋体" w:eastAsia="仿宋_GB2312" w:cs="Courier New"/>
          <w:sz w:val="32"/>
          <w:szCs w:val="32"/>
        </w:rPr>
        <w:t>年减少</w:t>
      </w:r>
      <w:r>
        <w:rPr>
          <w:rFonts w:hint="eastAsia" w:ascii="Times New Roman" w:hAnsi="Times New Roman" w:eastAsia="黑体" w:cs="Times New Roman"/>
          <w:sz w:val="32"/>
          <w:szCs w:val="32"/>
          <w:lang w:val="en-US" w:eastAsia="zh-CN"/>
        </w:rPr>
        <w:t>1.00</w:t>
      </w:r>
      <w:r>
        <w:rPr>
          <w:rFonts w:hint="eastAsia" w:ascii="仿宋_GB2312" w:hAnsi="宋体" w:eastAsia="仿宋_GB2312" w:cs="Courier New"/>
          <w:sz w:val="32"/>
          <w:szCs w:val="32"/>
        </w:rPr>
        <w:t>万元。</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具体支出情况如下：</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36" w:firstLineChars="200"/>
        <w:textAlignment w:val="auto"/>
        <w:rPr>
          <w:rFonts w:hint="eastAsia" w:ascii="仿宋_GB2312" w:hAnsi="宋体" w:eastAsia="仿宋_GB2312" w:cs="Courier New"/>
          <w:sz w:val="32"/>
          <w:szCs w:val="32"/>
        </w:rPr>
      </w:pPr>
      <w:r>
        <w:rPr>
          <w:rFonts w:hint="eastAsia" w:ascii="华文楷体" w:hAnsi="华文楷体" w:eastAsia="华文楷体" w:cs="仿宋_GB2312"/>
          <w:spacing w:val="-1"/>
          <w:kern w:val="0"/>
          <w:sz w:val="32"/>
          <w:szCs w:val="32"/>
        </w:rPr>
        <w:t>（一）因公出国（境）费</w:t>
      </w:r>
      <w:r>
        <w:rPr>
          <w:rFonts w:hint="eastAsia" w:ascii="Times New Roman" w:hAnsi="Times New Roman" w:eastAsia="华文楷体" w:cs="Times New Roman"/>
          <w:sz w:val="32"/>
          <w:szCs w:val="32"/>
          <w:lang w:val="en-US" w:eastAsia="zh-CN"/>
        </w:rPr>
        <w:t>0</w:t>
      </w:r>
      <w:r>
        <w:rPr>
          <w:rFonts w:hint="eastAsia" w:ascii="华文楷体" w:hAnsi="华文楷体" w:eastAsia="华文楷体" w:cs="仿宋_GB2312"/>
          <w:spacing w:val="-1"/>
          <w:kern w:val="0"/>
          <w:sz w:val="32"/>
          <w:szCs w:val="32"/>
        </w:rPr>
        <w:t>万元</w:t>
      </w:r>
      <w:r>
        <w:rPr>
          <w:rFonts w:hint="eastAsia" w:ascii="楷体" w:hAnsi="楷体" w:eastAsia="楷体" w:cs="仿宋_GB2312"/>
          <w:spacing w:val="-1"/>
          <w:kern w:val="0"/>
          <w:sz w:val="32"/>
          <w:szCs w:val="32"/>
        </w:rPr>
        <w:t>，</w:t>
      </w:r>
      <w:r>
        <w:rPr>
          <w:rFonts w:hint="eastAsia" w:ascii="仿宋_GB2312" w:hAnsi="宋体" w:eastAsia="仿宋_GB2312" w:cs="Courier New"/>
          <w:sz w:val="32"/>
          <w:szCs w:val="32"/>
        </w:rPr>
        <w:t>主要用于单位工作人员公务出国（境）的住宿费、旅费、伙食补助费、杂费、培训费等支出。预算数比20</w:t>
      </w:r>
      <w:r>
        <w:rPr>
          <w:rFonts w:hint="eastAsia" w:ascii="仿宋_GB2312" w:hAnsi="宋体" w:eastAsia="仿宋_GB2312" w:cs="Courier New"/>
          <w:sz w:val="32"/>
          <w:szCs w:val="32"/>
          <w:lang w:val="en-US" w:eastAsia="zh-CN"/>
        </w:rPr>
        <w:t>23</w:t>
      </w:r>
      <w:r>
        <w:rPr>
          <w:rFonts w:hint="eastAsia" w:ascii="仿宋_GB2312" w:hAnsi="宋体" w:eastAsia="仿宋_GB2312" w:cs="Courier New"/>
          <w:sz w:val="32"/>
          <w:szCs w:val="32"/>
        </w:rPr>
        <w:t>年增加</w:t>
      </w:r>
      <w:r>
        <w:rPr>
          <w:rFonts w:hint="eastAsia" w:ascii="Times New Roman" w:hAnsi="Times New Roman" w:eastAsia="黑体" w:cs="Times New Roman"/>
          <w:sz w:val="32"/>
          <w:szCs w:val="32"/>
          <w:lang w:val="en-US" w:eastAsia="zh-CN"/>
        </w:rPr>
        <w:t>0</w:t>
      </w:r>
      <w:r>
        <w:rPr>
          <w:rFonts w:hint="eastAsia" w:ascii="仿宋_GB2312" w:hAnsi="宋体" w:eastAsia="仿宋_GB2312" w:cs="Courier New"/>
          <w:sz w:val="32"/>
          <w:szCs w:val="32"/>
        </w:rPr>
        <w:t>万元。增加的主要原因是</w:t>
      </w:r>
      <w:r>
        <w:rPr>
          <w:rFonts w:hint="eastAsia" w:ascii="黑体" w:hAnsi="黑体" w:eastAsia="黑体" w:cs="黑体"/>
          <w:sz w:val="32"/>
          <w:szCs w:val="32"/>
          <w:lang w:val="en-US" w:eastAsia="zh-CN"/>
        </w:rPr>
        <w:t>无</w:t>
      </w:r>
      <w:r>
        <w:rPr>
          <w:rFonts w:hint="eastAsia" w:ascii="仿宋_GB2312" w:hAnsi="宋体" w:eastAsia="仿宋_GB2312" w:cs="Courier New"/>
          <w:sz w:val="32"/>
          <w:szCs w:val="32"/>
        </w:rPr>
        <w:t>。</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36" w:firstLineChars="200"/>
        <w:textAlignment w:val="auto"/>
        <w:rPr>
          <w:rFonts w:hint="eastAsia" w:ascii="仿宋_GB2312" w:hAnsi="宋体" w:eastAsia="仿宋_GB2312" w:cs="Courier New"/>
          <w:sz w:val="32"/>
          <w:szCs w:val="32"/>
          <w:highlight w:val="none"/>
          <w:lang w:val="en-US" w:eastAsia="zh-CN"/>
        </w:rPr>
      </w:pPr>
      <w:r>
        <w:rPr>
          <w:rFonts w:hint="eastAsia" w:ascii="华文楷体" w:hAnsi="华文楷体" w:eastAsia="华文楷体" w:cs="仿宋_GB2312"/>
          <w:spacing w:val="-1"/>
          <w:kern w:val="0"/>
          <w:sz w:val="32"/>
          <w:szCs w:val="32"/>
        </w:rPr>
        <w:t>（二）公务用车购置及运行费</w:t>
      </w:r>
      <w:r>
        <w:rPr>
          <w:rFonts w:hint="eastAsia" w:ascii="Times New Roman" w:hAnsi="Times New Roman" w:eastAsia="华文楷体" w:cs="Times New Roman"/>
          <w:sz w:val="32"/>
          <w:szCs w:val="32"/>
          <w:lang w:val="en-US" w:eastAsia="zh-CN"/>
        </w:rPr>
        <w:t>5.50</w:t>
      </w:r>
      <w:r>
        <w:rPr>
          <w:rFonts w:hint="eastAsia" w:ascii="华文楷体" w:hAnsi="华文楷体" w:eastAsia="华文楷体" w:cs="仿宋_GB2312"/>
          <w:kern w:val="0"/>
          <w:sz w:val="32"/>
          <w:szCs w:val="32"/>
        </w:rPr>
        <w:t>万</w:t>
      </w:r>
      <w:r>
        <w:rPr>
          <w:rFonts w:hint="eastAsia" w:ascii="华文楷体" w:hAnsi="华文楷体" w:eastAsia="华文楷体" w:cs="Courier New"/>
          <w:sz w:val="32"/>
          <w:szCs w:val="32"/>
        </w:rPr>
        <w:t>元</w:t>
      </w:r>
      <w:r>
        <w:rPr>
          <w:rFonts w:hint="eastAsia" w:ascii="楷体" w:hAnsi="楷体" w:eastAsia="楷体" w:cs="Courier New"/>
          <w:sz w:val="32"/>
          <w:szCs w:val="32"/>
        </w:rPr>
        <w:t>，</w:t>
      </w:r>
      <w:r>
        <w:rPr>
          <w:rFonts w:hint="eastAsia" w:ascii="仿宋_GB2312" w:hAnsi="宋体" w:eastAsia="仿宋_GB2312" w:cs="Courier New"/>
          <w:sz w:val="32"/>
          <w:szCs w:val="32"/>
        </w:rPr>
        <w:t>其中，公务用车购置费</w:t>
      </w:r>
      <w:r>
        <w:rPr>
          <w:rFonts w:hint="eastAsia" w:ascii="Times New Roman" w:hAnsi="Times New Roman" w:eastAsia="黑体" w:cs="Times New Roman"/>
          <w:sz w:val="32"/>
          <w:szCs w:val="32"/>
          <w:lang w:val="en-US" w:eastAsia="zh-CN"/>
        </w:rPr>
        <w:t>0</w:t>
      </w:r>
      <w:r>
        <w:rPr>
          <w:rFonts w:hint="eastAsia" w:ascii="仿宋_GB2312" w:hAnsi="宋体" w:eastAsia="仿宋_GB2312" w:cs="Courier New"/>
          <w:sz w:val="32"/>
          <w:szCs w:val="32"/>
        </w:rPr>
        <w:t>万元；公务用车运行维护费</w:t>
      </w:r>
      <w:r>
        <w:rPr>
          <w:rFonts w:hint="eastAsia" w:ascii="Times New Roman" w:hAnsi="Times New Roman" w:eastAsia="黑体" w:cs="Times New Roman"/>
          <w:sz w:val="32"/>
          <w:szCs w:val="32"/>
          <w:lang w:val="en-US" w:eastAsia="zh-CN"/>
        </w:rPr>
        <w:t>5.50</w:t>
      </w:r>
      <w:r>
        <w:rPr>
          <w:rFonts w:hint="eastAsia" w:ascii="仿宋_GB2312" w:hAnsi="宋体" w:eastAsia="仿宋_GB2312" w:cs="Courier New"/>
          <w:sz w:val="32"/>
          <w:szCs w:val="32"/>
        </w:rPr>
        <w:t>万元，主要用于开展工作所需公务用车的燃料费、维修费、过路过桥费、保险费、安全奖励费用等支出。公务用车购置费预算数比</w:t>
      </w:r>
      <w:r>
        <w:rPr>
          <w:rFonts w:hint="default" w:ascii="Times New Roman" w:hAnsi="Times New Roman" w:eastAsia="仿宋_GB2312" w:cs="Times New Roman"/>
          <w:sz w:val="32"/>
          <w:szCs w:val="32"/>
        </w:rPr>
        <w:t xml:space="preserve"> 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宋体" w:eastAsia="仿宋_GB2312" w:cs="Courier New"/>
          <w:sz w:val="32"/>
          <w:szCs w:val="32"/>
        </w:rPr>
        <w:t xml:space="preserve"> 年减少</w:t>
      </w:r>
      <w:r>
        <w:rPr>
          <w:rFonts w:hint="eastAsia" w:ascii="Times New Roman" w:hAnsi="Times New Roman" w:eastAsia="黑体" w:cs="Times New Roman"/>
          <w:sz w:val="32"/>
          <w:szCs w:val="32"/>
          <w:lang w:val="en-US" w:eastAsia="zh-CN"/>
        </w:rPr>
        <w:t>0</w:t>
      </w:r>
      <w:r>
        <w:rPr>
          <w:rFonts w:hint="eastAsia" w:ascii="仿宋_GB2312" w:hAnsi="宋体" w:eastAsia="仿宋_GB2312" w:cs="Courier New"/>
          <w:sz w:val="32"/>
          <w:szCs w:val="32"/>
        </w:rPr>
        <w:t>万元，主要原因：</w:t>
      </w:r>
      <w:r>
        <w:rPr>
          <w:rFonts w:hint="eastAsia" w:ascii="黑体" w:hAnsi="黑体" w:eastAsia="黑体" w:cs="黑体"/>
          <w:sz w:val="32"/>
          <w:szCs w:val="32"/>
          <w:lang w:val="en-US" w:eastAsia="zh-CN"/>
        </w:rPr>
        <w:t>无</w:t>
      </w:r>
      <w:r>
        <w:rPr>
          <w:rFonts w:hint="eastAsia" w:ascii="仿宋_GB2312" w:hAnsi="宋体" w:eastAsia="仿宋_GB2312" w:cs="Courier New"/>
          <w:sz w:val="32"/>
          <w:szCs w:val="32"/>
        </w:rPr>
        <w:t xml:space="preserve">。公务用车运行维护费预算数比 </w:t>
      </w: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 xml:space="preserve"> </w:t>
      </w:r>
      <w:r>
        <w:rPr>
          <w:rFonts w:hint="eastAsia" w:ascii="仿宋_GB2312" w:hAnsi="宋体" w:eastAsia="仿宋_GB2312" w:cs="Courier New"/>
          <w:sz w:val="32"/>
          <w:szCs w:val="32"/>
        </w:rPr>
        <w:t>年减少</w:t>
      </w:r>
      <w:r>
        <w:rPr>
          <w:rFonts w:hint="eastAsia" w:ascii="黑体" w:hAnsi="黑体" w:eastAsia="黑体" w:cs="黑体"/>
          <w:sz w:val="32"/>
          <w:szCs w:val="32"/>
          <w:lang w:val="en-US" w:eastAsia="zh-CN"/>
        </w:rPr>
        <w:t>1.00</w:t>
      </w:r>
      <w:r>
        <w:rPr>
          <w:rFonts w:hint="eastAsia" w:ascii="仿宋_GB2312" w:hAnsi="宋体" w:eastAsia="仿宋_GB2312" w:cs="Courier New"/>
          <w:sz w:val="32"/>
          <w:szCs w:val="32"/>
        </w:rPr>
        <w:t>万元，增加（减少）的主要原因是</w:t>
      </w:r>
      <w:bookmarkStart w:id="0" w:name="_GoBack"/>
      <w:r>
        <w:rPr>
          <w:rFonts w:hint="eastAsia" w:ascii="仿宋_GB2312" w:hAnsi="宋体" w:eastAsia="仿宋_GB2312" w:cs="Courier New"/>
          <w:sz w:val="32"/>
          <w:szCs w:val="32"/>
          <w:highlight w:val="none"/>
          <w:lang w:val="en-US" w:eastAsia="zh-CN"/>
        </w:rPr>
        <w:t>公务用车运行经费预算减少。</w:t>
      </w:r>
    </w:p>
    <w:bookmarkEnd w:id="0"/>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36" w:firstLineChars="200"/>
        <w:textAlignment w:val="auto"/>
        <w:rPr>
          <w:rFonts w:hint="eastAsia" w:ascii="仿宋_GB2312" w:hAnsi="宋体" w:eastAsia="仿宋_GB2312" w:cs="Courier New"/>
          <w:sz w:val="32"/>
          <w:szCs w:val="32"/>
        </w:rPr>
      </w:pPr>
      <w:r>
        <w:rPr>
          <w:rFonts w:hint="eastAsia" w:ascii="华文楷体" w:hAnsi="华文楷体" w:eastAsia="华文楷体" w:cs="仿宋_GB2312"/>
          <w:spacing w:val="-1"/>
          <w:kern w:val="0"/>
          <w:sz w:val="32"/>
          <w:szCs w:val="32"/>
        </w:rPr>
        <w:t>（三）公务接待费</w:t>
      </w:r>
      <w:r>
        <w:rPr>
          <w:rFonts w:hint="eastAsia" w:ascii="Times New Roman" w:hAnsi="Times New Roman" w:eastAsia="华文楷体" w:cs="Times New Roman"/>
          <w:sz w:val="32"/>
          <w:szCs w:val="32"/>
          <w:lang w:val="en-US" w:eastAsia="zh-CN"/>
        </w:rPr>
        <w:t>0</w:t>
      </w:r>
      <w:r>
        <w:rPr>
          <w:rFonts w:hint="eastAsia" w:ascii="华文楷体" w:hAnsi="华文楷体" w:eastAsia="华文楷体" w:cs="Courier New"/>
          <w:sz w:val="32"/>
          <w:szCs w:val="32"/>
        </w:rPr>
        <w:t>万元</w:t>
      </w:r>
      <w:r>
        <w:rPr>
          <w:rFonts w:hint="eastAsia" w:ascii="楷体" w:hAnsi="楷体" w:eastAsia="楷体" w:cs="Courier New"/>
          <w:sz w:val="32"/>
          <w:szCs w:val="32"/>
        </w:rPr>
        <w:t>，</w:t>
      </w:r>
      <w:r>
        <w:rPr>
          <w:rFonts w:hint="eastAsia" w:ascii="仿宋_GB2312" w:hAnsi="宋体" w:eastAsia="仿宋_GB2312" w:cs="Courier New"/>
          <w:sz w:val="32"/>
          <w:szCs w:val="32"/>
        </w:rPr>
        <w:t>主要用于按规定开支的各类公务接待（含外宾接待）支出。预算数比</w:t>
      </w:r>
      <w:r>
        <w:rPr>
          <w:rFonts w:hint="default" w:ascii="Times New Roman" w:hAnsi="Times New Roman" w:eastAsia="仿宋_GB2312" w:cs="Times New Roman"/>
          <w:sz w:val="32"/>
          <w:szCs w:val="32"/>
        </w:rPr>
        <w:t xml:space="preserve"> 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宋体" w:eastAsia="仿宋_GB2312" w:cs="Courier New"/>
          <w:sz w:val="32"/>
          <w:szCs w:val="32"/>
        </w:rPr>
        <w:t>年增加</w:t>
      </w:r>
      <w:r>
        <w:rPr>
          <w:rFonts w:hint="eastAsia" w:ascii="黑体" w:hAnsi="黑体" w:eastAsia="黑体" w:cs="黑体"/>
          <w:sz w:val="32"/>
          <w:szCs w:val="32"/>
          <w:lang w:val="en-US" w:eastAsia="zh-CN"/>
        </w:rPr>
        <w:t>0</w:t>
      </w:r>
      <w:r>
        <w:rPr>
          <w:rFonts w:hint="eastAsia" w:ascii="仿宋_GB2312" w:hAnsi="宋体" w:eastAsia="仿宋_GB2312" w:cs="Courier New"/>
          <w:sz w:val="32"/>
          <w:szCs w:val="32"/>
        </w:rPr>
        <w:t>万元。增加的主要原因</w:t>
      </w:r>
      <w:r>
        <w:rPr>
          <w:rFonts w:hint="eastAsia" w:ascii="黑体" w:hAnsi="黑体" w:eastAsia="黑体" w:cs="黑体"/>
          <w:sz w:val="32"/>
          <w:szCs w:val="32"/>
          <w:lang w:val="en-US" w:eastAsia="zh-CN"/>
        </w:rPr>
        <w:t>无</w:t>
      </w:r>
      <w:r>
        <w:rPr>
          <w:rFonts w:hint="eastAsia" w:ascii="仿宋_GB2312" w:hAnsi="宋体" w:eastAsia="仿宋_GB2312" w:cs="Courier New"/>
          <w:sz w:val="32"/>
          <w:szCs w:val="32"/>
        </w:rPr>
        <w:t>。</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36" w:firstLineChars="200"/>
        <w:textAlignment w:val="auto"/>
        <w:rPr>
          <w:rFonts w:hint="eastAsia" w:ascii="仿宋_GB2312" w:hAnsi="宋体" w:eastAsia="仿宋_GB2312" w:cs="Courier New"/>
          <w:sz w:val="32"/>
          <w:szCs w:val="32"/>
        </w:rPr>
      </w:pPr>
      <w:r>
        <w:rPr>
          <w:rFonts w:hint="eastAsia" w:ascii="黑体" w:hAnsi="Times New Roman" w:eastAsia="黑体" w:cs="黑体"/>
          <w:spacing w:val="-1"/>
          <w:kern w:val="0"/>
          <w:sz w:val="32"/>
          <w:szCs w:val="32"/>
        </w:rPr>
        <w:t>九、其他重要事项的情况说明</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 w:hAnsi="楷体" w:eastAsia="楷体" w:cs="Courier New"/>
          <w:sz w:val="32"/>
          <w:szCs w:val="32"/>
          <w:highlight w:val="none"/>
        </w:rPr>
      </w:pPr>
      <w:r>
        <w:rPr>
          <w:rFonts w:hint="eastAsia" w:ascii="楷体" w:hAnsi="楷体" w:eastAsia="楷体" w:cs="仿宋_GB2312"/>
          <w:kern w:val="0"/>
          <w:sz w:val="32"/>
          <w:szCs w:val="32"/>
          <w:highlight w:val="none"/>
        </w:rPr>
        <w:t>（一）行政（事业）单位机构运转经费</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800" w:firstLineChars="250"/>
        <w:textAlignment w:val="auto"/>
        <w:rPr>
          <w:rFonts w:hint="eastAsia" w:ascii="楷体" w:hAnsi="楷体" w:eastAsia="楷体"/>
          <w:sz w:val="32"/>
          <w:szCs w:val="32"/>
          <w:highlight w:val="yellow"/>
        </w:rPr>
      </w:pPr>
      <w:r>
        <w:rPr>
          <w:rFonts w:hint="eastAsia" w:ascii="仿宋_GB2312" w:eastAsia="仿宋_GB2312"/>
          <w:sz w:val="32"/>
          <w:szCs w:val="32"/>
          <w:highlight w:val="none"/>
          <w:lang w:val="en-US" w:eastAsia="zh-CN"/>
        </w:rPr>
        <w:t>新乡市卫滨区城市管理局</w:t>
      </w:r>
      <w:r>
        <w:rPr>
          <w:rFonts w:hint="default" w:ascii="Times New Roman" w:hAnsi="Times New Roman" w:eastAsia="仿宋_GB2312" w:cs="Times New Roman"/>
          <w:sz w:val="32"/>
          <w:szCs w:val="32"/>
          <w:highlight w:val="none"/>
        </w:rPr>
        <w:t>2</w:t>
      </w:r>
      <w:r>
        <w:rPr>
          <w:rFonts w:hint="default" w:ascii="Times New Roman" w:hAnsi="Times New Roman" w:eastAsia="仿宋_GB2312" w:cs="Times New Roman"/>
          <w:sz w:val="32"/>
          <w:szCs w:val="32"/>
        </w:rPr>
        <w:t>02</w:t>
      </w:r>
      <w:r>
        <w:rPr>
          <w:rFonts w:hint="eastAsia" w:ascii="Times New Roman" w:hAnsi="Times New Roman" w:eastAsia="仿宋_GB2312" w:cs="Times New Roman"/>
          <w:sz w:val="32"/>
          <w:szCs w:val="32"/>
          <w:lang w:val="en-US" w:eastAsia="zh-CN"/>
        </w:rPr>
        <w:t>4</w:t>
      </w:r>
      <w:r>
        <w:rPr>
          <w:rFonts w:hint="eastAsia" w:ascii="仿宋_GB2312" w:hAnsi="宋体" w:eastAsia="仿宋_GB2312" w:cs="Courier New"/>
          <w:sz w:val="32"/>
          <w:szCs w:val="32"/>
        </w:rPr>
        <w:t>年机关运行经费支出预算</w:t>
      </w:r>
      <w:r>
        <w:rPr>
          <w:rFonts w:hint="eastAsia" w:ascii="Times New Roman" w:hAnsi="Times New Roman" w:eastAsia="黑体" w:cs="Times New Roman"/>
          <w:sz w:val="32"/>
          <w:szCs w:val="32"/>
          <w:lang w:val="en-US" w:eastAsia="zh-CN"/>
        </w:rPr>
        <w:t>19.96</w:t>
      </w:r>
      <w:r>
        <w:rPr>
          <w:rFonts w:hint="eastAsia" w:ascii="仿宋_GB2312" w:hAnsi="宋体" w:eastAsia="仿宋_GB2312" w:cs="Courier New"/>
          <w:sz w:val="32"/>
          <w:szCs w:val="32"/>
        </w:rPr>
        <w:t>万元，</w:t>
      </w:r>
      <w:r>
        <w:rPr>
          <w:rFonts w:hint="eastAsia" w:ascii="仿宋_GB2312" w:eastAsia="仿宋_GB2312"/>
          <w:sz w:val="32"/>
          <w:szCs w:val="32"/>
        </w:rPr>
        <w:t>主要保障机关机构正常运转及正常履职需要，</w:t>
      </w:r>
      <w:r>
        <w:rPr>
          <w:rFonts w:hint="eastAsia" w:ascii="仿宋_GB2312" w:hAnsi="宋体" w:eastAsia="仿宋_GB2312" w:cs="Courier New"/>
          <w:sz w:val="32"/>
          <w:szCs w:val="32"/>
        </w:rPr>
        <w:t>主要包括办公费、印刷费、水费、电费、邮电费、取暖费、物业管理费、差旅费、维修（护）费、会议费、专用材料费、被装购置费、办公设备购置、福利费、公务用车运行维护费等</w:t>
      </w:r>
      <w:r>
        <w:rPr>
          <w:rFonts w:hint="eastAsia" w:ascii="仿宋_GB2312" w:eastAsia="仿宋_GB2312"/>
          <w:sz w:val="32"/>
          <w:szCs w:val="32"/>
          <w:highlight w:val="none"/>
        </w:rPr>
        <w:t>。</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 w:hAnsi="楷体" w:eastAsia="楷体" w:cs="仿宋_GB2312"/>
          <w:kern w:val="0"/>
          <w:sz w:val="32"/>
          <w:szCs w:val="32"/>
        </w:rPr>
      </w:pPr>
      <w:r>
        <w:rPr>
          <w:rFonts w:hint="eastAsia" w:ascii="楷体" w:hAnsi="楷体" w:eastAsia="楷体" w:cs="仿宋_GB2312"/>
          <w:kern w:val="0"/>
          <w:sz w:val="32"/>
          <w:szCs w:val="32"/>
        </w:rPr>
        <w:t>（二）政府采购支出情况</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_GB2312" w:hAnsi="Times New Roman" w:eastAsia="楷体_GB2312" w:cs="仿宋_GB2312"/>
          <w:b/>
          <w:kern w:val="0"/>
          <w:sz w:val="32"/>
          <w:szCs w:val="32"/>
        </w:rPr>
      </w:pP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eastAsia="仿宋_GB2312"/>
          <w:sz w:val="32"/>
          <w:szCs w:val="32"/>
        </w:rPr>
        <w:t>年政府采购预算安排</w:t>
      </w:r>
      <w:r>
        <w:rPr>
          <w:rFonts w:hint="eastAsia" w:ascii="Times New Roman" w:hAnsi="Times New Roman" w:eastAsia="黑体" w:cs="Times New Roman"/>
          <w:sz w:val="32"/>
          <w:szCs w:val="32"/>
          <w:lang w:val="en-US" w:eastAsia="zh-CN"/>
        </w:rPr>
        <w:t>0</w:t>
      </w:r>
      <w:r>
        <w:rPr>
          <w:rFonts w:hint="eastAsia" w:ascii="仿宋_GB2312" w:eastAsia="仿宋_GB2312"/>
          <w:sz w:val="32"/>
          <w:szCs w:val="32"/>
        </w:rPr>
        <w:t>万元，其中：政府采购货物预算</w:t>
      </w:r>
      <w:r>
        <w:rPr>
          <w:rFonts w:hint="eastAsia" w:ascii="Times New Roman" w:hAnsi="Times New Roman" w:eastAsia="黑体" w:cs="Times New Roman"/>
          <w:sz w:val="32"/>
          <w:szCs w:val="32"/>
          <w:lang w:val="en-US" w:eastAsia="zh-CN"/>
        </w:rPr>
        <w:t>0</w:t>
      </w:r>
      <w:r>
        <w:rPr>
          <w:rFonts w:hint="eastAsia" w:ascii="仿宋_GB2312" w:eastAsia="仿宋_GB2312"/>
          <w:sz w:val="32"/>
          <w:szCs w:val="32"/>
        </w:rPr>
        <w:t>万元、政府采购工程预算</w:t>
      </w:r>
      <w:r>
        <w:rPr>
          <w:rFonts w:hint="eastAsia" w:ascii="Times New Roman" w:hAnsi="Times New Roman" w:eastAsia="黑体" w:cs="Times New Roman"/>
          <w:sz w:val="32"/>
          <w:szCs w:val="32"/>
          <w:lang w:val="en-US" w:eastAsia="zh-CN"/>
        </w:rPr>
        <w:t>0</w:t>
      </w:r>
      <w:r>
        <w:rPr>
          <w:rFonts w:hint="eastAsia" w:ascii="仿宋_GB2312" w:eastAsia="仿宋_GB2312"/>
          <w:sz w:val="32"/>
          <w:szCs w:val="32"/>
        </w:rPr>
        <w:t>万元、政府采购服务预算</w:t>
      </w:r>
      <w:r>
        <w:rPr>
          <w:rFonts w:hint="eastAsia" w:ascii="Times New Roman" w:hAnsi="Times New Roman" w:eastAsia="黑体" w:cs="Times New Roman"/>
          <w:sz w:val="32"/>
          <w:szCs w:val="32"/>
          <w:lang w:val="en-US" w:eastAsia="zh-CN"/>
        </w:rPr>
        <w:t>0</w:t>
      </w:r>
      <w:r>
        <w:rPr>
          <w:rFonts w:hint="eastAsia" w:ascii="仿宋_GB2312" w:eastAsia="仿宋_GB2312"/>
          <w:sz w:val="32"/>
          <w:szCs w:val="32"/>
        </w:rPr>
        <w:t>万元。</w:t>
      </w:r>
    </w:p>
    <w:p>
      <w:pPr>
        <w:keepNext w:val="0"/>
        <w:keepLines w:val="0"/>
        <w:pageBreakBefore w:val="0"/>
        <w:widowControl w:val="0"/>
        <w:numPr>
          <w:ilvl w:val="0"/>
          <w:numId w:val="4"/>
        </w:numPr>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 w:hAnsi="楷体" w:eastAsia="楷体" w:cs="仿宋_GB2312"/>
          <w:kern w:val="0"/>
          <w:sz w:val="32"/>
          <w:szCs w:val="32"/>
        </w:rPr>
      </w:pPr>
      <w:r>
        <w:rPr>
          <w:rFonts w:hint="eastAsia" w:ascii="楷体" w:hAnsi="楷体" w:eastAsia="楷体" w:cs="仿宋_GB2312"/>
          <w:kern w:val="0"/>
          <w:sz w:val="32"/>
          <w:szCs w:val="32"/>
          <w:lang w:eastAsia="zh-CN"/>
        </w:rPr>
        <w:t>绩效目标设置及</w:t>
      </w:r>
      <w:r>
        <w:rPr>
          <w:rFonts w:hint="eastAsia" w:ascii="楷体" w:hAnsi="楷体" w:eastAsia="楷体" w:cs="仿宋_GB2312"/>
          <w:kern w:val="0"/>
          <w:sz w:val="32"/>
          <w:szCs w:val="32"/>
        </w:rPr>
        <w:t>预算绩效管理工作开展情况</w:t>
      </w:r>
    </w:p>
    <w:p>
      <w:pPr>
        <w:pStyle w:val="4"/>
        <w:ind w:firstLine="640" w:firstLineChars="200"/>
        <w:rPr>
          <w:rFonts w:hint="eastAsia" w:ascii="仿宋_GB2312" w:hAnsi="Times New Roman" w:eastAsia="仿宋_GB2312" w:cs="黑体"/>
          <w:sz w:val="32"/>
          <w:szCs w:val="32"/>
          <w:lang w:val="en-US" w:eastAsia="zh-CN"/>
        </w:rPr>
      </w:pPr>
      <w:r>
        <w:rPr>
          <w:rFonts w:hint="eastAsia" w:ascii="仿宋_GB2312" w:hAnsi="Times New Roman" w:eastAsia="仿宋_GB2312" w:cs="黑体"/>
          <w:sz w:val="32"/>
          <w:szCs w:val="32"/>
        </w:rPr>
        <w:t>我</w:t>
      </w:r>
      <w:r>
        <w:rPr>
          <w:rFonts w:hint="eastAsia" w:ascii="仿宋_GB2312" w:hAnsi="Times New Roman" w:eastAsia="仿宋_GB2312" w:cs="黑体"/>
          <w:sz w:val="32"/>
          <w:szCs w:val="32"/>
          <w:lang w:eastAsia="zh-CN"/>
        </w:rPr>
        <w:t>单位</w:t>
      </w:r>
      <w:r>
        <w:rPr>
          <w:rFonts w:hint="eastAsia" w:ascii="仿宋_GB2312" w:hAnsi="Times New Roman" w:eastAsia="仿宋_GB2312" w:cs="黑体"/>
          <w:sz w:val="32"/>
          <w:szCs w:val="32"/>
        </w:rPr>
        <w:t>202</w:t>
      </w:r>
      <w:r>
        <w:rPr>
          <w:rFonts w:hint="eastAsia" w:ascii="仿宋_GB2312" w:hAnsi="Times New Roman" w:eastAsia="仿宋_GB2312" w:cs="黑体"/>
          <w:sz w:val="32"/>
          <w:szCs w:val="32"/>
          <w:lang w:val="en-US" w:eastAsia="zh-CN"/>
        </w:rPr>
        <w:t>4</w:t>
      </w:r>
      <w:r>
        <w:rPr>
          <w:rFonts w:hint="eastAsia" w:ascii="仿宋_GB2312" w:hAnsi="Times New Roman" w:eastAsia="仿宋_GB2312" w:cs="黑体"/>
          <w:sz w:val="32"/>
          <w:szCs w:val="32"/>
        </w:rPr>
        <w:t>年预算项目均按要求编制了绩效目标，从项目产出、项目效益、满意度等方面设置了绩效指标，综合反映项目预期完成的数量、实效、质量，预期达到的社会经济效益、可持续影响以及服务对象满意度等情况。</w:t>
      </w:r>
      <w:r>
        <w:rPr>
          <w:rFonts w:hint="eastAsia" w:ascii="仿宋_GB2312" w:hAnsi="Times New Roman" w:eastAsia="仿宋_GB2312" w:cs="黑体"/>
          <w:sz w:val="32"/>
          <w:szCs w:val="32"/>
          <w:lang w:val="en-US" w:eastAsia="zh-CN"/>
        </w:rPr>
        <w:t xml:space="preserve"> </w:t>
      </w:r>
    </w:p>
    <w:p>
      <w:pPr>
        <w:keepNext w:val="0"/>
        <w:keepLines w:val="0"/>
        <w:pageBreakBefore w:val="0"/>
        <w:widowControl w:val="0"/>
        <w:numPr>
          <w:ilvl w:val="0"/>
          <w:numId w:val="0"/>
        </w:numPr>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lang w:eastAsia="zh-CN"/>
        </w:rPr>
      </w:pPr>
      <w:r>
        <w:rPr>
          <w:rFonts w:hint="default" w:ascii="Times New Roman" w:hAnsi="Times New Roman" w:eastAsia="仿宋_GB2312" w:cs="Times New Roman"/>
          <w:color w:val="auto"/>
          <w:sz w:val="32"/>
          <w:szCs w:val="32"/>
        </w:rPr>
        <w:t>20</w:t>
      </w:r>
      <w:r>
        <w:rPr>
          <w:rFonts w:hint="default" w:ascii="Times New Roman" w:hAnsi="Times New Roman" w:eastAsia="仿宋_GB2312" w:cs="Times New Roman"/>
          <w:color w:val="auto"/>
          <w:sz w:val="32"/>
          <w:szCs w:val="32"/>
          <w:lang w:val="en-US" w:eastAsia="zh-CN"/>
        </w:rPr>
        <w:t>2</w:t>
      </w:r>
      <w:r>
        <w:rPr>
          <w:rFonts w:hint="eastAsia" w:ascii="Times New Roman" w:hAnsi="Times New Roman" w:eastAsia="仿宋_GB2312" w:cs="Times New Roman"/>
          <w:color w:val="auto"/>
          <w:sz w:val="32"/>
          <w:szCs w:val="32"/>
          <w:lang w:val="en-US" w:eastAsia="zh-CN"/>
        </w:rPr>
        <w:t>3</w:t>
      </w:r>
      <w:r>
        <w:rPr>
          <w:rFonts w:hint="eastAsia" w:ascii="仿宋_GB2312" w:hAnsi="宋体" w:eastAsia="仿宋_GB2312" w:cs="Courier New"/>
          <w:color w:val="auto"/>
          <w:sz w:val="32"/>
          <w:szCs w:val="32"/>
        </w:rPr>
        <w:t>年，共组织对</w:t>
      </w:r>
      <w:r>
        <w:rPr>
          <w:rFonts w:hint="eastAsia" w:ascii="Times New Roman" w:hAnsi="Times New Roman" w:eastAsia="黑体" w:cs="Times New Roman"/>
          <w:color w:val="auto"/>
          <w:sz w:val="32"/>
          <w:szCs w:val="32"/>
          <w:lang w:val="en-US" w:eastAsia="zh-CN"/>
        </w:rPr>
        <w:t>3</w:t>
      </w:r>
      <w:r>
        <w:rPr>
          <w:rFonts w:hint="eastAsia" w:ascii="仿宋_GB2312" w:hAnsi="宋体" w:eastAsia="仿宋_GB2312" w:cs="Courier New"/>
          <w:color w:val="auto"/>
          <w:sz w:val="32"/>
          <w:szCs w:val="32"/>
        </w:rPr>
        <w:t>个项目进行了预算绩效评价，涉及资金</w:t>
      </w:r>
      <w:r>
        <w:rPr>
          <w:rFonts w:hint="eastAsia" w:ascii="Times New Roman" w:hAnsi="Times New Roman" w:eastAsia="黑体" w:cs="Times New Roman"/>
          <w:color w:val="auto"/>
          <w:sz w:val="32"/>
          <w:szCs w:val="32"/>
          <w:lang w:val="en-US" w:eastAsia="zh-CN"/>
        </w:rPr>
        <w:t>1433.84</w:t>
      </w:r>
      <w:r>
        <w:rPr>
          <w:rFonts w:hint="eastAsia" w:ascii="仿宋_GB2312" w:hAnsi="宋体" w:eastAsia="仿宋_GB2312" w:cs="Courier New"/>
          <w:color w:val="auto"/>
          <w:sz w:val="32"/>
          <w:szCs w:val="32"/>
        </w:rPr>
        <w:t>万元</w:t>
      </w:r>
      <w:r>
        <w:rPr>
          <w:rFonts w:hint="eastAsia" w:ascii="仿宋_GB2312" w:hAnsi="宋体" w:eastAsia="仿宋_GB2312" w:cs="Courier New"/>
          <w:sz w:val="32"/>
          <w:szCs w:val="32"/>
        </w:rPr>
        <w:t>，</w:t>
      </w:r>
      <w:r>
        <w:rPr>
          <w:rFonts w:hint="eastAsia" w:ascii="仿宋_GB2312" w:hAnsi="Times New Roman" w:eastAsia="仿宋_GB2312" w:cs="黑体"/>
          <w:sz w:val="32"/>
          <w:szCs w:val="32"/>
        </w:rPr>
        <w:t>绩效评价结果显示，项目支出绩效情况较为理想，达到了项目申请时设定的各项绩效目标</w:t>
      </w:r>
      <w:r>
        <w:rPr>
          <w:rFonts w:hint="eastAsia" w:ascii="仿宋_GB2312" w:hAnsi="宋体" w:eastAsia="仿宋_GB2312" w:cs="Courier New"/>
          <w:sz w:val="32"/>
          <w:szCs w:val="32"/>
        </w:rPr>
        <w:t>。</w:t>
      </w:r>
      <w:r>
        <w:rPr>
          <w:rFonts w:hint="default" w:ascii="Times New Roman" w:hAnsi="Times New Roman" w:eastAsia="仿宋_GB2312" w:cs="Times New Roman"/>
          <w:color w:val="auto"/>
          <w:sz w:val="32"/>
          <w:szCs w:val="32"/>
        </w:rPr>
        <w:t>20</w:t>
      </w:r>
      <w:r>
        <w:rPr>
          <w:rFonts w:hint="default" w:ascii="Times New Roman" w:hAnsi="Times New Roman" w:eastAsia="仿宋_GB2312" w:cs="Times New Roman"/>
          <w:color w:val="auto"/>
          <w:sz w:val="32"/>
          <w:szCs w:val="32"/>
          <w:lang w:val="en-US" w:eastAsia="zh-CN"/>
        </w:rPr>
        <w:t>2</w:t>
      </w:r>
      <w:r>
        <w:rPr>
          <w:rFonts w:hint="eastAsia" w:ascii="Times New Roman" w:hAnsi="Times New Roman" w:eastAsia="仿宋_GB2312" w:cs="Times New Roman"/>
          <w:color w:val="auto"/>
          <w:sz w:val="32"/>
          <w:szCs w:val="32"/>
          <w:lang w:val="en-US" w:eastAsia="zh-CN"/>
        </w:rPr>
        <w:t>4</w:t>
      </w:r>
      <w:r>
        <w:rPr>
          <w:rFonts w:hint="eastAsia" w:ascii="仿宋_GB2312" w:hAnsi="宋体" w:eastAsia="仿宋_GB2312" w:cs="Courier New"/>
          <w:color w:val="auto"/>
          <w:sz w:val="32"/>
          <w:szCs w:val="32"/>
        </w:rPr>
        <w:t>年，拟组织对</w:t>
      </w:r>
      <w:r>
        <w:rPr>
          <w:rFonts w:hint="eastAsia" w:ascii="Times New Roman" w:hAnsi="Times New Roman" w:eastAsia="黑体" w:cs="Times New Roman"/>
          <w:color w:val="auto"/>
          <w:sz w:val="32"/>
          <w:szCs w:val="32"/>
          <w:lang w:val="en-US" w:eastAsia="zh-CN"/>
        </w:rPr>
        <w:t>2</w:t>
      </w:r>
      <w:r>
        <w:rPr>
          <w:rFonts w:hint="eastAsia" w:ascii="仿宋_GB2312" w:hAnsi="宋体" w:eastAsia="仿宋_GB2312" w:cs="Courier New"/>
          <w:color w:val="auto"/>
          <w:sz w:val="32"/>
          <w:szCs w:val="32"/>
        </w:rPr>
        <w:t>个项目进行预算绩效评价，涉及资金</w:t>
      </w:r>
      <w:r>
        <w:rPr>
          <w:rFonts w:hint="eastAsia" w:ascii="Times New Roman" w:hAnsi="Times New Roman" w:eastAsia="黑体" w:cs="Times New Roman"/>
          <w:color w:val="auto"/>
          <w:sz w:val="32"/>
          <w:szCs w:val="32"/>
          <w:lang w:val="en-US" w:eastAsia="zh-CN"/>
        </w:rPr>
        <w:t>72.00</w:t>
      </w:r>
      <w:r>
        <w:rPr>
          <w:rFonts w:hint="eastAsia" w:ascii="仿宋_GB2312" w:hAnsi="宋体" w:eastAsia="仿宋_GB2312" w:cs="Courier New"/>
          <w:color w:val="auto"/>
          <w:sz w:val="32"/>
          <w:szCs w:val="32"/>
        </w:rPr>
        <w:t>万元</w:t>
      </w:r>
      <w:r>
        <w:rPr>
          <w:rFonts w:hint="eastAsia" w:ascii="仿宋_GB2312" w:hAnsi="宋体" w:eastAsia="仿宋_GB2312" w:cs="Courier New"/>
          <w:sz w:val="32"/>
          <w:szCs w:val="32"/>
          <w:lang w:eastAsia="zh-CN"/>
        </w:rPr>
        <w:t>。</w:t>
      </w:r>
    </w:p>
    <w:p>
      <w:pPr>
        <w:keepNext w:val="0"/>
        <w:keepLines w:val="0"/>
        <w:pageBreakBefore w:val="0"/>
        <w:widowControl w:val="0"/>
        <w:numPr>
          <w:ilvl w:val="0"/>
          <w:numId w:val="0"/>
        </w:numPr>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highlight w:val="yellow"/>
        </w:rPr>
      </w:pPr>
      <w:r>
        <w:rPr>
          <w:rFonts w:hint="eastAsia" w:ascii="仿宋_GB2312" w:hAnsi="仿宋_GB2312" w:eastAsia="仿宋_GB2312" w:cs="仿宋_GB2312"/>
          <w:sz w:val="32"/>
          <w:szCs w:val="32"/>
          <w:highlight w:val="none"/>
          <w:lang w:val="en-US" w:eastAsia="zh-CN"/>
        </w:rPr>
        <w:t>我单位</w:t>
      </w:r>
      <w:r>
        <w:rPr>
          <w:rFonts w:hint="default" w:ascii="Times New Roman" w:hAnsi="Times New Roman" w:eastAsia="仿宋_GB2312" w:cs="Times New Roman"/>
          <w:sz w:val="32"/>
          <w:szCs w:val="32"/>
          <w:highlight w:val="none"/>
          <w:lang w:val="en-US" w:eastAsia="zh-CN"/>
        </w:rPr>
        <w:t>202</w:t>
      </w:r>
      <w:r>
        <w:rPr>
          <w:rFonts w:hint="eastAsia" w:ascii="Times New Roman" w:hAnsi="Times New Roman" w:eastAsia="仿宋_GB2312" w:cs="Times New Roman"/>
          <w:sz w:val="32"/>
          <w:szCs w:val="32"/>
          <w:highlight w:val="none"/>
          <w:lang w:val="en-US" w:eastAsia="zh-CN"/>
        </w:rPr>
        <w:t>4</w:t>
      </w:r>
      <w:r>
        <w:rPr>
          <w:rFonts w:hint="eastAsia" w:ascii="仿宋_GB2312" w:hAnsi="仿宋_GB2312" w:eastAsia="仿宋_GB2312" w:cs="仿宋_GB2312"/>
          <w:sz w:val="32"/>
          <w:szCs w:val="32"/>
          <w:highlight w:val="none"/>
          <w:lang w:val="en-US" w:eastAsia="zh-CN"/>
        </w:rPr>
        <w:t>年未开展重点项目预算的绩效目标。</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 w:hAnsi="楷体" w:eastAsia="楷体" w:cs="仿宋_GB2312"/>
          <w:kern w:val="0"/>
          <w:sz w:val="32"/>
          <w:szCs w:val="32"/>
        </w:rPr>
      </w:pPr>
      <w:r>
        <w:rPr>
          <w:rFonts w:hint="eastAsia" w:ascii="楷体" w:hAnsi="楷体" w:eastAsia="楷体" w:cs="仿宋_GB2312"/>
          <w:kern w:val="0"/>
          <w:sz w:val="32"/>
          <w:szCs w:val="32"/>
        </w:rPr>
        <w:t>（四）国有资产占用情况</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highlight w:val="red"/>
          <w:lang w:eastAsia="zh-CN"/>
        </w:rPr>
      </w:pP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宋体" w:eastAsia="仿宋_GB2312" w:cs="Courier New"/>
          <w:sz w:val="32"/>
          <w:szCs w:val="32"/>
        </w:rPr>
        <w:t>年资产总额</w:t>
      </w:r>
      <w:r>
        <w:rPr>
          <w:rFonts w:hint="eastAsia" w:ascii="Times New Roman" w:hAnsi="Times New Roman" w:eastAsia="仿宋_GB2312" w:cs="Times New Roman"/>
          <w:sz w:val="32"/>
          <w:szCs w:val="32"/>
          <w:lang w:val="en-US" w:eastAsia="zh-CN"/>
        </w:rPr>
        <w:t>6445.14</w:t>
      </w:r>
      <w:r>
        <w:rPr>
          <w:rFonts w:hint="eastAsia" w:ascii="仿宋_GB2312" w:hAnsi="宋体" w:eastAsia="仿宋_GB2312" w:cs="Courier New"/>
          <w:sz w:val="32"/>
          <w:szCs w:val="32"/>
        </w:rPr>
        <w:t>万元，较上年，</w:t>
      </w:r>
      <w:r>
        <w:rPr>
          <w:rFonts w:hint="eastAsia" w:ascii="仿宋_GB2312" w:hAnsi="宋体" w:eastAsia="仿宋_GB2312" w:cs="Courier New"/>
          <w:color w:val="000000"/>
          <w:sz w:val="32"/>
          <w:szCs w:val="32"/>
        </w:rPr>
        <w:t>增长</w:t>
      </w:r>
      <w:r>
        <w:rPr>
          <w:rFonts w:hint="eastAsia" w:ascii="Times New Roman" w:hAnsi="Times New Roman" w:eastAsia="仿宋_GB2312" w:cs="Times New Roman"/>
          <w:color w:val="000000"/>
          <w:sz w:val="32"/>
          <w:szCs w:val="32"/>
          <w:lang w:val="en-US" w:eastAsia="zh-CN"/>
        </w:rPr>
        <w:t>0.01</w:t>
      </w:r>
      <w:r>
        <w:rPr>
          <w:rFonts w:hint="default" w:ascii="Times New Roman" w:hAnsi="Times New Roman" w:eastAsia="仿宋_GB2312" w:cs="Times New Roman"/>
          <w:sz w:val="32"/>
          <w:szCs w:val="32"/>
        </w:rPr>
        <w:t>%</w:t>
      </w:r>
      <w:r>
        <w:rPr>
          <w:rFonts w:hint="eastAsia" w:ascii="仿宋_GB2312" w:hAnsi="宋体" w:eastAsia="仿宋_GB2312" w:cs="Courier New"/>
          <w:sz w:val="32"/>
          <w:szCs w:val="32"/>
        </w:rPr>
        <w:t>。其中：固定资产</w:t>
      </w:r>
      <w:r>
        <w:rPr>
          <w:rFonts w:hint="eastAsia" w:ascii="Times New Roman" w:hAnsi="Times New Roman" w:eastAsia="仿宋_GB2312" w:cs="Times New Roman"/>
          <w:sz w:val="32"/>
          <w:szCs w:val="32"/>
          <w:lang w:val="en-US" w:eastAsia="zh-CN"/>
        </w:rPr>
        <w:t>794.64</w:t>
      </w:r>
      <w:r>
        <w:rPr>
          <w:rFonts w:hint="eastAsia" w:ascii="仿宋_GB2312" w:hAnsi="宋体" w:eastAsia="仿宋_GB2312" w:cs="Courier New"/>
          <w:sz w:val="32"/>
          <w:szCs w:val="32"/>
        </w:rPr>
        <w:t>万元，无形资产</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万元。</w:t>
      </w:r>
      <w:r>
        <w:rPr>
          <w:rFonts w:hint="eastAsia" w:ascii="仿宋_GB2312" w:hAnsi="宋体" w:eastAsia="仿宋_GB2312" w:cs="Courier New"/>
          <w:color w:val="000000"/>
          <w:sz w:val="32"/>
          <w:szCs w:val="32"/>
        </w:rPr>
        <w:t>增长</w:t>
      </w:r>
      <w:r>
        <w:rPr>
          <w:rFonts w:hint="eastAsia" w:ascii="仿宋_GB2312" w:hAnsi="宋体" w:eastAsia="仿宋_GB2312" w:cs="Courier New"/>
          <w:sz w:val="32"/>
          <w:szCs w:val="32"/>
        </w:rPr>
        <w:t>主要原因：</w:t>
      </w:r>
      <w:r>
        <w:rPr>
          <w:rFonts w:hint="eastAsia" w:ascii="仿宋_GB2312" w:hAnsi="宋体" w:eastAsia="仿宋_GB2312" w:cs="Courier New"/>
          <w:sz w:val="32"/>
          <w:szCs w:val="32"/>
          <w:lang w:val="en-US" w:eastAsia="zh-CN"/>
        </w:rPr>
        <w:t>固定资产增加</w:t>
      </w:r>
      <w:r>
        <w:rPr>
          <w:rFonts w:hint="eastAsia" w:ascii="仿宋_GB2312" w:hAnsi="宋体" w:eastAsia="仿宋_GB2312" w:cs="Courier New"/>
          <w:sz w:val="32"/>
          <w:szCs w:val="32"/>
        </w:rPr>
        <w:t>。</w:t>
      </w: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宋体" w:eastAsia="仿宋_GB2312" w:cs="Courier New"/>
          <w:sz w:val="32"/>
          <w:szCs w:val="32"/>
        </w:rPr>
        <w:t>年期末，</w:t>
      </w:r>
      <w:r>
        <w:rPr>
          <w:rFonts w:hint="eastAsia" w:ascii="仿宋_GB2312" w:hAnsi="宋体" w:eastAsia="仿宋_GB2312" w:cs="Courier New"/>
          <w:sz w:val="32"/>
          <w:szCs w:val="32"/>
          <w:highlight w:val="none"/>
          <w:lang w:val="en-US" w:eastAsia="zh-CN"/>
        </w:rPr>
        <w:t>新乡市卫滨区城市管理局</w:t>
      </w:r>
      <w:r>
        <w:rPr>
          <w:rFonts w:hint="eastAsia" w:ascii="仿宋_GB2312" w:hAnsi="宋体" w:eastAsia="仿宋_GB2312" w:cs="Courier New"/>
          <w:sz w:val="32"/>
          <w:szCs w:val="32"/>
        </w:rPr>
        <w:t>共有车辆</w:t>
      </w:r>
      <w:r>
        <w:rPr>
          <w:rFonts w:hint="eastAsia" w:ascii="Times New Roman" w:hAnsi="Times New Roman" w:eastAsia="仿宋_GB2312" w:cs="Times New Roman"/>
          <w:sz w:val="32"/>
          <w:szCs w:val="32"/>
          <w:lang w:val="en-US" w:eastAsia="zh-CN"/>
        </w:rPr>
        <w:t>23</w:t>
      </w:r>
      <w:r>
        <w:rPr>
          <w:rFonts w:hint="eastAsia" w:ascii="仿宋_GB2312" w:hAnsi="宋体" w:eastAsia="仿宋_GB2312" w:cs="Courier New"/>
          <w:sz w:val="32"/>
          <w:szCs w:val="32"/>
        </w:rPr>
        <w:t>辆，其中：一般公务用车</w:t>
      </w:r>
      <w:r>
        <w:rPr>
          <w:rFonts w:hint="eastAsia" w:ascii="Times New Roman" w:hAnsi="Times New Roman" w:eastAsia="仿宋_GB2312" w:cs="Times New Roman"/>
          <w:sz w:val="32"/>
          <w:szCs w:val="32"/>
          <w:lang w:val="en-US" w:eastAsia="zh-CN"/>
        </w:rPr>
        <w:t>5</w:t>
      </w:r>
      <w:r>
        <w:rPr>
          <w:rFonts w:hint="eastAsia" w:ascii="仿宋_GB2312" w:hAnsi="宋体" w:eastAsia="仿宋_GB2312" w:cs="Courier New"/>
          <w:sz w:val="32"/>
          <w:szCs w:val="32"/>
        </w:rPr>
        <w:t>辆、一般执法执勤用车</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辆、特种专业技术用车</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辆，其他用车</w:t>
      </w:r>
      <w:r>
        <w:rPr>
          <w:rFonts w:hint="eastAsia" w:ascii="Times New Roman" w:hAnsi="Times New Roman" w:eastAsia="仿宋_GB2312" w:cs="Times New Roman"/>
          <w:sz w:val="32"/>
          <w:szCs w:val="32"/>
          <w:lang w:val="en-US" w:eastAsia="zh-CN"/>
        </w:rPr>
        <w:t>18</w:t>
      </w:r>
      <w:r>
        <w:rPr>
          <w:rFonts w:hint="eastAsia" w:ascii="仿宋_GB2312" w:hAnsi="宋体" w:eastAsia="仿宋_GB2312" w:cs="Courier New"/>
          <w:sz w:val="32"/>
          <w:szCs w:val="32"/>
        </w:rPr>
        <w:t>辆，其他用车主要是</w:t>
      </w:r>
      <w:r>
        <w:rPr>
          <w:rFonts w:hint="eastAsia" w:ascii="仿宋_GB2312" w:hAnsi="宋体" w:eastAsia="仿宋_GB2312" w:cs="Courier New"/>
          <w:sz w:val="32"/>
          <w:szCs w:val="32"/>
          <w:lang w:val="en-US" w:eastAsia="zh-CN"/>
        </w:rPr>
        <w:t>环卫车辆</w:t>
      </w:r>
      <w:r>
        <w:rPr>
          <w:rFonts w:hint="eastAsia" w:ascii="仿宋_GB2312" w:hAnsi="宋体" w:eastAsia="仿宋_GB2312" w:cs="Courier New"/>
          <w:sz w:val="32"/>
          <w:szCs w:val="32"/>
        </w:rPr>
        <w:t>；单价</w:t>
      </w:r>
      <w:r>
        <w:rPr>
          <w:rFonts w:hint="default" w:ascii="Times New Roman" w:hAnsi="Times New Roman" w:eastAsia="仿宋_GB2312" w:cs="Times New Roman"/>
          <w:sz w:val="32"/>
          <w:szCs w:val="32"/>
        </w:rPr>
        <w:t>50</w:t>
      </w:r>
      <w:r>
        <w:rPr>
          <w:rFonts w:hint="eastAsia" w:ascii="仿宋_GB2312" w:hAnsi="宋体" w:eastAsia="仿宋_GB2312" w:cs="Courier New"/>
          <w:sz w:val="32"/>
          <w:szCs w:val="32"/>
        </w:rPr>
        <w:t>万元以上通用设备</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台（套），单位价值</w:t>
      </w:r>
      <w:r>
        <w:rPr>
          <w:rFonts w:hint="default" w:ascii="Times New Roman" w:hAnsi="Times New Roman" w:eastAsia="仿宋_GB2312" w:cs="Times New Roman"/>
          <w:sz w:val="32"/>
          <w:szCs w:val="32"/>
        </w:rPr>
        <w:t>100</w:t>
      </w:r>
      <w:r>
        <w:rPr>
          <w:rFonts w:hint="eastAsia" w:ascii="仿宋_GB2312" w:hAnsi="宋体" w:eastAsia="仿宋_GB2312" w:cs="Courier New"/>
          <w:sz w:val="32"/>
          <w:szCs w:val="32"/>
        </w:rPr>
        <w:t>万元以上专用设备</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台（套）。</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 w:hAnsi="楷体" w:eastAsia="楷体" w:cs="仿宋_GB2312"/>
          <w:kern w:val="0"/>
          <w:sz w:val="32"/>
          <w:szCs w:val="32"/>
        </w:rPr>
      </w:pPr>
      <w:r>
        <w:rPr>
          <w:rFonts w:hint="eastAsia" w:ascii="楷体" w:hAnsi="楷体" w:eastAsia="楷体" w:cs="仿宋_GB2312"/>
          <w:kern w:val="0"/>
          <w:sz w:val="32"/>
          <w:szCs w:val="32"/>
        </w:rPr>
        <w:t>（五）支出预算经济分类情况</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r>
        <w:rPr>
          <w:rFonts w:hint="eastAsia" w:ascii="仿宋_GB2312" w:hAnsi="宋体" w:eastAsia="仿宋_GB2312" w:cs="Courier New"/>
          <w:sz w:val="32"/>
          <w:szCs w:val="32"/>
          <w:highlight w:val="none"/>
          <w:lang w:val="en-US" w:eastAsia="zh-CN"/>
        </w:rPr>
        <w:t>新乡市卫滨区城市管理局</w:t>
      </w:r>
      <w:r>
        <w:rPr>
          <w:rFonts w:hint="eastAsia" w:ascii="仿宋_GB2312" w:hAnsi="宋体" w:eastAsia="仿宋_GB2312" w:cs="Courier New"/>
          <w:sz w:val="32"/>
          <w:szCs w:val="32"/>
        </w:rPr>
        <w:t>按照《财政部关于印发&lt;支出经济分类科目改革方案&gt;的通知》(财预〔</w:t>
      </w:r>
      <w:r>
        <w:rPr>
          <w:rFonts w:hint="default" w:ascii="Times New Roman" w:hAnsi="Times New Roman" w:eastAsia="仿宋_GB2312" w:cs="Times New Roman"/>
          <w:sz w:val="32"/>
          <w:szCs w:val="32"/>
        </w:rPr>
        <w:t>2018</w:t>
      </w:r>
      <w:r>
        <w:rPr>
          <w:rFonts w:hint="eastAsia" w:ascii="仿宋_GB2312" w:hAnsi="宋体" w:eastAsia="仿宋_GB2312" w:cs="Courier New"/>
          <w:sz w:val="32"/>
          <w:szCs w:val="32"/>
        </w:rPr>
        <w:t>〕</w:t>
      </w:r>
      <w:r>
        <w:rPr>
          <w:rFonts w:hint="default" w:ascii="Times New Roman" w:hAnsi="Times New Roman" w:eastAsia="仿宋_GB2312" w:cs="Times New Roman"/>
          <w:sz w:val="32"/>
          <w:szCs w:val="32"/>
        </w:rPr>
        <w:t>98</w:t>
      </w:r>
      <w:r>
        <w:rPr>
          <w:rFonts w:hint="eastAsia" w:ascii="仿宋_GB2312" w:hAnsi="宋体" w:eastAsia="仿宋_GB2312" w:cs="Courier New"/>
          <w:sz w:val="32"/>
          <w:szCs w:val="32"/>
        </w:rPr>
        <w:t>号)要求，从</w:t>
      </w:r>
      <w:r>
        <w:rPr>
          <w:rFonts w:hint="default" w:ascii="Times New Roman" w:hAnsi="Times New Roman" w:eastAsia="仿宋_GB2312" w:cs="Times New Roman"/>
          <w:sz w:val="32"/>
          <w:szCs w:val="32"/>
        </w:rPr>
        <w:t>2018</w:t>
      </w:r>
      <w:r>
        <w:rPr>
          <w:rFonts w:hint="eastAsia" w:ascii="仿宋_GB2312" w:hAnsi="宋体" w:eastAsia="仿宋_GB2312" w:cs="Courier New"/>
          <w:sz w:val="32"/>
          <w:szCs w:val="32"/>
        </w:rPr>
        <w:t>年起全面实施支出经济分类科目改革，根据政府预算管理和部门预算管理的不同特点，分设部门预算支出经济分类科目和政府预算支出经济分类科目，两套科目之间保持对应关系。为适应改革要求，</w:t>
      </w:r>
      <w:r>
        <w:rPr>
          <w:rFonts w:hint="eastAsia" w:ascii="仿宋_GB2312" w:hAnsi="宋体" w:eastAsia="仿宋_GB2312" w:cs="Courier New"/>
          <w:sz w:val="32"/>
          <w:szCs w:val="32"/>
          <w:highlight w:val="none"/>
          <w:lang w:val="en-US" w:eastAsia="zh-CN"/>
        </w:rPr>
        <w:t>新乡市卫滨区城市管理局</w:t>
      </w:r>
      <w:r>
        <w:rPr>
          <w:rFonts w:hint="eastAsia" w:ascii="仿宋_GB2312" w:hAnsi="宋体" w:eastAsia="仿宋_GB2312" w:cs="Courier New"/>
          <w:sz w:val="32"/>
          <w:szCs w:val="32"/>
          <w:highlight w:val="none"/>
          <w:lang w:eastAsia="zh-CN"/>
        </w:rPr>
        <w:t>《支出经济分类汇总表》从 2018年起从仅反映一般公共预算基本支出经济分类科目预算调整为按</w:t>
      </w:r>
      <w:r>
        <w:rPr>
          <w:rFonts w:hint="eastAsia" w:ascii="仿宋_GB2312" w:hAnsi="宋体" w:eastAsia="仿宋_GB2312" w:cs="Courier New"/>
          <w:sz w:val="32"/>
          <w:szCs w:val="32"/>
        </w:rPr>
        <w:t>两套经济分类科目分别反映不同资金来源的全部预算支出。</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r>
        <w:rPr>
          <w:rFonts w:hint="eastAsia" w:ascii="黑体" w:hAnsi="黑体" w:eastAsia="黑体"/>
          <w:sz w:val="32"/>
          <w:szCs w:val="32"/>
        </w:rPr>
        <w:t>第三部分  名词解释</w:t>
      </w: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一、财政拨款收入：是指区级财政当年拨付的资金。</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二、事业收入：是指事业单位开展专业活动及辅助活动所取得的收入。</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 xml:space="preserve">三、单位其他收入：是指部门取得的除“财政拨款”、“事业收入”、“事业单位经营收入”等以外的收入。 </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四、用事业基金弥补收支差额：是指事业单位在当年的“财政拨款收入”、“事业收入”、“经营收入”和“其他收入”不足以安排当年支出的情况下，使用以前年度积累的事业基金（即事业单位以前各年度收支相抵后，按国家规定提取、用于弥补以后年度收支差额的基金）弥补当年收支缺口的资金。</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五、基本支出：是指为保障机构正常运转、完成日常工作任务所必需的开支，其内容包括人员经费和日常公用经费两部分。</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六、项目支出：是指在基本支出之外，为完成特定的行政工作任务或事业发展目标所发生的支出。</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r>
        <w:rPr>
          <w:rFonts w:hint="eastAsia" w:ascii="仿宋_GB2312" w:hAnsi="宋体" w:eastAsia="仿宋_GB2312" w:cs="Courier New"/>
          <w:sz w:val="32"/>
          <w:szCs w:val="32"/>
        </w:rPr>
        <w:t>七、“三公”经费：是指纳入省级财政预算管理，部门使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r>
        <w:rPr>
          <w:rFonts w:hint="eastAsia" w:ascii="仿宋_GB2312" w:hAnsi="宋体" w:eastAsia="仿宋_GB2312" w:cs="Courier New"/>
          <w:sz w:val="32"/>
          <w:szCs w:val="32"/>
        </w:rPr>
        <w:t>八、机关运行经费：是指为保障行政单位（含参照公务员法管理的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keepNext w:val="0"/>
        <w:keepLines w:val="0"/>
        <w:pageBreakBefore w:val="0"/>
        <w:widowControl w:val="0"/>
        <w:kinsoku w:val="0"/>
        <w:wordWrap/>
        <w:overflowPunct w:val="0"/>
        <w:topLinePunct w:val="0"/>
        <w:bidi w:val="0"/>
        <w:adjustRightInd w:val="0"/>
        <w:snapToGrid w:val="0"/>
        <w:spacing w:line="360" w:lineRule="auto"/>
        <w:ind w:firstLine="640" w:firstLineChars="200"/>
        <w:textAlignment w:val="auto"/>
        <w:rPr>
          <w:rFonts w:hint="eastAsia" w:ascii="黑体" w:hAnsi="Times New Roman" w:eastAsia="黑体" w:cs="黑体"/>
          <w:sz w:val="32"/>
          <w:szCs w:val="32"/>
        </w:rPr>
      </w:pPr>
    </w:p>
    <w:p>
      <w:pPr>
        <w:keepNext w:val="0"/>
        <w:keepLines w:val="0"/>
        <w:pageBreakBefore w:val="0"/>
        <w:widowControl w:val="0"/>
        <w:kinsoku w:val="0"/>
        <w:wordWrap/>
        <w:overflowPunct w:val="0"/>
        <w:topLinePunct w:val="0"/>
        <w:bidi w:val="0"/>
        <w:adjustRightInd w:val="0"/>
        <w:snapToGrid w:val="0"/>
        <w:spacing w:line="560" w:lineRule="exact"/>
        <w:textAlignment w:val="auto"/>
        <w:rPr>
          <w:rFonts w:hint="eastAsia" w:ascii="黑体" w:hAnsi="Times New Roman" w:eastAsia="黑体" w:cs="黑体"/>
          <w:sz w:val="32"/>
          <w:szCs w:val="32"/>
        </w:rPr>
      </w:pPr>
      <w:r>
        <w:rPr>
          <w:rFonts w:hint="eastAsia" w:ascii="黑体" w:hAnsi="Times New Roman" w:eastAsia="黑体" w:cs="黑体"/>
          <w:sz w:val="32"/>
          <w:szCs w:val="32"/>
        </w:rPr>
        <w:t>附件：</w:t>
      </w:r>
    </w:p>
    <w:p>
      <w:pPr>
        <w:keepNext w:val="0"/>
        <w:keepLines w:val="0"/>
        <w:pageBreakBefore w:val="0"/>
        <w:widowControl w:val="0"/>
        <w:kinsoku w:val="0"/>
        <w:wordWrap/>
        <w:overflowPunct w:val="0"/>
        <w:topLinePunct w:val="0"/>
        <w:bidi w:val="0"/>
        <w:adjustRightInd w:val="0"/>
        <w:snapToGrid w:val="0"/>
        <w:spacing w:line="560" w:lineRule="exact"/>
        <w:jc w:val="center"/>
        <w:textAlignment w:val="auto"/>
        <w:rPr>
          <w:rFonts w:hint="eastAsia" w:ascii="黑体" w:hAnsi="Times New Roman" w:eastAsia="黑体" w:cs="黑体"/>
          <w:sz w:val="32"/>
          <w:szCs w:val="32"/>
        </w:rPr>
      </w:pPr>
      <w:r>
        <w:rPr>
          <w:rFonts w:hint="eastAsia" w:ascii="黑体" w:hAnsi="Times New Roman" w:eastAsia="黑体" w:cs="黑体"/>
          <w:sz w:val="32"/>
          <w:szCs w:val="32"/>
        </w:rPr>
        <w:t>新乡市</w:t>
      </w:r>
      <w:r>
        <w:rPr>
          <w:rFonts w:hint="eastAsia" w:ascii="黑体" w:hAnsi="黑体" w:eastAsia="黑体" w:cs="黑体"/>
          <w:sz w:val="32"/>
          <w:szCs w:val="32"/>
        </w:rPr>
        <w:t>卫滨区</w:t>
      </w:r>
      <w:r>
        <w:rPr>
          <w:rFonts w:hint="eastAsia" w:ascii="黑体" w:hAnsi="黑体" w:eastAsia="黑体" w:cs="黑体"/>
          <w:sz w:val="32"/>
          <w:szCs w:val="32"/>
          <w:lang w:val="en-US" w:eastAsia="zh-CN"/>
        </w:rPr>
        <w:t>城市管理局</w:t>
      </w:r>
      <w:r>
        <w:rPr>
          <w:rFonts w:hint="eastAsia" w:ascii="黑体" w:hAnsi="Times New Roman" w:eastAsia="黑体" w:cs="黑体"/>
          <w:sz w:val="32"/>
          <w:szCs w:val="32"/>
        </w:rPr>
        <w:t>本级</w:t>
      </w:r>
      <w:r>
        <w:rPr>
          <w:rFonts w:hint="default" w:ascii="Times New Roman" w:hAnsi="Times New Roman" w:eastAsia="黑体" w:cs="Times New Roman"/>
          <w:sz w:val="32"/>
          <w:szCs w:val="32"/>
        </w:rPr>
        <w:t>202</w:t>
      </w:r>
      <w:r>
        <w:rPr>
          <w:rFonts w:hint="eastAsia" w:ascii="Times New Roman" w:hAnsi="Times New Roman" w:eastAsia="黑体" w:cs="Times New Roman"/>
          <w:sz w:val="32"/>
          <w:szCs w:val="32"/>
          <w:lang w:val="en-US" w:eastAsia="zh-CN"/>
        </w:rPr>
        <w:t>4</w:t>
      </w:r>
      <w:r>
        <w:rPr>
          <w:rFonts w:hint="eastAsia" w:ascii="黑体" w:hAnsi="Times New Roman" w:eastAsia="黑体" w:cs="黑体"/>
          <w:sz w:val="32"/>
          <w:szCs w:val="32"/>
        </w:rPr>
        <w:t>年度</w:t>
      </w:r>
      <w:r>
        <w:rPr>
          <w:rFonts w:hint="eastAsia" w:ascii="黑体" w:hAnsi="Times New Roman" w:eastAsia="黑体" w:cs="黑体"/>
          <w:sz w:val="32"/>
          <w:szCs w:val="32"/>
          <w:lang w:val="en-US" w:eastAsia="zh-CN"/>
        </w:rPr>
        <w:t>单位</w:t>
      </w:r>
      <w:r>
        <w:rPr>
          <w:rFonts w:hint="eastAsia" w:ascii="黑体" w:hAnsi="Times New Roman" w:eastAsia="黑体" w:cs="黑体"/>
          <w:sz w:val="32"/>
          <w:szCs w:val="32"/>
        </w:rPr>
        <w:t>预算表</w:t>
      </w:r>
    </w:p>
    <w:p>
      <w:pPr>
        <w:kinsoku w:val="0"/>
        <w:overflowPunct w:val="0"/>
        <w:adjustRightInd w:val="0"/>
        <w:snapToGrid w:val="0"/>
        <w:spacing w:line="560" w:lineRule="exact"/>
        <w:ind w:firstLine="640" w:firstLineChars="200"/>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sectPr>
          <w:pgSz w:w="11906" w:h="16838"/>
          <w:pgMar w:top="1440" w:right="1700" w:bottom="1440" w:left="1560" w:header="851" w:footer="992" w:gutter="0"/>
          <w:pgBorders>
            <w:top w:val="none" w:sz="0" w:space="0"/>
            <w:left w:val="none" w:sz="0" w:space="0"/>
            <w:bottom w:val="none" w:sz="0" w:space="0"/>
            <w:right w:val="none" w:sz="0" w:space="0"/>
          </w:pgBorders>
          <w:cols w:space="720" w:num="1"/>
          <w:docGrid w:type="lines" w:linePitch="312" w:charSpace="0"/>
        </w:sectPr>
      </w:pPr>
    </w:p>
    <w:tbl>
      <w:tblPr>
        <w:tblStyle w:val="8"/>
        <w:tblW w:w="9240" w:type="dxa"/>
        <w:tblInd w:w="93" w:type="dxa"/>
        <w:tblLayout w:type="fixed"/>
        <w:tblCellMar>
          <w:top w:w="0" w:type="dxa"/>
          <w:left w:w="108" w:type="dxa"/>
          <w:bottom w:w="0" w:type="dxa"/>
          <w:right w:w="108" w:type="dxa"/>
        </w:tblCellMar>
      </w:tblPr>
      <w:tblGrid>
        <w:gridCol w:w="3079"/>
        <w:gridCol w:w="1540"/>
        <w:gridCol w:w="3081"/>
        <w:gridCol w:w="1540"/>
      </w:tblGrid>
      <w:tr>
        <w:tblPrEx>
          <w:tblCellMar>
            <w:top w:w="0" w:type="dxa"/>
            <w:left w:w="108" w:type="dxa"/>
            <w:bottom w:w="0" w:type="dxa"/>
            <w:right w:w="108" w:type="dxa"/>
          </w:tblCellMar>
        </w:tblPrEx>
        <w:trPr>
          <w:trHeight w:val="285" w:hRule="atLeast"/>
        </w:trPr>
        <w:tc>
          <w:tcPr>
            <w:tcW w:w="9240" w:type="dxa"/>
            <w:gridSpan w:val="4"/>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 xml:space="preserve">预算01表  </w:t>
            </w:r>
          </w:p>
        </w:tc>
      </w:tr>
      <w:tr>
        <w:tblPrEx>
          <w:tblCellMar>
            <w:top w:w="0" w:type="dxa"/>
            <w:left w:w="108" w:type="dxa"/>
            <w:bottom w:w="0" w:type="dxa"/>
            <w:right w:w="108" w:type="dxa"/>
          </w:tblCellMar>
        </w:tblPrEx>
        <w:trPr>
          <w:trHeight w:val="570" w:hRule="atLeast"/>
        </w:trPr>
        <w:tc>
          <w:tcPr>
            <w:tcW w:w="9240" w:type="dxa"/>
            <w:gridSpan w:val="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cs="宋体"/>
                <w:b/>
                <w:bCs/>
                <w:kern w:val="0"/>
                <w:sz w:val="38"/>
                <w:szCs w:val="38"/>
                <w:highlight w:val="none"/>
              </w:rPr>
            </w:pPr>
            <w:r>
              <w:rPr>
                <w:rFonts w:ascii="宋体" w:hAnsi="宋体" w:eastAsia="宋体" w:cs="宋体"/>
                <w:b/>
                <w:bCs/>
                <w:i w:val="0"/>
                <w:iCs w:val="0"/>
                <w:color w:val="000000"/>
                <w:kern w:val="0"/>
                <w:sz w:val="38"/>
                <w:szCs w:val="38"/>
                <w:u w:val="none"/>
                <w:lang w:val="en-US" w:eastAsia="zh-CN" w:bidi="ar"/>
              </w:rPr>
              <w:t>2024年部门收支总体情况表</w:t>
            </w:r>
          </w:p>
        </w:tc>
      </w:tr>
      <w:tr>
        <w:tblPrEx>
          <w:tblCellMar>
            <w:top w:w="0" w:type="dxa"/>
            <w:left w:w="108" w:type="dxa"/>
            <w:bottom w:w="0" w:type="dxa"/>
            <w:right w:w="108" w:type="dxa"/>
          </w:tblCellMar>
        </w:tblPrEx>
        <w:trPr>
          <w:trHeight w:val="285" w:hRule="atLeast"/>
        </w:trPr>
        <w:tc>
          <w:tcPr>
            <w:tcW w:w="7700" w:type="dxa"/>
            <w:gridSpan w:val="3"/>
            <w:tcBorders>
              <w:top w:val="nil"/>
              <w:left w:val="nil"/>
              <w:bottom w:val="single" w:color="000000" w:sz="4" w:space="0"/>
              <w:right w:val="nil"/>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hint="eastAsia" w:ascii="宋体" w:hAnsi="宋体" w:cs="宋体"/>
                <w:i w:val="0"/>
                <w:iCs w:val="0"/>
                <w:color w:val="000000"/>
                <w:kern w:val="0"/>
                <w:sz w:val="18"/>
                <w:szCs w:val="18"/>
                <w:u w:val="none"/>
                <w:lang w:val="en-US" w:eastAsia="zh-CN" w:bidi="ar"/>
              </w:rPr>
              <w:t>单位</w:t>
            </w:r>
            <w:r>
              <w:rPr>
                <w:rFonts w:ascii="宋体" w:hAnsi="宋体" w:eastAsia="宋体" w:cs="宋体"/>
                <w:i w:val="0"/>
                <w:iCs w:val="0"/>
                <w:color w:val="000000"/>
                <w:kern w:val="0"/>
                <w:sz w:val="18"/>
                <w:szCs w:val="18"/>
                <w:u w:val="none"/>
                <w:lang w:val="en-US" w:eastAsia="zh-CN" w:bidi="ar"/>
              </w:rPr>
              <w:t>名称：新乡市卫滨区城市管理局</w:t>
            </w:r>
          </w:p>
        </w:tc>
        <w:tc>
          <w:tcPr>
            <w:tcW w:w="1540" w:type="dxa"/>
            <w:tcBorders>
              <w:top w:val="nil"/>
              <w:left w:val="nil"/>
              <w:bottom w:val="single" w:color="000000" w:sz="4" w:space="0"/>
              <w:right w:val="nil"/>
            </w:tcBorders>
            <w:shd w:val="clear" w:color="auto" w:fill="auto"/>
            <w:vAlign w:val="center"/>
          </w:tcPr>
          <w:p>
            <w:pPr>
              <w:keepNext w:val="0"/>
              <w:keepLines w:val="0"/>
              <w:widowControl/>
              <w:suppressLineNumbers w:val="0"/>
              <w:jc w:val="center"/>
              <w:textAlignment w:val="center"/>
            </w:pPr>
            <w:r>
              <w:rPr>
                <w:rFonts w:ascii="宋体" w:hAnsi="宋体" w:eastAsia="宋体" w:cs="宋体"/>
                <w:i w:val="0"/>
                <w:iCs w:val="0"/>
                <w:color w:val="000000"/>
                <w:kern w:val="0"/>
                <w:sz w:val="18"/>
                <w:szCs w:val="18"/>
                <w:u w:val="none"/>
                <w:lang w:val="en-US" w:eastAsia="zh-CN" w:bidi="ar"/>
              </w:rPr>
              <w:t>单位：万元</w:t>
            </w:r>
          </w:p>
        </w:tc>
      </w:tr>
      <w:tr>
        <w:tblPrEx>
          <w:tblCellMar>
            <w:top w:w="0" w:type="dxa"/>
            <w:left w:w="108" w:type="dxa"/>
            <w:bottom w:w="0" w:type="dxa"/>
            <w:right w:w="108" w:type="dxa"/>
          </w:tblCellMar>
        </w:tblPrEx>
        <w:trPr>
          <w:trHeight w:val="285" w:hRule="atLeast"/>
        </w:trPr>
        <w:tc>
          <w:tcPr>
            <w:tcW w:w="46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 xml:space="preserve"> 收入</w:t>
            </w:r>
          </w:p>
        </w:tc>
        <w:tc>
          <w:tcPr>
            <w:tcW w:w="4621"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支出</w:t>
            </w:r>
          </w:p>
        </w:tc>
      </w:tr>
      <w:tr>
        <w:tblPrEx>
          <w:tblCellMar>
            <w:top w:w="0" w:type="dxa"/>
            <w:left w:w="108" w:type="dxa"/>
            <w:bottom w:w="0" w:type="dxa"/>
            <w:right w:w="108" w:type="dxa"/>
          </w:tblCellMar>
        </w:tblPrEx>
        <w:trPr>
          <w:trHeight w:val="285" w:hRule="atLeast"/>
        </w:trPr>
        <w:tc>
          <w:tcPr>
            <w:tcW w:w="3079"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 xml:space="preserve"> 项目  </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 xml:space="preserve"> 金额  </w:t>
            </w: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 xml:space="preserve">项目  </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金额</w:t>
            </w:r>
          </w:p>
        </w:tc>
      </w:tr>
      <w:tr>
        <w:tblPrEx>
          <w:tblCellMar>
            <w:top w:w="0" w:type="dxa"/>
            <w:left w:w="108" w:type="dxa"/>
            <w:bottom w:w="0" w:type="dxa"/>
            <w:right w:w="108" w:type="dxa"/>
          </w:tblCellMar>
        </w:tblPrEx>
        <w:trPr>
          <w:trHeight w:val="285" w:hRule="atLeast"/>
        </w:trPr>
        <w:tc>
          <w:tcPr>
            <w:tcW w:w="3079"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一、一般公共预算</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410.94</w:t>
            </w: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一、一般公共服务</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3079"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其中：财政拨款</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 w:val="18"/>
                <w:szCs w:val="18"/>
                <w:highlight w:val="none"/>
                <w:lang w:eastAsia="zh-CN"/>
              </w:rPr>
            </w:pPr>
            <w:r>
              <w:rPr>
                <w:rFonts w:ascii="宋体" w:hAnsi="宋体" w:eastAsia="宋体" w:cs="宋体"/>
                <w:i w:val="0"/>
                <w:iCs w:val="0"/>
                <w:color w:val="000000"/>
                <w:kern w:val="0"/>
                <w:sz w:val="18"/>
                <w:szCs w:val="18"/>
                <w:u w:val="none"/>
                <w:lang w:val="en-US" w:eastAsia="zh-CN" w:bidi="ar"/>
              </w:rPr>
              <w:t>410.94</w:t>
            </w: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二、外交</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3079"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二、政府性基金预算拨款收入</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三、国防</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3079"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三、国有资本经营预算拨款收入</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四、公共安全</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3079"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四、财政专户管理资金收入</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五、教育</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3079"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五、事业收入</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六、科学技术</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3079"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六、事业单位经营收入</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七、文化旅游体育与传媒</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3079"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七、上级补助收入</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八、社会保障和就业</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39.34</w:t>
            </w:r>
          </w:p>
        </w:tc>
      </w:tr>
      <w:tr>
        <w:tblPrEx>
          <w:tblCellMar>
            <w:top w:w="0" w:type="dxa"/>
            <w:left w:w="108" w:type="dxa"/>
            <w:bottom w:w="0" w:type="dxa"/>
            <w:right w:w="108" w:type="dxa"/>
          </w:tblCellMar>
        </w:tblPrEx>
        <w:trPr>
          <w:trHeight w:val="285" w:hRule="atLeast"/>
        </w:trPr>
        <w:tc>
          <w:tcPr>
            <w:tcW w:w="3079"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八、附属单位上缴收入</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九、社会保险基金支出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90" w:hRule="atLeast"/>
        </w:trPr>
        <w:tc>
          <w:tcPr>
            <w:tcW w:w="3079"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九、其他收入</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十、卫生健康</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21.15</w:t>
            </w:r>
          </w:p>
        </w:tc>
      </w:tr>
      <w:tr>
        <w:tblPrEx>
          <w:tblCellMar>
            <w:top w:w="0" w:type="dxa"/>
            <w:left w:w="108" w:type="dxa"/>
            <w:bottom w:w="0" w:type="dxa"/>
            <w:right w:w="108" w:type="dxa"/>
          </w:tblCellMar>
        </w:tblPrEx>
        <w:trPr>
          <w:trHeight w:val="285" w:hRule="atLeast"/>
        </w:trPr>
        <w:tc>
          <w:tcPr>
            <w:tcW w:w="46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十一、节能环保</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46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十二、城乡社区事务</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324.50</w:t>
            </w:r>
          </w:p>
        </w:tc>
      </w:tr>
      <w:tr>
        <w:tblPrEx>
          <w:tblCellMar>
            <w:top w:w="0" w:type="dxa"/>
            <w:left w:w="108" w:type="dxa"/>
            <w:bottom w:w="0" w:type="dxa"/>
            <w:right w:w="108" w:type="dxa"/>
          </w:tblCellMar>
        </w:tblPrEx>
        <w:trPr>
          <w:trHeight w:val="285" w:hRule="atLeast"/>
        </w:trPr>
        <w:tc>
          <w:tcPr>
            <w:tcW w:w="46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十三、农林水事务</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46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十四、交通运输</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46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十五、资源勘探信息等</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46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十六、商业服务业等</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46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十七、金融支出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46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十九、援助其他地区支出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46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二十、自然资源海洋气象等支出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46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二十一、住房保障支出</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25.95</w:t>
            </w:r>
          </w:p>
        </w:tc>
      </w:tr>
      <w:tr>
        <w:tblPrEx>
          <w:tblCellMar>
            <w:top w:w="0" w:type="dxa"/>
            <w:left w:w="108" w:type="dxa"/>
            <w:bottom w:w="0" w:type="dxa"/>
            <w:right w:w="108" w:type="dxa"/>
          </w:tblCellMar>
        </w:tblPrEx>
        <w:trPr>
          <w:trHeight w:val="285" w:hRule="atLeast"/>
        </w:trPr>
        <w:tc>
          <w:tcPr>
            <w:tcW w:w="46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二十二、粮油物资储备支出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46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二十三、国有资本经营预算</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46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二十四、灾害防治及应急管理</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46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二十七、预备费</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46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二十九、其他支出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46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三十、转移性支出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46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三十一、债务还本支出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46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三十二、债务付息支出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46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三十三、债务发行费用支出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46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三十四、抗疫特别国债安排的支出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3079"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本 年 收 入 合 计</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410.94</w:t>
            </w: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本 年 支 出 合 计</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410.94</w:t>
            </w:r>
          </w:p>
        </w:tc>
      </w:tr>
      <w:tr>
        <w:tblPrEx>
          <w:tblCellMar>
            <w:top w:w="0" w:type="dxa"/>
            <w:left w:w="108" w:type="dxa"/>
            <w:bottom w:w="0" w:type="dxa"/>
            <w:right w:w="108" w:type="dxa"/>
          </w:tblCellMar>
        </w:tblPrEx>
        <w:trPr>
          <w:trHeight w:val="285" w:hRule="atLeast"/>
        </w:trPr>
        <w:tc>
          <w:tcPr>
            <w:tcW w:w="3079"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上年结转结余</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年终结转结余</w:t>
            </w:r>
          </w:p>
        </w:tc>
        <w:tc>
          <w:tcPr>
            <w:tcW w:w="15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3079"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收 入 总 计</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410.94</w:t>
            </w: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支 出 总 计</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410.94</w:t>
            </w: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sectPr>
          <w:pgSz w:w="11906" w:h="16838"/>
          <w:pgMar w:top="1440" w:right="1700" w:bottom="1440" w:left="1560" w:header="851" w:footer="992" w:gutter="0"/>
          <w:pgBorders>
            <w:top w:val="none" w:sz="0" w:space="0"/>
            <w:left w:val="none" w:sz="0" w:space="0"/>
            <w:bottom w:val="none" w:sz="0" w:space="0"/>
            <w:right w:val="none" w:sz="0" w:space="0"/>
          </w:pgBorders>
          <w:cols w:space="720" w:num="1"/>
          <w:docGrid w:type="lines" w:linePitch="312" w:charSpace="0"/>
        </w:sectPr>
      </w:pPr>
    </w:p>
    <w:tbl>
      <w:tblPr>
        <w:tblStyle w:val="8"/>
        <w:tblW w:w="1495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461"/>
        <w:gridCol w:w="2408"/>
        <w:gridCol w:w="1217"/>
        <w:gridCol w:w="1217"/>
        <w:gridCol w:w="1217"/>
        <w:gridCol w:w="1217"/>
        <w:gridCol w:w="434"/>
        <w:gridCol w:w="434"/>
        <w:gridCol w:w="434"/>
        <w:gridCol w:w="434"/>
        <w:gridCol w:w="434"/>
        <w:gridCol w:w="434"/>
        <w:gridCol w:w="434"/>
        <w:gridCol w:w="434"/>
        <w:gridCol w:w="434"/>
        <w:gridCol w:w="434"/>
        <w:gridCol w:w="434"/>
        <w:gridCol w:w="434"/>
        <w:gridCol w:w="434"/>
        <w:gridCol w:w="57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 w:hRule="atLeast"/>
        </w:trPr>
        <w:tc>
          <w:tcPr>
            <w:tcW w:w="14958" w:type="dxa"/>
            <w:gridSpan w:val="20"/>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预算02表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9" w:hRule="atLeast"/>
        </w:trPr>
        <w:tc>
          <w:tcPr>
            <w:tcW w:w="14958" w:type="dxa"/>
            <w:gridSpan w:val="20"/>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b/>
                <w:bCs/>
                <w:i w:val="0"/>
                <w:iCs w:val="0"/>
                <w:color w:val="000000"/>
                <w:sz w:val="38"/>
                <w:szCs w:val="38"/>
                <w:u w:val="none"/>
              </w:rPr>
            </w:pPr>
            <w:r>
              <w:rPr>
                <w:rFonts w:ascii="宋体" w:hAnsi="宋体" w:eastAsia="宋体" w:cs="宋体"/>
                <w:b/>
                <w:bCs/>
                <w:i w:val="0"/>
                <w:iCs w:val="0"/>
                <w:color w:val="000000"/>
                <w:kern w:val="0"/>
                <w:sz w:val="38"/>
                <w:szCs w:val="38"/>
                <w:u w:val="none"/>
                <w:lang w:val="en-US" w:eastAsia="zh-CN" w:bidi="ar"/>
              </w:rPr>
              <w:t>2024年部门收入总体情况表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523" w:type="dxa"/>
            <w:gridSpan w:val="19"/>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部门名称：新乡市卫滨区城市管理局</w:t>
            </w:r>
          </w:p>
        </w:tc>
        <w:tc>
          <w:tcPr>
            <w:tcW w:w="435" w:type="dxa"/>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部门（单位）代码</w:t>
            </w:r>
          </w:p>
        </w:tc>
        <w:tc>
          <w:tcPr>
            <w:tcW w:w="246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部门（单位）名称</w:t>
            </w:r>
          </w:p>
        </w:tc>
        <w:tc>
          <w:tcPr>
            <w:tcW w:w="12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总计</w:t>
            </w:r>
          </w:p>
        </w:tc>
        <w:tc>
          <w:tcPr>
            <w:tcW w:w="7173"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本年收入</w:t>
            </w:r>
          </w:p>
        </w:tc>
        <w:tc>
          <w:tcPr>
            <w:tcW w:w="261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上年结转结余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24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一般公共预算</w:t>
            </w:r>
          </w:p>
        </w:tc>
        <w:tc>
          <w:tcPr>
            <w:tcW w:w="4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政府性基金</w:t>
            </w:r>
          </w:p>
        </w:tc>
        <w:tc>
          <w:tcPr>
            <w:tcW w:w="4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国有资本经营预算</w:t>
            </w:r>
          </w:p>
        </w:tc>
        <w:tc>
          <w:tcPr>
            <w:tcW w:w="4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财政专户管理资金收入</w:t>
            </w:r>
          </w:p>
        </w:tc>
        <w:tc>
          <w:tcPr>
            <w:tcW w:w="4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事业收入</w:t>
            </w:r>
          </w:p>
        </w:tc>
        <w:tc>
          <w:tcPr>
            <w:tcW w:w="4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事业单位经营收入</w:t>
            </w:r>
          </w:p>
        </w:tc>
        <w:tc>
          <w:tcPr>
            <w:tcW w:w="4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上级补助收入</w:t>
            </w:r>
          </w:p>
        </w:tc>
        <w:tc>
          <w:tcPr>
            <w:tcW w:w="4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附属单位上缴收入</w:t>
            </w:r>
          </w:p>
        </w:tc>
        <w:tc>
          <w:tcPr>
            <w:tcW w:w="4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其他收入  </w:t>
            </w:r>
          </w:p>
        </w:tc>
        <w:tc>
          <w:tcPr>
            <w:tcW w:w="4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4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一般公共预算</w:t>
            </w:r>
          </w:p>
        </w:tc>
        <w:tc>
          <w:tcPr>
            <w:tcW w:w="4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政府性基金</w:t>
            </w:r>
          </w:p>
        </w:tc>
        <w:tc>
          <w:tcPr>
            <w:tcW w:w="4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国有资本经营预算</w:t>
            </w:r>
          </w:p>
        </w:tc>
        <w:tc>
          <w:tcPr>
            <w:tcW w:w="4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4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14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小计</w:t>
            </w:r>
          </w:p>
        </w:tc>
        <w:tc>
          <w:tcPr>
            <w:tcW w:w="12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其中：财政拨款</w:t>
            </w:r>
          </w:p>
        </w:tc>
        <w:tc>
          <w:tcPr>
            <w:tcW w:w="4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12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410.94</w:t>
            </w:r>
          </w:p>
        </w:tc>
        <w:tc>
          <w:tcPr>
            <w:tcW w:w="12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410.94</w:t>
            </w:r>
          </w:p>
        </w:tc>
        <w:tc>
          <w:tcPr>
            <w:tcW w:w="12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410.94</w:t>
            </w:r>
          </w:p>
        </w:tc>
        <w:tc>
          <w:tcPr>
            <w:tcW w:w="12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410.94</w:t>
            </w: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202</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新乡市卫滨区城市管理局</w:t>
            </w:r>
          </w:p>
        </w:tc>
        <w:tc>
          <w:tcPr>
            <w:tcW w:w="12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410.94</w:t>
            </w:r>
          </w:p>
        </w:tc>
        <w:tc>
          <w:tcPr>
            <w:tcW w:w="12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410.94</w:t>
            </w:r>
          </w:p>
        </w:tc>
        <w:tc>
          <w:tcPr>
            <w:tcW w:w="12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410.94</w:t>
            </w:r>
          </w:p>
        </w:tc>
        <w:tc>
          <w:tcPr>
            <w:tcW w:w="12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410.94</w:t>
            </w: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14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202001</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新乡市卫滨区城市管理局本级</w:t>
            </w:r>
          </w:p>
        </w:tc>
        <w:tc>
          <w:tcPr>
            <w:tcW w:w="12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348.78</w:t>
            </w:r>
          </w:p>
        </w:tc>
        <w:tc>
          <w:tcPr>
            <w:tcW w:w="12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348.78</w:t>
            </w:r>
          </w:p>
        </w:tc>
        <w:tc>
          <w:tcPr>
            <w:tcW w:w="12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348.78</w:t>
            </w:r>
          </w:p>
        </w:tc>
        <w:tc>
          <w:tcPr>
            <w:tcW w:w="12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348.78</w:t>
            </w: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新乡市卫滨区城市管理局</w:t>
            </w:r>
          </w:p>
        </w:tc>
        <w:tc>
          <w:tcPr>
            <w:tcW w:w="12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62.16</w:t>
            </w:r>
          </w:p>
        </w:tc>
        <w:tc>
          <w:tcPr>
            <w:tcW w:w="12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62.16</w:t>
            </w:r>
          </w:p>
        </w:tc>
        <w:tc>
          <w:tcPr>
            <w:tcW w:w="12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62.16</w:t>
            </w:r>
          </w:p>
        </w:tc>
        <w:tc>
          <w:tcPr>
            <w:tcW w:w="12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62.16</w:t>
            </w: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8"/>
        <w:tblpPr w:leftFromText="180" w:rightFromText="180" w:vertAnchor="text" w:horzAnchor="page" w:tblpX="646" w:tblpY="407"/>
        <w:tblOverlap w:val="never"/>
        <w:tblW w:w="15041" w:type="dxa"/>
        <w:tblInd w:w="0" w:type="dxa"/>
        <w:tblLayout w:type="fixed"/>
        <w:tblCellMar>
          <w:top w:w="0" w:type="dxa"/>
          <w:left w:w="108" w:type="dxa"/>
          <w:bottom w:w="0" w:type="dxa"/>
          <w:right w:w="108" w:type="dxa"/>
        </w:tblCellMar>
      </w:tblPr>
      <w:tblGrid>
        <w:gridCol w:w="486"/>
        <w:gridCol w:w="486"/>
        <w:gridCol w:w="486"/>
        <w:gridCol w:w="729"/>
        <w:gridCol w:w="2432"/>
        <w:gridCol w:w="1158"/>
        <w:gridCol w:w="1158"/>
        <w:gridCol w:w="1158"/>
        <w:gridCol w:w="1158"/>
        <w:gridCol w:w="1158"/>
        <w:gridCol w:w="1158"/>
        <w:gridCol w:w="1158"/>
        <w:gridCol w:w="1158"/>
        <w:gridCol w:w="1158"/>
      </w:tblGrid>
      <w:tr>
        <w:tblPrEx>
          <w:tblCellMar>
            <w:top w:w="0" w:type="dxa"/>
            <w:left w:w="108" w:type="dxa"/>
            <w:bottom w:w="0" w:type="dxa"/>
            <w:right w:w="108" w:type="dxa"/>
          </w:tblCellMar>
        </w:tblPrEx>
        <w:trPr>
          <w:trHeight w:val="285" w:hRule="atLeast"/>
        </w:trPr>
        <w:tc>
          <w:tcPr>
            <w:tcW w:w="15041" w:type="dxa"/>
            <w:gridSpan w:val="14"/>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预算03表</w:t>
            </w:r>
          </w:p>
        </w:tc>
      </w:tr>
      <w:tr>
        <w:tblPrEx>
          <w:tblCellMar>
            <w:top w:w="0" w:type="dxa"/>
            <w:left w:w="108" w:type="dxa"/>
            <w:bottom w:w="0" w:type="dxa"/>
            <w:right w:w="108" w:type="dxa"/>
          </w:tblCellMar>
        </w:tblPrEx>
        <w:trPr>
          <w:trHeight w:val="570" w:hRule="atLeast"/>
        </w:trPr>
        <w:tc>
          <w:tcPr>
            <w:tcW w:w="15041"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cs="宋体"/>
                <w:b/>
                <w:bCs/>
                <w:kern w:val="0"/>
                <w:sz w:val="38"/>
                <w:szCs w:val="38"/>
                <w:highlight w:val="none"/>
              </w:rPr>
            </w:pPr>
            <w:r>
              <w:rPr>
                <w:rFonts w:ascii="宋体" w:hAnsi="宋体" w:eastAsia="宋体" w:cs="宋体"/>
                <w:b/>
                <w:bCs/>
                <w:i w:val="0"/>
                <w:iCs w:val="0"/>
                <w:color w:val="000000"/>
                <w:kern w:val="0"/>
                <w:sz w:val="38"/>
                <w:szCs w:val="38"/>
                <w:u w:val="none"/>
                <w:lang w:val="en-US" w:eastAsia="zh-CN" w:bidi="ar"/>
              </w:rPr>
              <w:t>2024年部门支出总体情况表</w:t>
            </w:r>
          </w:p>
        </w:tc>
      </w:tr>
      <w:tr>
        <w:tblPrEx>
          <w:tblCellMar>
            <w:top w:w="0" w:type="dxa"/>
            <w:left w:w="108" w:type="dxa"/>
            <w:bottom w:w="0" w:type="dxa"/>
            <w:right w:w="108" w:type="dxa"/>
          </w:tblCellMar>
        </w:tblPrEx>
        <w:trPr>
          <w:trHeight w:val="285" w:hRule="atLeast"/>
        </w:trPr>
        <w:tc>
          <w:tcPr>
            <w:tcW w:w="13883" w:type="dxa"/>
            <w:gridSpan w:val="13"/>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kern w:val="0"/>
                <w:sz w:val="18"/>
                <w:szCs w:val="18"/>
                <w:highlight w:val="none"/>
                <w:lang w:val="en-US" w:eastAsia="zh-CN"/>
              </w:rPr>
            </w:pPr>
            <w:r>
              <w:rPr>
                <w:rFonts w:hint="eastAsia" w:ascii="宋体" w:hAnsi="宋体" w:cs="宋体"/>
                <w:i w:val="0"/>
                <w:iCs w:val="0"/>
                <w:color w:val="000000"/>
                <w:kern w:val="0"/>
                <w:sz w:val="18"/>
                <w:szCs w:val="18"/>
                <w:u w:val="none"/>
                <w:lang w:val="en-US" w:eastAsia="zh-CN" w:bidi="ar"/>
              </w:rPr>
              <w:t>单位</w:t>
            </w:r>
            <w:r>
              <w:rPr>
                <w:rFonts w:ascii="宋体" w:hAnsi="宋体" w:eastAsia="宋体" w:cs="宋体"/>
                <w:i w:val="0"/>
                <w:iCs w:val="0"/>
                <w:color w:val="000000"/>
                <w:kern w:val="0"/>
                <w:sz w:val="18"/>
                <w:szCs w:val="18"/>
                <w:u w:val="none"/>
                <w:lang w:val="en-US" w:eastAsia="zh-CN" w:bidi="ar"/>
              </w:rPr>
              <w:t>名称：新乡市卫滨区城市管理局</w:t>
            </w:r>
          </w:p>
        </w:tc>
        <w:tc>
          <w:tcPr>
            <w:tcW w:w="1158" w:type="dxa"/>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单位：万元</w:t>
            </w:r>
          </w:p>
        </w:tc>
      </w:tr>
      <w:tr>
        <w:tblPrEx>
          <w:tblCellMar>
            <w:top w:w="0" w:type="dxa"/>
            <w:left w:w="108" w:type="dxa"/>
            <w:bottom w:w="0" w:type="dxa"/>
            <w:right w:w="108" w:type="dxa"/>
          </w:tblCellMar>
        </w:tblPrEx>
        <w:trPr>
          <w:trHeight w:val="285" w:hRule="atLeast"/>
        </w:trPr>
        <w:tc>
          <w:tcPr>
            <w:tcW w:w="1458"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科目编码</w:t>
            </w:r>
          </w:p>
        </w:tc>
        <w:tc>
          <w:tcPr>
            <w:tcW w:w="72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单位代码</w:t>
            </w:r>
          </w:p>
        </w:tc>
        <w:tc>
          <w:tcPr>
            <w:tcW w:w="24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单位（科目名称）</w:t>
            </w:r>
          </w:p>
        </w:tc>
        <w:tc>
          <w:tcPr>
            <w:tcW w:w="115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合计</w:t>
            </w:r>
          </w:p>
        </w:tc>
        <w:tc>
          <w:tcPr>
            <w:tcW w:w="5790" w:type="dxa"/>
            <w:gridSpan w:val="5"/>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 xml:space="preserve">基本支出  </w:t>
            </w:r>
          </w:p>
        </w:tc>
        <w:tc>
          <w:tcPr>
            <w:tcW w:w="3474" w:type="dxa"/>
            <w:gridSpan w:val="3"/>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项目支出</w:t>
            </w:r>
          </w:p>
        </w:tc>
      </w:tr>
      <w:tr>
        <w:tblPrEx>
          <w:tblCellMar>
            <w:top w:w="0" w:type="dxa"/>
            <w:left w:w="108" w:type="dxa"/>
            <w:bottom w:w="0" w:type="dxa"/>
            <w:right w:w="108" w:type="dxa"/>
          </w:tblCellMar>
        </w:tblPrEx>
        <w:trPr>
          <w:trHeight w:val="285" w:hRule="atLeast"/>
        </w:trPr>
        <w:tc>
          <w:tcPr>
            <w:tcW w:w="1458" w:type="dxa"/>
            <w:gridSpan w:val="3"/>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72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243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1158"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1158"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小计</w:t>
            </w:r>
          </w:p>
        </w:tc>
        <w:tc>
          <w:tcPr>
            <w:tcW w:w="2316"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人员经费</w:t>
            </w:r>
          </w:p>
        </w:tc>
        <w:tc>
          <w:tcPr>
            <w:tcW w:w="2316"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公用经费</w:t>
            </w:r>
          </w:p>
        </w:tc>
        <w:tc>
          <w:tcPr>
            <w:tcW w:w="1158"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小计</w:t>
            </w:r>
          </w:p>
        </w:tc>
        <w:tc>
          <w:tcPr>
            <w:tcW w:w="1158"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其他运转类</w:t>
            </w:r>
          </w:p>
        </w:tc>
        <w:tc>
          <w:tcPr>
            <w:tcW w:w="1158"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特定目标类</w:t>
            </w:r>
          </w:p>
        </w:tc>
      </w:tr>
      <w:tr>
        <w:tblPrEx>
          <w:tblCellMar>
            <w:top w:w="0" w:type="dxa"/>
            <w:left w:w="108" w:type="dxa"/>
            <w:bottom w:w="0" w:type="dxa"/>
            <w:right w:w="108" w:type="dxa"/>
          </w:tblCellMar>
        </w:tblPrEx>
        <w:trPr>
          <w:trHeight w:val="679" w:hRule="atLeast"/>
        </w:trPr>
        <w:tc>
          <w:tcPr>
            <w:tcW w:w="486"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类</w:t>
            </w:r>
          </w:p>
        </w:tc>
        <w:tc>
          <w:tcPr>
            <w:tcW w:w="48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款</w:t>
            </w:r>
          </w:p>
        </w:tc>
        <w:tc>
          <w:tcPr>
            <w:tcW w:w="48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项</w:t>
            </w:r>
          </w:p>
        </w:tc>
        <w:tc>
          <w:tcPr>
            <w:tcW w:w="72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243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1158"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1158"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工资福利支出</w:t>
            </w: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对个人和家庭的补助</w:t>
            </w: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商品和服务支出</w:t>
            </w: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资本性支出</w:t>
            </w:r>
          </w:p>
        </w:tc>
        <w:tc>
          <w:tcPr>
            <w:tcW w:w="1158"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1158"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1158"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486"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486"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486"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729"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43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合计</w:t>
            </w: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410.94</w:t>
            </w: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338.94</w:t>
            </w: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314.72</w:t>
            </w: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7.26</w:t>
            </w: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16.96</w:t>
            </w: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72.00</w:t>
            </w: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72.00</w:t>
            </w: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454" w:hRule="atLeast"/>
        </w:trPr>
        <w:tc>
          <w:tcPr>
            <w:tcW w:w="486"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 xml:space="preserve"> </w:t>
            </w:r>
          </w:p>
        </w:tc>
        <w:tc>
          <w:tcPr>
            <w:tcW w:w="486"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kern w:val="0"/>
                <w:sz w:val="18"/>
                <w:szCs w:val="18"/>
                <w:highlight w:val="none"/>
              </w:rPr>
            </w:pPr>
          </w:p>
        </w:tc>
        <w:tc>
          <w:tcPr>
            <w:tcW w:w="486"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kern w:val="0"/>
                <w:sz w:val="18"/>
                <w:szCs w:val="18"/>
                <w:highlight w:val="none"/>
              </w:rPr>
            </w:pPr>
          </w:p>
        </w:tc>
        <w:tc>
          <w:tcPr>
            <w:tcW w:w="72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202</w:t>
            </w:r>
          </w:p>
        </w:tc>
        <w:tc>
          <w:tcPr>
            <w:tcW w:w="243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新乡市卫滨区城市管理局</w:t>
            </w: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410.94</w:t>
            </w: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338.94</w:t>
            </w: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314.72</w:t>
            </w: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7.26</w:t>
            </w: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16.96</w:t>
            </w: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72.00</w:t>
            </w: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72.00</w:t>
            </w: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486"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208</w:t>
            </w:r>
          </w:p>
        </w:tc>
        <w:tc>
          <w:tcPr>
            <w:tcW w:w="48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05</w:t>
            </w:r>
          </w:p>
        </w:tc>
        <w:tc>
          <w:tcPr>
            <w:tcW w:w="48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05</w:t>
            </w:r>
          </w:p>
        </w:tc>
        <w:tc>
          <w:tcPr>
            <w:tcW w:w="729"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43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机关事业单位基本养老保险缴费支出</w:t>
            </w: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34.51</w:t>
            </w: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34.51</w:t>
            </w: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34.51</w:t>
            </w: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454" w:hRule="atLeast"/>
        </w:trPr>
        <w:tc>
          <w:tcPr>
            <w:tcW w:w="486"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208</w:t>
            </w:r>
          </w:p>
        </w:tc>
        <w:tc>
          <w:tcPr>
            <w:tcW w:w="48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05</w:t>
            </w:r>
          </w:p>
        </w:tc>
        <w:tc>
          <w:tcPr>
            <w:tcW w:w="48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06</w:t>
            </w:r>
          </w:p>
        </w:tc>
        <w:tc>
          <w:tcPr>
            <w:tcW w:w="729"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43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机关事业单位职业年金缴费支出</w:t>
            </w: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4.83</w:t>
            </w: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4.83</w:t>
            </w: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4.83</w:t>
            </w: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486"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210</w:t>
            </w:r>
          </w:p>
        </w:tc>
        <w:tc>
          <w:tcPr>
            <w:tcW w:w="48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11</w:t>
            </w:r>
          </w:p>
        </w:tc>
        <w:tc>
          <w:tcPr>
            <w:tcW w:w="48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01</w:t>
            </w:r>
          </w:p>
        </w:tc>
        <w:tc>
          <w:tcPr>
            <w:tcW w:w="729"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43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行政单位医疗</w:t>
            </w: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17.22</w:t>
            </w: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17.22</w:t>
            </w: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17.22</w:t>
            </w: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454" w:hRule="atLeast"/>
        </w:trPr>
        <w:tc>
          <w:tcPr>
            <w:tcW w:w="486"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210</w:t>
            </w:r>
          </w:p>
        </w:tc>
        <w:tc>
          <w:tcPr>
            <w:tcW w:w="48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11</w:t>
            </w:r>
          </w:p>
        </w:tc>
        <w:tc>
          <w:tcPr>
            <w:tcW w:w="48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03</w:t>
            </w:r>
          </w:p>
        </w:tc>
        <w:tc>
          <w:tcPr>
            <w:tcW w:w="729"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43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公务员医疗补助</w:t>
            </w: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3.93</w:t>
            </w: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3.93</w:t>
            </w: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3.93</w:t>
            </w: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454" w:hRule="atLeast"/>
        </w:trPr>
        <w:tc>
          <w:tcPr>
            <w:tcW w:w="486"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212</w:t>
            </w:r>
          </w:p>
        </w:tc>
        <w:tc>
          <w:tcPr>
            <w:tcW w:w="48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01</w:t>
            </w:r>
          </w:p>
        </w:tc>
        <w:tc>
          <w:tcPr>
            <w:tcW w:w="48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01</w:t>
            </w:r>
          </w:p>
        </w:tc>
        <w:tc>
          <w:tcPr>
            <w:tcW w:w="729"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43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行政运行</w:t>
            </w: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252.50</w:t>
            </w: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252.50</w:t>
            </w: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228.28</w:t>
            </w: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7.26</w:t>
            </w: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16.96</w:t>
            </w: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486"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212</w:t>
            </w:r>
          </w:p>
        </w:tc>
        <w:tc>
          <w:tcPr>
            <w:tcW w:w="48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01</w:t>
            </w:r>
          </w:p>
        </w:tc>
        <w:tc>
          <w:tcPr>
            <w:tcW w:w="48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99</w:t>
            </w:r>
          </w:p>
        </w:tc>
        <w:tc>
          <w:tcPr>
            <w:tcW w:w="729"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43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其他城乡社区管理事务支出</w:t>
            </w: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72.00</w:t>
            </w: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72.00</w:t>
            </w: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72.00</w:t>
            </w: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486"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221</w:t>
            </w:r>
          </w:p>
        </w:tc>
        <w:tc>
          <w:tcPr>
            <w:tcW w:w="48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02</w:t>
            </w:r>
          </w:p>
        </w:tc>
        <w:tc>
          <w:tcPr>
            <w:tcW w:w="48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01</w:t>
            </w:r>
          </w:p>
        </w:tc>
        <w:tc>
          <w:tcPr>
            <w:tcW w:w="729"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43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住房公积金</w:t>
            </w: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25.95</w:t>
            </w: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25.95</w:t>
            </w: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25.95</w:t>
            </w: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sectPr>
          <w:pgSz w:w="16838" w:h="11906" w:orient="landscape"/>
          <w:pgMar w:top="1559" w:right="567" w:bottom="1701" w:left="567" w:header="851" w:footer="992" w:gutter="0"/>
          <w:pgBorders>
            <w:top w:val="none" w:sz="0" w:space="0"/>
            <w:left w:val="none" w:sz="0" w:space="0"/>
            <w:bottom w:val="none" w:sz="0" w:space="0"/>
            <w:right w:val="none" w:sz="0" w:space="0"/>
          </w:pgBorders>
          <w:cols w:space="720" w:num="1"/>
          <w:docGrid w:type="lines" w:linePitch="312" w:charSpace="0"/>
        </w:sectPr>
      </w:pPr>
    </w:p>
    <w:tbl>
      <w:tblPr>
        <w:tblStyle w:val="8"/>
        <w:tblW w:w="10494" w:type="dxa"/>
        <w:tblInd w:w="-837" w:type="dxa"/>
        <w:tblLayout w:type="fixed"/>
        <w:tblCellMar>
          <w:top w:w="0" w:type="dxa"/>
          <w:left w:w="108" w:type="dxa"/>
          <w:bottom w:w="0" w:type="dxa"/>
          <w:right w:w="108" w:type="dxa"/>
        </w:tblCellMar>
      </w:tblPr>
      <w:tblGrid>
        <w:gridCol w:w="2621"/>
        <w:gridCol w:w="866"/>
        <w:gridCol w:w="3240"/>
        <w:gridCol w:w="799"/>
        <w:gridCol w:w="780"/>
        <w:gridCol w:w="780"/>
        <w:gridCol w:w="630"/>
        <w:gridCol w:w="778"/>
      </w:tblGrid>
      <w:tr>
        <w:tblPrEx>
          <w:tblCellMar>
            <w:top w:w="0" w:type="dxa"/>
            <w:left w:w="108" w:type="dxa"/>
            <w:bottom w:w="0" w:type="dxa"/>
            <w:right w:w="108" w:type="dxa"/>
          </w:tblCellMar>
        </w:tblPrEx>
        <w:trPr>
          <w:trHeight w:val="315" w:hRule="atLeast"/>
        </w:trPr>
        <w:tc>
          <w:tcPr>
            <w:tcW w:w="10494" w:type="dxa"/>
            <w:gridSpan w:val="8"/>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预算04表</w:t>
            </w:r>
          </w:p>
        </w:tc>
      </w:tr>
      <w:tr>
        <w:tblPrEx>
          <w:tblCellMar>
            <w:top w:w="0" w:type="dxa"/>
            <w:left w:w="108" w:type="dxa"/>
            <w:bottom w:w="0" w:type="dxa"/>
            <w:right w:w="108" w:type="dxa"/>
          </w:tblCellMar>
        </w:tblPrEx>
        <w:trPr>
          <w:trHeight w:val="630" w:hRule="atLeast"/>
        </w:trPr>
        <w:tc>
          <w:tcPr>
            <w:tcW w:w="10494" w:type="dxa"/>
            <w:gridSpan w:val="8"/>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cs="宋体"/>
                <w:b/>
                <w:bCs/>
                <w:kern w:val="0"/>
                <w:sz w:val="38"/>
                <w:szCs w:val="38"/>
                <w:highlight w:val="none"/>
              </w:rPr>
            </w:pPr>
            <w:r>
              <w:rPr>
                <w:rFonts w:ascii="宋体" w:hAnsi="宋体" w:eastAsia="宋体" w:cs="宋体"/>
                <w:b/>
                <w:bCs/>
                <w:i w:val="0"/>
                <w:iCs w:val="0"/>
                <w:color w:val="000000"/>
                <w:kern w:val="0"/>
                <w:sz w:val="38"/>
                <w:szCs w:val="38"/>
                <w:u w:val="none"/>
                <w:lang w:val="en-US" w:eastAsia="zh-CN" w:bidi="ar"/>
              </w:rPr>
              <w:t>2024年财政拨款收支总体情况表</w:t>
            </w:r>
          </w:p>
        </w:tc>
      </w:tr>
      <w:tr>
        <w:tblPrEx>
          <w:tblCellMar>
            <w:top w:w="0" w:type="dxa"/>
            <w:left w:w="108" w:type="dxa"/>
            <w:bottom w:w="0" w:type="dxa"/>
            <w:right w:w="108" w:type="dxa"/>
          </w:tblCellMar>
        </w:tblPrEx>
        <w:trPr>
          <w:trHeight w:val="303" w:hRule="atLeast"/>
        </w:trPr>
        <w:tc>
          <w:tcPr>
            <w:tcW w:w="10494" w:type="dxa"/>
            <w:gridSpan w:val="8"/>
            <w:tcBorders>
              <w:top w:val="nil"/>
              <w:left w:val="nil"/>
              <w:bottom w:val="nil"/>
              <w:right w:val="nil"/>
            </w:tcBorders>
            <w:shd w:val="clear" w:color="auto" w:fill="auto"/>
            <w:vAlign w:val="center"/>
          </w:tcPr>
          <w:p>
            <w:pPr>
              <w:keepNext w:val="0"/>
              <w:keepLines w:val="0"/>
              <w:widowControl/>
              <w:suppressLineNumbers w:val="0"/>
              <w:jc w:val="left"/>
              <w:textAlignment w:val="center"/>
            </w:pPr>
            <w:r>
              <w:rPr>
                <w:rFonts w:hint="eastAsia" w:ascii="宋体" w:hAnsi="宋体" w:cs="宋体"/>
                <w:i w:val="0"/>
                <w:iCs w:val="0"/>
                <w:color w:val="000000"/>
                <w:kern w:val="0"/>
                <w:sz w:val="18"/>
                <w:szCs w:val="18"/>
                <w:u w:val="none"/>
                <w:lang w:val="en-US" w:eastAsia="zh-CN" w:bidi="ar"/>
              </w:rPr>
              <w:t>单位</w:t>
            </w:r>
            <w:r>
              <w:rPr>
                <w:rFonts w:ascii="宋体" w:hAnsi="宋体" w:eastAsia="宋体" w:cs="宋体"/>
                <w:i w:val="0"/>
                <w:iCs w:val="0"/>
                <w:color w:val="000000"/>
                <w:kern w:val="0"/>
                <w:sz w:val="18"/>
                <w:szCs w:val="18"/>
                <w:u w:val="none"/>
                <w:lang w:val="en-US" w:eastAsia="zh-CN" w:bidi="ar"/>
              </w:rPr>
              <w:t>名称：新乡市卫滨区城市管理局</w:t>
            </w:r>
            <w:r>
              <w:rPr>
                <w:rFonts w:hint="eastAsia" w:ascii="宋体" w:hAnsi="宋体" w:cs="宋体"/>
                <w:i w:val="0"/>
                <w:iCs w:val="0"/>
                <w:color w:val="000000"/>
                <w:kern w:val="0"/>
                <w:sz w:val="18"/>
                <w:szCs w:val="18"/>
                <w:u w:val="none"/>
                <w:lang w:val="en-US" w:eastAsia="zh-CN" w:bidi="ar"/>
              </w:rPr>
              <w:t xml:space="preserve">                                                                        </w:t>
            </w:r>
            <w:r>
              <w:rPr>
                <w:rFonts w:ascii="宋体" w:hAnsi="宋体" w:eastAsia="宋体" w:cs="宋体"/>
                <w:i w:val="0"/>
                <w:iCs w:val="0"/>
                <w:color w:val="000000"/>
                <w:kern w:val="0"/>
                <w:sz w:val="18"/>
                <w:szCs w:val="18"/>
                <w:u w:val="none"/>
                <w:lang w:val="en-US" w:eastAsia="zh-CN" w:bidi="ar"/>
              </w:rPr>
              <w:t>单位：万元</w:t>
            </w:r>
          </w:p>
        </w:tc>
      </w:tr>
      <w:tr>
        <w:tblPrEx>
          <w:tblCellMar>
            <w:top w:w="0" w:type="dxa"/>
            <w:left w:w="108" w:type="dxa"/>
            <w:bottom w:w="0" w:type="dxa"/>
            <w:right w:w="108" w:type="dxa"/>
          </w:tblCellMar>
        </w:tblPrEx>
        <w:trPr>
          <w:trHeight w:val="313" w:hRule="atLeast"/>
        </w:trPr>
        <w:tc>
          <w:tcPr>
            <w:tcW w:w="34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 xml:space="preserve"> 收入  </w:t>
            </w:r>
          </w:p>
        </w:tc>
        <w:tc>
          <w:tcPr>
            <w:tcW w:w="7007" w:type="dxa"/>
            <w:gridSpan w:val="6"/>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 xml:space="preserve"> 支出  </w:t>
            </w:r>
          </w:p>
        </w:tc>
      </w:tr>
      <w:tr>
        <w:tblPrEx>
          <w:tblCellMar>
            <w:top w:w="0" w:type="dxa"/>
            <w:left w:w="108" w:type="dxa"/>
            <w:bottom w:w="0" w:type="dxa"/>
            <w:right w:w="108" w:type="dxa"/>
          </w:tblCellMar>
        </w:tblPrEx>
        <w:trPr>
          <w:trHeight w:val="313" w:hRule="atLeast"/>
        </w:trPr>
        <w:tc>
          <w:tcPr>
            <w:tcW w:w="2621"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 xml:space="preserve"> 项 目  </w:t>
            </w:r>
          </w:p>
        </w:tc>
        <w:tc>
          <w:tcPr>
            <w:tcW w:w="866"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金　额</w:t>
            </w:r>
          </w:p>
        </w:tc>
        <w:tc>
          <w:tcPr>
            <w:tcW w:w="3240"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 xml:space="preserve"> 项 目  </w:t>
            </w:r>
          </w:p>
        </w:tc>
        <w:tc>
          <w:tcPr>
            <w:tcW w:w="799"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合计</w:t>
            </w:r>
          </w:p>
        </w:tc>
        <w:tc>
          <w:tcPr>
            <w:tcW w:w="1560"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 xml:space="preserve">一般公共预算  </w:t>
            </w:r>
          </w:p>
        </w:tc>
        <w:tc>
          <w:tcPr>
            <w:tcW w:w="630"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政府性基金</w:t>
            </w:r>
          </w:p>
        </w:tc>
        <w:tc>
          <w:tcPr>
            <w:tcW w:w="778"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国有资本经营预算</w:t>
            </w:r>
          </w:p>
        </w:tc>
      </w:tr>
      <w:tr>
        <w:tblPrEx>
          <w:tblCellMar>
            <w:top w:w="0" w:type="dxa"/>
            <w:left w:w="108" w:type="dxa"/>
            <w:bottom w:w="0" w:type="dxa"/>
            <w:right w:w="108" w:type="dxa"/>
          </w:tblCellMar>
        </w:tblPrEx>
        <w:trPr>
          <w:trHeight w:val="313" w:hRule="atLeast"/>
        </w:trPr>
        <w:tc>
          <w:tcPr>
            <w:tcW w:w="2621" w:type="dxa"/>
            <w:vMerge w:val="continue"/>
            <w:tcBorders>
              <w:top w:val="nil"/>
              <w:left w:val="single" w:color="000000" w:sz="4" w:space="0"/>
              <w:bottom w:val="single" w:color="000000" w:sz="4" w:space="0"/>
              <w:right w:val="single" w:color="000000" w:sz="4" w:space="0"/>
            </w:tcBorders>
            <w:vAlign w:val="center"/>
          </w:tcPr>
          <w:p>
            <w:pPr>
              <w:jc w:val="center"/>
              <w:rPr>
                <w:rFonts w:hint="eastAsia" w:ascii="宋体" w:hAnsi="宋体" w:cs="宋体"/>
                <w:kern w:val="0"/>
                <w:sz w:val="15"/>
                <w:szCs w:val="15"/>
                <w:highlight w:val="none"/>
              </w:rPr>
            </w:pPr>
          </w:p>
        </w:tc>
        <w:tc>
          <w:tcPr>
            <w:tcW w:w="866" w:type="dxa"/>
            <w:vMerge w:val="continue"/>
            <w:tcBorders>
              <w:top w:val="nil"/>
              <w:left w:val="single" w:color="000000" w:sz="4" w:space="0"/>
              <w:bottom w:val="single" w:color="000000" w:sz="4" w:space="0"/>
              <w:right w:val="single" w:color="000000" w:sz="4" w:space="0"/>
            </w:tcBorders>
            <w:vAlign w:val="center"/>
          </w:tcPr>
          <w:p>
            <w:pPr>
              <w:jc w:val="center"/>
              <w:rPr>
                <w:rFonts w:hint="eastAsia" w:ascii="宋体" w:hAnsi="宋体" w:cs="宋体"/>
                <w:kern w:val="0"/>
                <w:sz w:val="15"/>
                <w:szCs w:val="15"/>
                <w:highlight w:val="none"/>
              </w:rPr>
            </w:pPr>
          </w:p>
        </w:tc>
        <w:tc>
          <w:tcPr>
            <w:tcW w:w="3240" w:type="dxa"/>
            <w:vMerge w:val="continue"/>
            <w:tcBorders>
              <w:top w:val="nil"/>
              <w:left w:val="single" w:color="000000" w:sz="4" w:space="0"/>
              <w:bottom w:val="single" w:color="000000" w:sz="4" w:space="0"/>
              <w:right w:val="single" w:color="000000" w:sz="4" w:space="0"/>
            </w:tcBorders>
            <w:vAlign w:val="center"/>
          </w:tcPr>
          <w:p>
            <w:pPr>
              <w:jc w:val="center"/>
              <w:rPr>
                <w:rFonts w:hint="eastAsia" w:ascii="宋体" w:hAnsi="宋体" w:cs="宋体"/>
                <w:kern w:val="0"/>
                <w:sz w:val="15"/>
                <w:szCs w:val="15"/>
                <w:highlight w:val="none"/>
              </w:rPr>
            </w:pPr>
          </w:p>
        </w:tc>
        <w:tc>
          <w:tcPr>
            <w:tcW w:w="799" w:type="dxa"/>
            <w:vMerge w:val="continue"/>
            <w:tcBorders>
              <w:top w:val="nil"/>
              <w:left w:val="single" w:color="000000" w:sz="4" w:space="0"/>
              <w:bottom w:val="single" w:color="000000" w:sz="4" w:space="0"/>
              <w:right w:val="single" w:color="000000" w:sz="4" w:space="0"/>
            </w:tcBorders>
            <w:vAlign w:val="center"/>
          </w:tcPr>
          <w:p>
            <w:pPr>
              <w:jc w:val="center"/>
              <w:rPr>
                <w:rFonts w:hint="eastAsia" w:ascii="宋体" w:hAnsi="宋体" w:cs="宋体"/>
                <w:kern w:val="0"/>
                <w:sz w:val="15"/>
                <w:szCs w:val="15"/>
                <w:highlight w:val="none"/>
              </w:rPr>
            </w:pPr>
          </w:p>
        </w:tc>
        <w:tc>
          <w:tcPr>
            <w:tcW w:w="7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 xml:space="preserve"> 小计  </w:t>
            </w:r>
          </w:p>
        </w:tc>
        <w:tc>
          <w:tcPr>
            <w:tcW w:w="7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其中：财政拨款</w:t>
            </w:r>
          </w:p>
        </w:tc>
        <w:tc>
          <w:tcPr>
            <w:tcW w:w="630" w:type="dxa"/>
            <w:vMerge w:val="continue"/>
            <w:tcBorders>
              <w:top w:val="nil"/>
              <w:left w:val="single" w:color="000000" w:sz="4" w:space="0"/>
              <w:bottom w:val="single" w:color="000000" w:sz="4" w:space="0"/>
              <w:right w:val="single" w:color="000000" w:sz="4" w:space="0"/>
            </w:tcBorders>
            <w:vAlign w:val="center"/>
          </w:tcPr>
          <w:p>
            <w:pPr>
              <w:jc w:val="center"/>
              <w:rPr>
                <w:rFonts w:hint="eastAsia" w:ascii="宋体" w:hAnsi="宋体" w:cs="宋体"/>
                <w:kern w:val="0"/>
                <w:sz w:val="15"/>
                <w:szCs w:val="15"/>
                <w:highlight w:val="none"/>
              </w:rPr>
            </w:pPr>
          </w:p>
        </w:tc>
        <w:tc>
          <w:tcPr>
            <w:tcW w:w="778" w:type="dxa"/>
            <w:vMerge w:val="continue"/>
            <w:tcBorders>
              <w:top w:val="nil"/>
              <w:left w:val="single" w:color="000000" w:sz="4" w:space="0"/>
              <w:bottom w:val="single" w:color="000000" w:sz="4" w:space="0"/>
              <w:right w:val="single" w:color="000000" w:sz="4" w:space="0"/>
            </w:tcBorders>
            <w:vAlign w:val="center"/>
          </w:tcPr>
          <w:p>
            <w:pPr>
              <w:jc w:val="center"/>
              <w:rPr>
                <w:rFonts w:hint="eastAsia" w:ascii="宋体" w:hAnsi="宋体" w:cs="宋体"/>
                <w:kern w:val="0"/>
                <w:sz w:val="15"/>
                <w:szCs w:val="15"/>
                <w:highlight w:val="none"/>
              </w:rPr>
            </w:pPr>
          </w:p>
        </w:tc>
      </w:tr>
      <w:tr>
        <w:tblPrEx>
          <w:tblCellMar>
            <w:top w:w="0" w:type="dxa"/>
            <w:left w:w="108" w:type="dxa"/>
            <w:bottom w:w="0" w:type="dxa"/>
            <w:right w:w="108" w:type="dxa"/>
          </w:tblCellMar>
        </w:tblPrEx>
        <w:trPr>
          <w:trHeight w:val="313" w:hRule="atLeast"/>
        </w:trPr>
        <w:tc>
          <w:tcPr>
            <w:tcW w:w="262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一、本年收入</w:t>
            </w:r>
          </w:p>
        </w:tc>
        <w:tc>
          <w:tcPr>
            <w:tcW w:w="86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410.94</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一、本年支出</w:t>
            </w:r>
          </w:p>
        </w:tc>
        <w:tc>
          <w:tcPr>
            <w:tcW w:w="79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410.94</w:t>
            </w:r>
          </w:p>
        </w:tc>
        <w:tc>
          <w:tcPr>
            <w:tcW w:w="7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410.94</w:t>
            </w:r>
          </w:p>
        </w:tc>
        <w:tc>
          <w:tcPr>
            <w:tcW w:w="7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410.94</w:t>
            </w:r>
          </w:p>
        </w:tc>
        <w:tc>
          <w:tcPr>
            <w:tcW w:w="63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78"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CellMar>
            <w:top w:w="0" w:type="dxa"/>
            <w:left w:w="108" w:type="dxa"/>
            <w:bottom w:w="0" w:type="dxa"/>
            <w:right w:w="108" w:type="dxa"/>
          </w:tblCellMar>
        </w:tblPrEx>
        <w:trPr>
          <w:trHeight w:val="313" w:hRule="atLeast"/>
        </w:trPr>
        <w:tc>
          <w:tcPr>
            <w:tcW w:w="262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（一）一般公共预算拨款</w:t>
            </w:r>
          </w:p>
        </w:tc>
        <w:tc>
          <w:tcPr>
            <w:tcW w:w="86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410.94</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（一）一般公共服务支出</w:t>
            </w:r>
          </w:p>
        </w:tc>
        <w:tc>
          <w:tcPr>
            <w:tcW w:w="79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8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8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3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78"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CellMar>
            <w:top w:w="0" w:type="dxa"/>
            <w:left w:w="108" w:type="dxa"/>
            <w:bottom w:w="0" w:type="dxa"/>
            <w:right w:w="108" w:type="dxa"/>
          </w:tblCellMar>
        </w:tblPrEx>
        <w:trPr>
          <w:trHeight w:val="313" w:hRule="atLeast"/>
        </w:trPr>
        <w:tc>
          <w:tcPr>
            <w:tcW w:w="262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 xml:space="preserve">      其中：财政拨款</w:t>
            </w:r>
          </w:p>
        </w:tc>
        <w:tc>
          <w:tcPr>
            <w:tcW w:w="86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410.94</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（二）外交支出</w:t>
            </w:r>
          </w:p>
        </w:tc>
        <w:tc>
          <w:tcPr>
            <w:tcW w:w="79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8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8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3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78"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CellMar>
            <w:top w:w="0" w:type="dxa"/>
            <w:left w:w="108" w:type="dxa"/>
            <w:bottom w:w="0" w:type="dxa"/>
            <w:right w:w="108" w:type="dxa"/>
          </w:tblCellMar>
        </w:tblPrEx>
        <w:trPr>
          <w:trHeight w:val="391" w:hRule="atLeast"/>
        </w:trPr>
        <w:tc>
          <w:tcPr>
            <w:tcW w:w="262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（二）政府性基金预算拨款</w:t>
            </w:r>
          </w:p>
        </w:tc>
        <w:tc>
          <w:tcPr>
            <w:tcW w:w="866"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（三）国防支出</w:t>
            </w:r>
          </w:p>
        </w:tc>
        <w:tc>
          <w:tcPr>
            <w:tcW w:w="79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8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8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3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78"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CellMar>
            <w:top w:w="0" w:type="dxa"/>
            <w:left w:w="108" w:type="dxa"/>
            <w:bottom w:w="0" w:type="dxa"/>
            <w:right w:w="108" w:type="dxa"/>
          </w:tblCellMar>
        </w:tblPrEx>
        <w:trPr>
          <w:trHeight w:val="376" w:hRule="atLeast"/>
        </w:trPr>
        <w:tc>
          <w:tcPr>
            <w:tcW w:w="262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（三）国有资本经营预算拨款</w:t>
            </w:r>
          </w:p>
        </w:tc>
        <w:tc>
          <w:tcPr>
            <w:tcW w:w="866"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（四）公共安全支出</w:t>
            </w:r>
          </w:p>
        </w:tc>
        <w:tc>
          <w:tcPr>
            <w:tcW w:w="79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8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8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3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78"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CellMar>
            <w:top w:w="0" w:type="dxa"/>
            <w:left w:w="108" w:type="dxa"/>
            <w:bottom w:w="0" w:type="dxa"/>
            <w:right w:w="108" w:type="dxa"/>
          </w:tblCellMar>
        </w:tblPrEx>
        <w:trPr>
          <w:trHeight w:val="313" w:hRule="atLeast"/>
        </w:trPr>
        <w:tc>
          <w:tcPr>
            <w:tcW w:w="262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二、上年结转</w:t>
            </w:r>
          </w:p>
        </w:tc>
        <w:tc>
          <w:tcPr>
            <w:tcW w:w="866"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（五）教育支出</w:t>
            </w:r>
          </w:p>
        </w:tc>
        <w:tc>
          <w:tcPr>
            <w:tcW w:w="79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8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8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3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78"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CellMar>
            <w:top w:w="0" w:type="dxa"/>
            <w:left w:w="108" w:type="dxa"/>
            <w:bottom w:w="0" w:type="dxa"/>
            <w:right w:w="108" w:type="dxa"/>
          </w:tblCellMar>
        </w:tblPrEx>
        <w:trPr>
          <w:trHeight w:val="313" w:hRule="atLeast"/>
        </w:trPr>
        <w:tc>
          <w:tcPr>
            <w:tcW w:w="262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（一）一般公共预算拨款</w:t>
            </w:r>
          </w:p>
        </w:tc>
        <w:tc>
          <w:tcPr>
            <w:tcW w:w="866"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（六）科学技术支出</w:t>
            </w:r>
          </w:p>
        </w:tc>
        <w:tc>
          <w:tcPr>
            <w:tcW w:w="79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8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8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3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78"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CellMar>
            <w:top w:w="0" w:type="dxa"/>
            <w:left w:w="108" w:type="dxa"/>
            <w:bottom w:w="0" w:type="dxa"/>
            <w:right w:w="108" w:type="dxa"/>
          </w:tblCellMar>
        </w:tblPrEx>
        <w:trPr>
          <w:trHeight w:val="271" w:hRule="atLeast"/>
        </w:trPr>
        <w:tc>
          <w:tcPr>
            <w:tcW w:w="262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（二）政府性基金预算拨款</w:t>
            </w:r>
          </w:p>
        </w:tc>
        <w:tc>
          <w:tcPr>
            <w:tcW w:w="866"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（七）文化体育旅游与传媒支出</w:t>
            </w:r>
          </w:p>
        </w:tc>
        <w:tc>
          <w:tcPr>
            <w:tcW w:w="79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8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8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3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78"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CellMar>
            <w:top w:w="0" w:type="dxa"/>
            <w:left w:w="108" w:type="dxa"/>
            <w:bottom w:w="0" w:type="dxa"/>
            <w:right w:w="108" w:type="dxa"/>
          </w:tblCellMar>
        </w:tblPrEx>
        <w:trPr>
          <w:trHeight w:val="151" w:hRule="atLeast"/>
        </w:trPr>
        <w:tc>
          <w:tcPr>
            <w:tcW w:w="262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（三）国有资本经营预算拨款</w:t>
            </w:r>
          </w:p>
        </w:tc>
        <w:tc>
          <w:tcPr>
            <w:tcW w:w="866"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（八）社会保障和就业支出</w:t>
            </w:r>
          </w:p>
        </w:tc>
        <w:tc>
          <w:tcPr>
            <w:tcW w:w="79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39.34</w:t>
            </w:r>
          </w:p>
        </w:tc>
        <w:tc>
          <w:tcPr>
            <w:tcW w:w="7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39.34</w:t>
            </w:r>
          </w:p>
        </w:tc>
        <w:tc>
          <w:tcPr>
            <w:tcW w:w="7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39.34</w:t>
            </w:r>
          </w:p>
        </w:tc>
        <w:tc>
          <w:tcPr>
            <w:tcW w:w="63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78"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CellMar>
            <w:top w:w="0" w:type="dxa"/>
            <w:left w:w="108" w:type="dxa"/>
            <w:bottom w:w="0" w:type="dxa"/>
            <w:right w:w="108" w:type="dxa"/>
          </w:tblCellMar>
        </w:tblPrEx>
        <w:trPr>
          <w:trHeight w:val="313" w:hRule="atLeast"/>
        </w:trPr>
        <w:tc>
          <w:tcPr>
            <w:tcW w:w="2621"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866"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（九）医疗卫生与计划生育支出</w:t>
            </w:r>
          </w:p>
        </w:tc>
        <w:tc>
          <w:tcPr>
            <w:tcW w:w="79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8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8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3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78"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CellMar>
            <w:top w:w="0" w:type="dxa"/>
            <w:left w:w="108" w:type="dxa"/>
            <w:bottom w:w="0" w:type="dxa"/>
            <w:right w:w="108" w:type="dxa"/>
          </w:tblCellMar>
        </w:tblPrEx>
        <w:trPr>
          <w:trHeight w:val="325" w:hRule="atLeast"/>
        </w:trPr>
        <w:tc>
          <w:tcPr>
            <w:tcW w:w="2621"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866"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（十）卫生健康支出</w:t>
            </w:r>
          </w:p>
        </w:tc>
        <w:tc>
          <w:tcPr>
            <w:tcW w:w="79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21.15</w:t>
            </w:r>
          </w:p>
        </w:tc>
        <w:tc>
          <w:tcPr>
            <w:tcW w:w="7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21.15</w:t>
            </w:r>
          </w:p>
        </w:tc>
        <w:tc>
          <w:tcPr>
            <w:tcW w:w="7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21.15</w:t>
            </w:r>
          </w:p>
        </w:tc>
        <w:tc>
          <w:tcPr>
            <w:tcW w:w="63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78"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CellMar>
            <w:top w:w="0" w:type="dxa"/>
            <w:left w:w="108" w:type="dxa"/>
            <w:bottom w:w="0" w:type="dxa"/>
            <w:right w:w="108" w:type="dxa"/>
          </w:tblCellMar>
        </w:tblPrEx>
        <w:trPr>
          <w:trHeight w:val="313" w:hRule="atLeast"/>
        </w:trPr>
        <w:tc>
          <w:tcPr>
            <w:tcW w:w="2621"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866"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（十一）节能环保支出</w:t>
            </w:r>
          </w:p>
        </w:tc>
        <w:tc>
          <w:tcPr>
            <w:tcW w:w="79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8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8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3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78"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CellMar>
            <w:top w:w="0" w:type="dxa"/>
            <w:left w:w="108" w:type="dxa"/>
            <w:bottom w:w="0" w:type="dxa"/>
            <w:right w:w="108" w:type="dxa"/>
          </w:tblCellMar>
        </w:tblPrEx>
        <w:trPr>
          <w:trHeight w:val="313" w:hRule="atLeast"/>
        </w:trPr>
        <w:tc>
          <w:tcPr>
            <w:tcW w:w="2621"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866"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（十二）城乡社区事务支出</w:t>
            </w:r>
          </w:p>
        </w:tc>
        <w:tc>
          <w:tcPr>
            <w:tcW w:w="79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324.50</w:t>
            </w:r>
          </w:p>
        </w:tc>
        <w:tc>
          <w:tcPr>
            <w:tcW w:w="7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324.50</w:t>
            </w:r>
          </w:p>
        </w:tc>
        <w:tc>
          <w:tcPr>
            <w:tcW w:w="7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324.50</w:t>
            </w:r>
          </w:p>
        </w:tc>
        <w:tc>
          <w:tcPr>
            <w:tcW w:w="63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78"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CellMar>
            <w:top w:w="0" w:type="dxa"/>
            <w:left w:w="108" w:type="dxa"/>
            <w:bottom w:w="0" w:type="dxa"/>
            <w:right w:w="108" w:type="dxa"/>
          </w:tblCellMar>
        </w:tblPrEx>
        <w:trPr>
          <w:trHeight w:val="313" w:hRule="atLeast"/>
        </w:trPr>
        <w:tc>
          <w:tcPr>
            <w:tcW w:w="2621"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866"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（十三）农林水事务支出</w:t>
            </w:r>
          </w:p>
        </w:tc>
        <w:tc>
          <w:tcPr>
            <w:tcW w:w="79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8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8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3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78"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CellMar>
            <w:top w:w="0" w:type="dxa"/>
            <w:left w:w="108" w:type="dxa"/>
            <w:bottom w:w="0" w:type="dxa"/>
            <w:right w:w="108" w:type="dxa"/>
          </w:tblCellMar>
        </w:tblPrEx>
        <w:trPr>
          <w:trHeight w:val="325" w:hRule="atLeast"/>
        </w:trPr>
        <w:tc>
          <w:tcPr>
            <w:tcW w:w="2621"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866"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（十四）交通运输支出</w:t>
            </w:r>
          </w:p>
        </w:tc>
        <w:tc>
          <w:tcPr>
            <w:tcW w:w="79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8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8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3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78"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CellMar>
            <w:top w:w="0" w:type="dxa"/>
            <w:left w:w="108" w:type="dxa"/>
            <w:bottom w:w="0" w:type="dxa"/>
            <w:right w:w="108" w:type="dxa"/>
          </w:tblCellMar>
        </w:tblPrEx>
        <w:trPr>
          <w:trHeight w:val="340" w:hRule="atLeast"/>
        </w:trPr>
        <w:tc>
          <w:tcPr>
            <w:tcW w:w="2621"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866"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（十五）资源勘探信息等支出</w:t>
            </w:r>
          </w:p>
        </w:tc>
        <w:tc>
          <w:tcPr>
            <w:tcW w:w="79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8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8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3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78"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CellMar>
            <w:top w:w="0" w:type="dxa"/>
            <w:left w:w="108" w:type="dxa"/>
            <w:bottom w:w="0" w:type="dxa"/>
            <w:right w:w="108" w:type="dxa"/>
          </w:tblCellMar>
        </w:tblPrEx>
        <w:trPr>
          <w:trHeight w:val="340" w:hRule="atLeast"/>
        </w:trPr>
        <w:tc>
          <w:tcPr>
            <w:tcW w:w="2621"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866"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（十六）商业服务业等支出</w:t>
            </w:r>
          </w:p>
        </w:tc>
        <w:tc>
          <w:tcPr>
            <w:tcW w:w="79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8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8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3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78"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CellMar>
            <w:top w:w="0" w:type="dxa"/>
            <w:left w:w="108" w:type="dxa"/>
            <w:bottom w:w="0" w:type="dxa"/>
            <w:right w:w="108" w:type="dxa"/>
          </w:tblCellMar>
        </w:tblPrEx>
        <w:trPr>
          <w:trHeight w:val="340" w:hRule="atLeast"/>
        </w:trPr>
        <w:tc>
          <w:tcPr>
            <w:tcW w:w="2621"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866"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（十七）金融支出</w:t>
            </w:r>
          </w:p>
        </w:tc>
        <w:tc>
          <w:tcPr>
            <w:tcW w:w="79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8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8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3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78"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CellMar>
            <w:top w:w="0" w:type="dxa"/>
            <w:left w:w="108" w:type="dxa"/>
            <w:bottom w:w="0" w:type="dxa"/>
            <w:right w:w="108" w:type="dxa"/>
          </w:tblCellMar>
        </w:tblPrEx>
        <w:trPr>
          <w:trHeight w:val="340" w:hRule="atLeast"/>
        </w:trPr>
        <w:tc>
          <w:tcPr>
            <w:tcW w:w="2621"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866"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（十九）援助其他地区支出</w:t>
            </w:r>
          </w:p>
        </w:tc>
        <w:tc>
          <w:tcPr>
            <w:tcW w:w="79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8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8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3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78"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CellMar>
            <w:top w:w="0" w:type="dxa"/>
            <w:left w:w="108" w:type="dxa"/>
            <w:bottom w:w="0" w:type="dxa"/>
            <w:right w:w="108" w:type="dxa"/>
          </w:tblCellMar>
        </w:tblPrEx>
        <w:trPr>
          <w:trHeight w:val="451" w:hRule="atLeast"/>
        </w:trPr>
        <w:tc>
          <w:tcPr>
            <w:tcW w:w="2621"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866"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（二十）自然资源海洋气象等支出</w:t>
            </w:r>
          </w:p>
        </w:tc>
        <w:tc>
          <w:tcPr>
            <w:tcW w:w="79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8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8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3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78"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CellMar>
            <w:top w:w="0" w:type="dxa"/>
            <w:left w:w="108" w:type="dxa"/>
            <w:bottom w:w="0" w:type="dxa"/>
            <w:right w:w="108" w:type="dxa"/>
          </w:tblCellMar>
        </w:tblPrEx>
        <w:trPr>
          <w:trHeight w:val="340" w:hRule="atLeast"/>
        </w:trPr>
        <w:tc>
          <w:tcPr>
            <w:tcW w:w="2621"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866"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（二十一）住房保障支出</w:t>
            </w:r>
          </w:p>
        </w:tc>
        <w:tc>
          <w:tcPr>
            <w:tcW w:w="79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25.95</w:t>
            </w:r>
          </w:p>
        </w:tc>
        <w:tc>
          <w:tcPr>
            <w:tcW w:w="7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25.95</w:t>
            </w:r>
          </w:p>
        </w:tc>
        <w:tc>
          <w:tcPr>
            <w:tcW w:w="7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25.95</w:t>
            </w:r>
          </w:p>
        </w:tc>
        <w:tc>
          <w:tcPr>
            <w:tcW w:w="63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78"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CellMar>
            <w:top w:w="0" w:type="dxa"/>
            <w:left w:w="108" w:type="dxa"/>
            <w:bottom w:w="0" w:type="dxa"/>
            <w:right w:w="108" w:type="dxa"/>
          </w:tblCellMar>
        </w:tblPrEx>
        <w:trPr>
          <w:trHeight w:val="340" w:hRule="atLeast"/>
        </w:trPr>
        <w:tc>
          <w:tcPr>
            <w:tcW w:w="2621"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866"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（二十二）粮油物资储备支出</w:t>
            </w:r>
          </w:p>
        </w:tc>
        <w:tc>
          <w:tcPr>
            <w:tcW w:w="79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8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8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3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78"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CellMar>
            <w:top w:w="0" w:type="dxa"/>
            <w:left w:w="108" w:type="dxa"/>
            <w:bottom w:w="0" w:type="dxa"/>
            <w:right w:w="108" w:type="dxa"/>
          </w:tblCellMar>
        </w:tblPrEx>
        <w:trPr>
          <w:trHeight w:val="340" w:hRule="atLeast"/>
        </w:trPr>
        <w:tc>
          <w:tcPr>
            <w:tcW w:w="2621"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866"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（二十三）国有资本经营预算</w:t>
            </w:r>
          </w:p>
        </w:tc>
        <w:tc>
          <w:tcPr>
            <w:tcW w:w="79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8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8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3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78"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CellMar>
            <w:top w:w="0" w:type="dxa"/>
            <w:left w:w="108" w:type="dxa"/>
            <w:bottom w:w="0" w:type="dxa"/>
            <w:right w:w="108" w:type="dxa"/>
          </w:tblCellMar>
        </w:tblPrEx>
        <w:trPr>
          <w:trHeight w:val="340" w:hRule="atLeast"/>
        </w:trPr>
        <w:tc>
          <w:tcPr>
            <w:tcW w:w="2621"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866"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（二十四）灾害防治及应急管理</w:t>
            </w:r>
          </w:p>
        </w:tc>
        <w:tc>
          <w:tcPr>
            <w:tcW w:w="79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8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8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3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78"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CellMar>
            <w:top w:w="0" w:type="dxa"/>
            <w:left w:w="108" w:type="dxa"/>
            <w:bottom w:w="0" w:type="dxa"/>
            <w:right w:w="108" w:type="dxa"/>
          </w:tblCellMar>
        </w:tblPrEx>
        <w:trPr>
          <w:trHeight w:val="340" w:hRule="atLeast"/>
        </w:trPr>
        <w:tc>
          <w:tcPr>
            <w:tcW w:w="2621"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866"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（二十七）预备费</w:t>
            </w:r>
          </w:p>
        </w:tc>
        <w:tc>
          <w:tcPr>
            <w:tcW w:w="79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8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8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3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78"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CellMar>
            <w:top w:w="0" w:type="dxa"/>
            <w:left w:w="108" w:type="dxa"/>
            <w:bottom w:w="0" w:type="dxa"/>
            <w:right w:w="108" w:type="dxa"/>
          </w:tblCellMar>
        </w:tblPrEx>
        <w:trPr>
          <w:trHeight w:val="340" w:hRule="atLeast"/>
        </w:trPr>
        <w:tc>
          <w:tcPr>
            <w:tcW w:w="2621"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866"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（二十九）其他支出</w:t>
            </w:r>
          </w:p>
        </w:tc>
        <w:tc>
          <w:tcPr>
            <w:tcW w:w="79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8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8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3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78"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CellMar>
            <w:top w:w="0" w:type="dxa"/>
            <w:left w:w="108" w:type="dxa"/>
            <w:bottom w:w="0" w:type="dxa"/>
            <w:right w:w="108" w:type="dxa"/>
          </w:tblCellMar>
        </w:tblPrEx>
        <w:trPr>
          <w:trHeight w:val="340" w:hRule="atLeast"/>
        </w:trPr>
        <w:tc>
          <w:tcPr>
            <w:tcW w:w="2621"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866"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（三十）转移性支出</w:t>
            </w:r>
          </w:p>
        </w:tc>
        <w:tc>
          <w:tcPr>
            <w:tcW w:w="79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8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8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3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78"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CellMar>
            <w:top w:w="0" w:type="dxa"/>
            <w:left w:w="108" w:type="dxa"/>
            <w:bottom w:w="0" w:type="dxa"/>
            <w:right w:w="108" w:type="dxa"/>
          </w:tblCellMar>
        </w:tblPrEx>
        <w:trPr>
          <w:trHeight w:val="340" w:hRule="atLeast"/>
        </w:trPr>
        <w:tc>
          <w:tcPr>
            <w:tcW w:w="2621"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866"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（三十一）债务还本支出</w:t>
            </w:r>
          </w:p>
        </w:tc>
        <w:tc>
          <w:tcPr>
            <w:tcW w:w="79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8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8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3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78"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CellMar>
            <w:top w:w="0" w:type="dxa"/>
            <w:left w:w="108" w:type="dxa"/>
            <w:bottom w:w="0" w:type="dxa"/>
            <w:right w:w="108" w:type="dxa"/>
          </w:tblCellMar>
        </w:tblPrEx>
        <w:trPr>
          <w:trHeight w:val="340" w:hRule="atLeast"/>
        </w:trPr>
        <w:tc>
          <w:tcPr>
            <w:tcW w:w="2621"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866"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（三十二）债务付息支出</w:t>
            </w:r>
          </w:p>
        </w:tc>
        <w:tc>
          <w:tcPr>
            <w:tcW w:w="79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8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8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3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78"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CellMar>
            <w:top w:w="0" w:type="dxa"/>
            <w:left w:w="108" w:type="dxa"/>
            <w:bottom w:w="0" w:type="dxa"/>
            <w:right w:w="108" w:type="dxa"/>
          </w:tblCellMar>
        </w:tblPrEx>
        <w:trPr>
          <w:trHeight w:val="340" w:hRule="atLeast"/>
        </w:trPr>
        <w:tc>
          <w:tcPr>
            <w:tcW w:w="2621"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866"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（三十三）债务发行费用支出</w:t>
            </w:r>
          </w:p>
        </w:tc>
        <w:tc>
          <w:tcPr>
            <w:tcW w:w="79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8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8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3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78"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CellMar>
            <w:top w:w="0" w:type="dxa"/>
            <w:left w:w="108" w:type="dxa"/>
            <w:bottom w:w="0" w:type="dxa"/>
            <w:right w:w="108" w:type="dxa"/>
          </w:tblCellMar>
        </w:tblPrEx>
        <w:trPr>
          <w:trHeight w:val="436" w:hRule="atLeast"/>
        </w:trPr>
        <w:tc>
          <w:tcPr>
            <w:tcW w:w="2621" w:type="dxa"/>
            <w:tcBorders>
              <w:top w:val="nil"/>
              <w:left w:val="single" w:color="000000" w:sz="4" w:space="0"/>
              <w:bottom w:val="single" w:color="000000" w:sz="4" w:space="0"/>
              <w:right w:val="single" w:color="000000" w:sz="4" w:space="0"/>
            </w:tcBorders>
            <w:shd w:val="clear" w:color="auto" w:fill="auto"/>
            <w:vAlign w:val="center"/>
          </w:tcPr>
          <w:p>
            <w:pPr>
              <w:rPr>
                <w:rFonts w:hint="eastAsia" w:ascii="宋体" w:hAnsi="宋体" w:cs="宋体"/>
                <w:kern w:val="0"/>
                <w:sz w:val="15"/>
                <w:szCs w:val="15"/>
                <w:highlight w:val="none"/>
              </w:rPr>
            </w:pPr>
          </w:p>
        </w:tc>
        <w:tc>
          <w:tcPr>
            <w:tcW w:w="866"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5"/>
                <w:szCs w:val="15"/>
                <w:highlight w:val="none"/>
              </w:rPr>
            </w:pP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（三十四）抗疫特别国债安排的支出</w:t>
            </w:r>
          </w:p>
        </w:tc>
        <w:tc>
          <w:tcPr>
            <w:tcW w:w="79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8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8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3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78"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CellMar>
            <w:top w:w="0" w:type="dxa"/>
            <w:left w:w="108" w:type="dxa"/>
            <w:bottom w:w="0" w:type="dxa"/>
            <w:right w:w="108" w:type="dxa"/>
          </w:tblCellMar>
        </w:tblPrEx>
        <w:trPr>
          <w:trHeight w:val="340" w:hRule="atLeast"/>
        </w:trPr>
        <w:tc>
          <w:tcPr>
            <w:tcW w:w="2621" w:type="dxa"/>
            <w:tcBorders>
              <w:top w:val="nil"/>
              <w:left w:val="single" w:color="000000" w:sz="4" w:space="0"/>
              <w:bottom w:val="single" w:color="000000" w:sz="4" w:space="0"/>
              <w:right w:val="single" w:color="000000" w:sz="4" w:space="0"/>
            </w:tcBorders>
            <w:shd w:val="clear" w:color="auto" w:fill="auto"/>
            <w:vAlign w:val="center"/>
          </w:tcPr>
          <w:p>
            <w:pPr>
              <w:rPr>
                <w:rFonts w:hint="eastAsia" w:ascii="宋体" w:hAnsi="宋体" w:cs="宋体"/>
                <w:kern w:val="0"/>
                <w:sz w:val="15"/>
                <w:szCs w:val="15"/>
                <w:highlight w:val="none"/>
              </w:rPr>
            </w:pPr>
          </w:p>
        </w:tc>
        <w:tc>
          <w:tcPr>
            <w:tcW w:w="866"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5"/>
                <w:szCs w:val="15"/>
                <w:highlight w:val="none"/>
              </w:rPr>
            </w:pP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二、年终结转结余</w:t>
            </w:r>
          </w:p>
        </w:tc>
        <w:tc>
          <w:tcPr>
            <w:tcW w:w="799"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5"/>
                <w:szCs w:val="15"/>
                <w:highlight w:val="none"/>
              </w:rPr>
            </w:pPr>
          </w:p>
        </w:tc>
        <w:tc>
          <w:tcPr>
            <w:tcW w:w="780"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5"/>
                <w:szCs w:val="15"/>
                <w:highlight w:val="none"/>
              </w:rPr>
            </w:pPr>
          </w:p>
        </w:tc>
        <w:tc>
          <w:tcPr>
            <w:tcW w:w="780"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5"/>
                <w:szCs w:val="15"/>
                <w:highlight w:val="none"/>
              </w:rPr>
            </w:pPr>
          </w:p>
        </w:tc>
        <w:tc>
          <w:tcPr>
            <w:tcW w:w="630"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5"/>
                <w:szCs w:val="15"/>
                <w:highlight w:val="none"/>
              </w:rPr>
            </w:pPr>
          </w:p>
        </w:tc>
        <w:tc>
          <w:tcPr>
            <w:tcW w:w="778"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5"/>
                <w:szCs w:val="15"/>
                <w:highlight w:val="none"/>
              </w:rPr>
            </w:pPr>
          </w:p>
        </w:tc>
      </w:tr>
      <w:tr>
        <w:tblPrEx>
          <w:tblCellMar>
            <w:top w:w="0" w:type="dxa"/>
            <w:left w:w="108" w:type="dxa"/>
            <w:bottom w:w="0" w:type="dxa"/>
            <w:right w:w="108" w:type="dxa"/>
          </w:tblCellMar>
        </w:tblPrEx>
        <w:trPr>
          <w:trHeight w:val="350" w:hRule="atLeast"/>
        </w:trPr>
        <w:tc>
          <w:tcPr>
            <w:tcW w:w="262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收入合计：</w:t>
            </w:r>
          </w:p>
        </w:tc>
        <w:tc>
          <w:tcPr>
            <w:tcW w:w="86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410.94</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支出合计</w:t>
            </w:r>
          </w:p>
        </w:tc>
        <w:tc>
          <w:tcPr>
            <w:tcW w:w="79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410.94</w:t>
            </w:r>
          </w:p>
        </w:tc>
        <w:tc>
          <w:tcPr>
            <w:tcW w:w="7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410.94</w:t>
            </w:r>
          </w:p>
        </w:tc>
        <w:tc>
          <w:tcPr>
            <w:tcW w:w="7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410.94</w:t>
            </w:r>
          </w:p>
        </w:tc>
        <w:tc>
          <w:tcPr>
            <w:tcW w:w="63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78"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bl>
    <w:p>
      <w:pPr>
        <w:kinsoku w:val="0"/>
        <w:overflowPunct w:val="0"/>
        <w:adjustRightInd w:val="0"/>
        <w:snapToGrid w:val="0"/>
        <w:spacing w:line="560" w:lineRule="exact"/>
        <w:rPr>
          <w:rFonts w:ascii="黑体" w:hAnsi="Times New Roman" w:eastAsia="黑体" w:cs="黑体"/>
          <w:sz w:val="32"/>
          <w:szCs w:val="32"/>
          <w:highlight w:val="none"/>
        </w:rPr>
        <w:sectPr>
          <w:pgSz w:w="11906" w:h="16838"/>
          <w:pgMar w:top="567" w:right="1701" w:bottom="567" w:left="1559" w:header="851" w:footer="992" w:gutter="0"/>
          <w:pgBorders>
            <w:top w:val="none" w:sz="0" w:space="0"/>
            <w:left w:val="none" w:sz="0" w:space="0"/>
            <w:bottom w:val="none" w:sz="0" w:space="0"/>
            <w:right w:val="none" w:sz="0" w:space="0"/>
          </w:pgBorders>
          <w:cols w:space="720" w:num="1"/>
          <w:docGrid w:type="lines" w:linePitch="312" w:charSpace="0"/>
        </w:sectPr>
      </w:pPr>
    </w:p>
    <w:tbl>
      <w:tblPr>
        <w:tblStyle w:val="8"/>
        <w:tblpPr w:leftFromText="180" w:rightFromText="180" w:vertAnchor="text" w:horzAnchor="page" w:tblpX="661" w:tblpY="310"/>
        <w:tblOverlap w:val="never"/>
        <w:tblW w:w="15320" w:type="dxa"/>
        <w:tblInd w:w="0" w:type="dxa"/>
        <w:tblLayout w:type="fixed"/>
        <w:tblCellMar>
          <w:top w:w="0" w:type="dxa"/>
          <w:left w:w="108" w:type="dxa"/>
          <w:bottom w:w="0" w:type="dxa"/>
          <w:right w:w="108" w:type="dxa"/>
        </w:tblCellMar>
      </w:tblPr>
      <w:tblGrid>
        <w:gridCol w:w="585"/>
        <w:gridCol w:w="525"/>
        <w:gridCol w:w="465"/>
        <w:gridCol w:w="550"/>
        <w:gridCol w:w="2900"/>
        <w:gridCol w:w="939"/>
        <w:gridCol w:w="1476"/>
        <w:gridCol w:w="1125"/>
        <w:gridCol w:w="1126"/>
        <w:gridCol w:w="1125"/>
        <w:gridCol w:w="1126"/>
        <w:gridCol w:w="1126"/>
        <w:gridCol w:w="1126"/>
        <w:gridCol w:w="1126"/>
      </w:tblGrid>
      <w:tr>
        <w:tblPrEx>
          <w:tblCellMar>
            <w:top w:w="0" w:type="dxa"/>
            <w:left w:w="108" w:type="dxa"/>
            <w:bottom w:w="0" w:type="dxa"/>
            <w:right w:w="108" w:type="dxa"/>
          </w:tblCellMar>
        </w:tblPrEx>
        <w:trPr>
          <w:trHeight w:val="285" w:hRule="atLeast"/>
        </w:trPr>
        <w:tc>
          <w:tcPr>
            <w:tcW w:w="15320" w:type="dxa"/>
            <w:gridSpan w:val="14"/>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预算05表</w:t>
            </w:r>
          </w:p>
        </w:tc>
      </w:tr>
      <w:tr>
        <w:tblPrEx>
          <w:tblCellMar>
            <w:top w:w="0" w:type="dxa"/>
            <w:left w:w="108" w:type="dxa"/>
            <w:bottom w:w="0" w:type="dxa"/>
            <w:right w:w="108" w:type="dxa"/>
          </w:tblCellMar>
        </w:tblPrEx>
        <w:trPr>
          <w:trHeight w:val="570" w:hRule="atLeast"/>
        </w:trPr>
        <w:tc>
          <w:tcPr>
            <w:tcW w:w="15320"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cs="宋体"/>
                <w:b/>
                <w:bCs/>
                <w:kern w:val="0"/>
                <w:sz w:val="38"/>
                <w:szCs w:val="38"/>
                <w:highlight w:val="none"/>
              </w:rPr>
            </w:pPr>
            <w:r>
              <w:rPr>
                <w:rFonts w:ascii="宋体" w:hAnsi="宋体" w:eastAsia="宋体" w:cs="宋体"/>
                <w:b/>
                <w:bCs/>
                <w:i w:val="0"/>
                <w:iCs w:val="0"/>
                <w:color w:val="000000"/>
                <w:kern w:val="0"/>
                <w:sz w:val="38"/>
                <w:szCs w:val="38"/>
                <w:u w:val="none"/>
                <w:lang w:val="en-US" w:eastAsia="zh-CN" w:bidi="ar"/>
              </w:rPr>
              <w:t>2024年一般公共预算支出情况表</w:t>
            </w:r>
          </w:p>
        </w:tc>
      </w:tr>
      <w:tr>
        <w:tblPrEx>
          <w:tblCellMar>
            <w:top w:w="0" w:type="dxa"/>
            <w:left w:w="108" w:type="dxa"/>
            <w:bottom w:w="0" w:type="dxa"/>
            <w:right w:w="108" w:type="dxa"/>
          </w:tblCellMar>
        </w:tblPrEx>
        <w:trPr>
          <w:trHeight w:val="285" w:hRule="atLeast"/>
        </w:trPr>
        <w:tc>
          <w:tcPr>
            <w:tcW w:w="14194" w:type="dxa"/>
            <w:gridSpan w:val="13"/>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kern w:val="0"/>
                <w:sz w:val="18"/>
                <w:szCs w:val="18"/>
                <w:highlight w:val="none"/>
                <w:lang w:eastAsia="zh-CN"/>
              </w:rPr>
            </w:pPr>
            <w:r>
              <w:rPr>
                <w:rFonts w:hint="eastAsia" w:ascii="宋体" w:hAnsi="宋体" w:cs="宋体"/>
                <w:i w:val="0"/>
                <w:iCs w:val="0"/>
                <w:color w:val="000000"/>
                <w:kern w:val="0"/>
                <w:sz w:val="18"/>
                <w:szCs w:val="18"/>
                <w:u w:val="none"/>
                <w:lang w:val="en-US" w:eastAsia="zh-CN" w:bidi="ar"/>
              </w:rPr>
              <w:t>单位</w:t>
            </w:r>
            <w:r>
              <w:rPr>
                <w:rFonts w:ascii="宋体" w:hAnsi="宋体" w:eastAsia="宋体" w:cs="宋体"/>
                <w:i w:val="0"/>
                <w:iCs w:val="0"/>
                <w:color w:val="000000"/>
                <w:kern w:val="0"/>
                <w:sz w:val="18"/>
                <w:szCs w:val="18"/>
                <w:u w:val="none"/>
                <w:lang w:val="en-US" w:eastAsia="zh-CN" w:bidi="ar"/>
              </w:rPr>
              <w:t>名称：新乡市卫滨区城市管理局</w:t>
            </w:r>
          </w:p>
        </w:tc>
        <w:tc>
          <w:tcPr>
            <w:tcW w:w="1126" w:type="dxa"/>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单位：万元</w:t>
            </w:r>
          </w:p>
        </w:tc>
      </w:tr>
      <w:tr>
        <w:tblPrEx>
          <w:tblCellMar>
            <w:top w:w="0" w:type="dxa"/>
            <w:left w:w="108" w:type="dxa"/>
            <w:bottom w:w="0" w:type="dxa"/>
            <w:right w:w="108" w:type="dxa"/>
          </w:tblCellMar>
        </w:tblPrEx>
        <w:trPr>
          <w:trHeight w:val="285" w:hRule="atLeast"/>
        </w:trPr>
        <w:tc>
          <w:tcPr>
            <w:tcW w:w="1575"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科目编码</w:t>
            </w:r>
          </w:p>
        </w:tc>
        <w:tc>
          <w:tcPr>
            <w:tcW w:w="5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单位代码</w:t>
            </w:r>
          </w:p>
        </w:tc>
        <w:tc>
          <w:tcPr>
            <w:tcW w:w="29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单位（科目名称）</w:t>
            </w:r>
          </w:p>
        </w:tc>
        <w:tc>
          <w:tcPr>
            <w:tcW w:w="9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合计</w:t>
            </w:r>
          </w:p>
        </w:tc>
        <w:tc>
          <w:tcPr>
            <w:tcW w:w="5978" w:type="dxa"/>
            <w:gridSpan w:val="5"/>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 xml:space="preserve">基本支出  </w:t>
            </w:r>
          </w:p>
        </w:tc>
        <w:tc>
          <w:tcPr>
            <w:tcW w:w="3378" w:type="dxa"/>
            <w:gridSpan w:val="3"/>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项目支出</w:t>
            </w:r>
          </w:p>
        </w:tc>
      </w:tr>
      <w:tr>
        <w:tblPrEx>
          <w:tblCellMar>
            <w:top w:w="0" w:type="dxa"/>
            <w:left w:w="108" w:type="dxa"/>
            <w:bottom w:w="0" w:type="dxa"/>
            <w:right w:w="108" w:type="dxa"/>
          </w:tblCellMar>
        </w:tblPrEx>
        <w:trPr>
          <w:trHeight w:val="285" w:hRule="atLeast"/>
        </w:trPr>
        <w:tc>
          <w:tcPr>
            <w:tcW w:w="1575" w:type="dxa"/>
            <w:gridSpan w:val="3"/>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55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290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93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1476"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小计</w:t>
            </w:r>
          </w:p>
        </w:tc>
        <w:tc>
          <w:tcPr>
            <w:tcW w:w="2251"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人员经费</w:t>
            </w:r>
          </w:p>
        </w:tc>
        <w:tc>
          <w:tcPr>
            <w:tcW w:w="2251"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公用经费</w:t>
            </w:r>
          </w:p>
        </w:tc>
        <w:tc>
          <w:tcPr>
            <w:tcW w:w="1126"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小计</w:t>
            </w:r>
          </w:p>
        </w:tc>
        <w:tc>
          <w:tcPr>
            <w:tcW w:w="1126"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其他运转类</w:t>
            </w:r>
          </w:p>
        </w:tc>
        <w:tc>
          <w:tcPr>
            <w:tcW w:w="1126"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特定目标类</w:t>
            </w:r>
          </w:p>
        </w:tc>
      </w:tr>
      <w:tr>
        <w:tblPrEx>
          <w:tblCellMar>
            <w:top w:w="0" w:type="dxa"/>
            <w:left w:w="108" w:type="dxa"/>
            <w:bottom w:w="0" w:type="dxa"/>
            <w:right w:w="108" w:type="dxa"/>
          </w:tblCellMar>
        </w:tblPrEx>
        <w:trPr>
          <w:trHeight w:val="679" w:hRule="atLeast"/>
        </w:trPr>
        <w:tc>
          <w:tcPr>
            <w:tcW w:w="58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类</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款</w:t>
            </w:r>
          </w:p>
        </w:tc>
        <w:tc>
          <w:tcPr>
            <w:tcW w:w="46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项</w:t>
            </w:r>
          </w:p>
        </w:tc>
        <w:tc>
          <w:tcPr>
            <w:tcW w:w="55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290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93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1476"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11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工资福利支出</w:t>
            </w:r>
          </w:p>
        </w:tc>
        <w:tc>
          <w:tcPr>
            <w:tcW w:w="112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对个人和家庭的补助</w:t>
            </w:r>
          </w:p>
        </w:tc>
        <w:tc>
          <w:tcPr>
            <w:tcW w:w="11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商品和服务支出</w:t>
            </w:r>
          </w:p>
        </w:tc>
        <w:tc>
          <w:tcPr>
            <w:tcW w:w="112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资本性支出</w:t>
            </w:r>
          </w:p>
        </w:tc>
        <w:tc>
          <w:tcPr>
            <w:tcW w:w="1126"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1126"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1126"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58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 xml:space="preserve"> </w:t>
            </w:r>
          </w:p>
        </w:tc>
        <w:tc>
          <w:tcPr>
            <w:tcW w:w="525"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kern w:val="0"/>
                <w:sz w:val="18"/>
                <w:szCs w:val="18"/>
                <w:highlight w:val="none"/>
              </w:rPr>
            </w:pPr>
          </w:p>
        </w:tc>
        <w:tc>
          <w:tcPr>
            <w:tcW w:w="465"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kern w:val="0"/>
                <w:sz w:val="18"/>
                <w:szCs w:val="18"/>
                <w:highlight w:val="none"/>
              </w:rPr>
            </w:pPr>
          </w:p>
        </w:tc>
        <w:tc>
          <w:tcPr>
            <w:tcW w:w="55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kern w:val="0"/>
                <w:sz w:val="18"/>
                <w:szCs w:val="18"/>
                <w:highlight w:val="none"/>
              </w:rPr>
            </w:pPr>
          </w:p>
        </w:tc>
        <w:tc>
          <w:tcPr>
            <w:tcW w:w="29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合计</w:t>
            </w:r>
          </w:p>
        </w:tc>
        <w:tc>
          <w:tcPr>
            <w:tcW w:w="93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410.94</w:t>
            </w:r>
          </w:p>
        </w:tc>
        <w:tc>
          <w:tcPr>
            <w:tcW w:w="147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338.94</w:t>
            </w:r>
          </w:p>
        </w:tc>
        <w:tc>
          <w:tcPr>
            <w:tcW w:w="11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314.72</w:t>
            </w:r>
          </w:p>
        </w:tc>
        <w:tc>
          <w:tcPr>
            <w:tcW w:w="112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7.26</w:t>
            </w:r>
          </w:p>
        </w:tc>
        <w:tc>
          <w:tcPr>
            <w:tcW w:w="11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16.96</w:t>
            </w:r>
          </w:p>
        </w:tc>
        <w:tc>
          <w:tcPr>
            <w:tcW w:w="112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2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72.00</w:t>
            </w:r>
          </w:p>
        </w:tc>
        <w:tc>
          <w:tcPr>
            <w:tcW w:w="112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72.00</w:t>
            </w:r>
          </w:p>
        </w:tc>
        <w:tc>
          <w:tcPr>
            <w:tcW w:w="112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454" w:hRule="atLeast"/>
        </w:trPr>
        <w:tc>
          <w:tcPr>
            <w:tcW w:w="585"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525"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465"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55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202</w:t>
            </w:r>
          </w:p>
        </w:tc>
        <w:tc>
          <w:tcPr>
            <w:tcW w:w="29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新乡市卫滨区城市管理局</w:t>
            </w:r>
          </w:p>
        </w:tc>
        <w:tc>
          <w:tcPr>
            <w:tcW w:w="93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410.94</w:t>
            </w:r>
          </w:p>
        </w:tc>
        <w:tc>
          <w:tcPr>
            <w:tcW w:w="147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338.94</w:t>
            </w:r>
          </w:p>
        </w:tc>
        <w:tc>
          <w:tcPr>
            <w:tcW w:w="11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314.72</w:t>
            </w:r>
          </w:p>
        </w:tc>
        <w:tc>
          <w:tcPr>
            <w:tcW w:w="112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7.26</w:t>
            </w:r>
          </w:p>
        </w:tc>
        <w:tc>
          <w:tcPr>
            <w:tcW w:w="11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16.96</w:t>
            </w:r>
          </w:p>
        </w:tc>
        <w:tc>
          <w:tcPr>
            <w:tcW w:w="112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2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72.00</w:t>
            </w:r>
          </w:p>
        </w:tc>
        <w:tc>
          <w:tcPr>
            <w:tcW w:w="112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72.00</w:t>
            </w:r>
          </w:p>
        </w:tc>
        <w:tc>
          <w:tcPr>
            <w:tcW w:w="112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58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208</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05</w:t>
            </w:r>
          </w:p>
        </w:tc>
        <w:tc>
          <w:tcPr>
            <w:tcW w:w="46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05</w:t>
            </w:r>
          </w:p>
        </w:tc>
        <w:tc>
          <w:tcPr>
            <w:tcW w:w="55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9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机关事业单位基本养老保险缴费支出</w:t>
            </w:r>
          </w:p>
        </w:tc>
        <w:tc>
          <w:tcPr>
            <w:tcW w:w="93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34.51</w:t>
            </w:r>
          </w:p>
        </w:tc>
        <w:tc>
          <w:tcPr>
            <w:tcW w:w="147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34.51</w:t>
            </w:r>
          </w:p>
        </w:tc>
        <w:tc>
          <w:tcPr>
            <w:tcW w:w="11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34.51</w:t>
            </w:r>
          </w:p>
        </w:tc>
        <w:tc>
          <w:tcPr>
            <w:tcW w:w="112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2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2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2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2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2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454" w:hRule="atLeast"/>
        </w:trPr>
        <w:tc>
          <w:tcPr>
            <w:tcW w:w="58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208</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05</w:t>
            </w:r>
          </w:p>
        </w:tc>
        <w:tc>
          <w:tcPr>
            <w:tcW w:w="46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06</w:t>
            </w:r>
          </w:p>
        </w:tc>
        <w:tc>
          <w:tcPr>
            <w:tcW w:w="55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9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机关事业单位职业年金缴费支出</w:t>
            </w:r>
          </w:p>
        </w:tc>
        <w:tc>
          <w:tcPr>
            <w:tcW w:w="93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4.83</w:t>
            </w:r>
          </w:p>
        </w:tc>
        <w:tc>
          <w:tcPr>
            <w:tcW w:w="147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4.83</w:t>
            </w:r>
          </w:p>
        </w:tc>
        <w:tc>
          <w:tcPr>
            <w:tcW w:w="11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4.83</w:t>
            </w:r>
          </w:p>
        </w:tc>
        <w:tc>
          <w:tcPr>
            <w:tcW w:w="112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2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2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2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2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2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58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210</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11</w:t>
            </w:r>
          </w:p>
        </w:tc>
        <w:tc>
          <w:tcPr>
            <w:tcW w:w="46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01</w:t>
            </w:r>
          </w:p>
        </w:tc>
        <w:tc>
          <w:tcPr>
            <w:tcW w:w="55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9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行政单位医疗</w:t>
            </w:r>
          </w:p>
        </w:tc>
        <w:tc>
          <w:tcPr>
            <w:tcW w:w="93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17.22</w:t>
            </w:r>
          </w:p>
        </w:tc>
        <w:tc>
          <w:tcPr>
            <w:tcW w:w="147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17.22</w:t>
            </w:r>
          </w:p>
        </w:tc>
        <w:tc>
          <w:tcPr>
            <w:tcW w:w="11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17.22</w:t>
            </w:r>
          </w:p>
        </w:tc>
        <w:tc>
          <w:tcPr>
            <w:tcW w:w="112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2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2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2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2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2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454" w:hRule="atLeast"/>
        </w:trPr>
        <w:tc>
          <w:tcPr>
            <w:tcW w:w="58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210</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11</w:t>
            </w:r>
          </w:p>
        </w:tc>
        <w:tc>
          <w:tcPr>
            <w:tcW w:w="46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03</w:t>
            </w:r>
          </w:p>
        </w:tc>
        <w:tc>
          <w:tcPr>
            <w:tcW w:w="55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9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公务员医疗补助</w:t>
            </w:r>
          </w:p>
        </w:tc>
        <w:tc>
          <w:tcPr>
            <w:tcW w:w="93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3.93</w:t>
            </w:r>
          </w:p>
        </w:tc>
        <w:tc>
          <w:tcPr>
            <w:tcW w:w="147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3.93</w:t>
            </w:r>
          </w:p>
        </w:tc>
        <w:tc>
          <w:tcPr>
            <w:tcW w:w="11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3.93</w:t>
            </w:r>
          </w:p>
        </w:tc>
        <w:tc>
          <w:tcPr>
            <w:tcW w:w="112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2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2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2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2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2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454" w:hRule="atLeast"/>
        </w:trPr>
        <w:tc>
          <w:tcPr>
            <w:tcW w:w="58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212</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01</w:t>
            </w:r>
          </w:p>
        </w:tc>
        <w:tc>
          <w:tcPr>
            <w:tcW w:w="46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01</w:t>
            </w:r>
          </w:p>
        </w:tc>
        <w:tc>
          <w:tcPr>
            <w:tcW w:w="55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9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行政运行</w:t>
            </w:r>
          </w:p>
        </w:tc>
        <w:tc>
          <w:tcPr>
            <w:tcW w:w="93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252.50</w:t>
            </w:r>
          </w:p>
        </w:tc>
        <w:tc>
          <w:tcPr>
            <w:tcW w:w="147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252.50</w:t>
            </w:r>
          </w:p>
        </w:tc>
        <w:tc>
          <w:tcPr>
            <w:tcW w:w="11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228.28</w:t>
            </w:r>
          </w:p>
        </w:tc>
        <w:tc>
          <w:tcPr>
            <w:tcW w:w="112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7.26</w:t>
            </w:r>
          </w:p>
        </w:tc>
        <w:tc>
          <w:tcPr>
            <w:tcW w:w="11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16.96</w:t>
            </w:r>
          </w:p>
        </w:tc>
        <w:tc>
          <w:tcPr>
            <w:tcW w:w="112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2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2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2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58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212</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01</w:t>
            </w:r>
          </w:p>
        </w:tc>
        <w:tc>
          <w:tcPr>
            <w:tcW w:w="46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99</w:t>
            </w:r>
          </w:p>
        </w:tc>
        <w:tc>
          <w:tcPr>
            <w:tcW w:w="55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9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其他城乡社区管理事务支出</w:t>
            </w:r>
          </w:p>
        </w:tc>
        <w:tc>
          <w:tcPr>
            <w:tcW w:w="93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72.00</w:t>
            </w:r>
          </w:p>
        </w:tc>
        <w:tc>
          <w:tcPr>
            <w:tcW w:w="147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2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2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2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2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2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72.00</w:t>
            </w:r>
          </w:p>
        </w:tc>
        <w:tc>
          <w:tcPr>
            <w:tcW w:w="112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72.00</w:t>
            </w:r>
          </w:p>
        </w:tc>
        <w:tc>
          <w:tcPr>
            <w:tcW w:w="112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221</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02</w:t>
            </w: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01</w:t>
            </w:r>
          </w:p>
        </w:tc>
        <w:tc>
          <w:tcPr>
            <w:tcW w:w="5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住房公积金</w:t>
            </w:r>
          </w:p>
        </w:tc>
        <w:tc>
          <w:tcPr>
            <w:tcW w:w="9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25.95</w:t>
            </w:r>
          </w:p>
        </w:tc>
        <w:tc>
          <w:tcPr>
            <w:tcW w:w="14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25.95</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25.95</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11942" w:type="dxa"/>
            <w:gridSpan w:val="11"/>
            <w:tcBorders>
              <w:top w:val="single" w:color="000000" w:sz="4" w:space="0"/>
              <w:left w:val="nil"/>
              <w:bottom w:val="nil"/>
              <w:right w:val="nil"/>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备注：本表仅含当年财政拨款安排的支出</w:t>
            </w:r>
          </w:p>
        </w:tc>
        <w:tc>
          <w:tcPr>
            <w:tcW w:w="1126" w:type="dxa"/>
            <w:tcBorders>
              <w:top w:val="single" w:color="000000" w:sz="4" w:space="0"/>
              <w:left w:val="nil"/>
              <w:bottom w:val="nil"/>
              <w:right w:val="nil"/>
            </w:tcBorders>
            <w:shd w:val="clear" w:color="auto" w:fill="auto"/>
            <w:vAlign w:val="center"/>
          </w:tcPr>
          <w:p>
            <w:pPr>
              <w:rPr>
                <w:rFonts w:ascii="宋体" w:hAnsi="宋体" w:cs="宋体"/>
                <w:kern w:val="0"/>
                <w:sz w:val="18"/>
                <w:szCs w:val="18"/>
                <w:highlight w:val="none"/>
              </w:rPr>
            </w:pPr>
          </w:p>
        </w:tc>
        <w:tc>
          <w:tcPr>
            <w:tcW w:w="1126" w:type="dxa"/>
            <w:tcBorders>
              <w:top w:val="single" w:color="000000" w:sz="4" w:space="0"/>
              <w:left w:val="nil"/>
              <w:bottom w:val="nil"/>
              <w:right w:val="nil"/>
            </w:tcBorders>
            <w:shd w:val="clear" w:color="auto" w:fill="auto"/>
            <w:vAlign w:val="center"/>
          </w:tcPr>
          <w:p>
            <w:pPr>
              <w:rPr>
                <w:rFonts w:ascii="宋体" w:hAnsi="宋体" w:cs="宋体"/>
                <w:kern w:val="0"/>
                <w:sz w:val="18"/>
                <w:szCs w:val="18"/>
                <w:highlight w:val="none"/>
              </w:rPr>
            </w:pPr>
          </w:p>
        </w:tc>
        <w:tc>
          <w:tcPr>
            <w:tcW w:w="1126" w:type="dxa"/>
            <w:tcBorders>
              <w:top w:val="single" w:color="000000" w:sz="4" w:space="0"/>
              <w:left w:val="nil"/>
              <w:bottom w:val="nil"/>
              <w:right w:val="nil"/>
            </w:tcBorders>
            <w:shd w:val="clear" w:color="auto" w:fill="auto"/>
            <w:vAlign w:val="center"/>
          </w:tcPr>
          <w:p>
            <w:pPr>
              <w:rPr>
                <w:rFonts w:ascii="宋体" w:hAnsi="宋体" w:cs="宋体"/>
                <w:kern w:val="0"/>
                <w:sz w:val="18"/>
                <w:szCs w:val="18"/>
                <w:highlight w:val="none"/>
              </w:rPr>
            </w:pPr>
          </w:p>
        </w:tc>
      </w:tr>
    </w:tbl>
    <w:tbl>
      <w:tblPr>
        <w:tblStyle w:val="8"/>
        <w:tblpPr w:leftFromText="180" w:rightFromText="180" w:vertAnchor="text" w:horzAnchor="page" w:tblpX="1021" w:tblpY="508"/>
        <w:tblOverlap w:val="never"/>
        <w:tblW w:w="15165" w:type="dxa"/>
        <w:tblInd w:w="0" w:type="dxa"/>
        <w:tblLayout w:type="fixed"/>
        <w:tblCellMar>
          <w:top w:w="0" w:type="dxa"/>
          <w:left w:w="108" w:type="dxa"/>
          <w:bottom w:w="0" w:type="dxa"/>
          <w:right w:w="108" w:type="dxa"/>
        </w:tblCellMar>
      </w:tblPr>
      <w:tblGrid>
        <w:gridCol w:w="548"/>
        <w:gridCol w:w="176"/>
        <w:gridCol w:w="372"/>
        <w:gridCol w:w="1494"/>
        <w:gridCol w:w="1265"/>
        <w:gridCol w:w="570"/>
        <w:gridCol w:w="555"/>
        <w:gridCol w:w="101"/>
        <w:gridCol w:w="1774"/>
        <w:gridCol w:w="92"/>
        <w:gridCol w:w="778"/>
        <w:gridCol w:w="855"/>
        <w:gridCol w:w="858"/>
        <w:gridCol w:w="162"/>
        <w:gridCol w:w="645"/>
        <w:gridCol w:w="720"/>
        <w:gridCol w:w="340"/>
        <w:gridCol w:w="320"/>
        <w:gridCol w:w="780"/>
        <w:gridCol w:w="450"/>
        <w:gridCol w:w="318"/>
        <w:gridCol w:w="267"/>
        <w:gridCol w:w="615"/>
        <w:gridCol w:w="675"/>
        <w:gridCol w:w="311"/>
        <w:gridCol w:w="124"/>
      </w:tblGrid>
      <w:tr>
        <w:tblPrEx>
          <w:tblCellMar>
            <w:top w:w="0" w:type="dxa"/>
            <w:left w:w="108" w:type="dxa"/>
            <w:bottom w:w="0" w:type="dxa"/>
            <w:right w:w="108" w:type="dxa"/>
          </w:tblCellMar>
        </w:tblPrEx>
        <w:trPr>
          <w:gridBefore w:val="2"/>
          <w:gridAfter w:val="1"/>
          <w:wBefore w:w="724" w:type="dxa"/>
          <w:wAfter w:w="124" w:type="dxa"/>
          <w:trHeight w:val="285" w:hRule="atLeast"/>
        </w:trPr>
        <w:tc>
          <w:tcPr>
            <w:tcW w:w="14317" w:type="dxa"/>
            <w:gridSpan w:val="23"/>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kern w:val="0"/>
                <w:sz w:val="18"/>
                <w:szCs w:val="18"/>
                <w:u w:val="none"/>
                <w:lang w:val="en-US" w:eastAsia="zh-CN" w:bidi="ar"/>
              </w:rPr>
            </w:pPr>
          </w:p>
          <w:p>
            <w:pPr>
              <w:keepNext w:val="0"/>
              <w:keepLines w:val="0"/>
              <w:widowControl/>
              <w:suppressLineNumbers w:val="0"/>
              <w:jc w:val="right"/>
              <w:textAlignment w:val="center"/>
              <w:rPr>
                <w:rFonts w:ascii="宋体" w:hAnsi="宋体" w:eastAsia="宋体" w:cs="宋体"/>
                <w:i w:val="0"/>
                <w:iCs w:val="0"/>
                <w:color w:val="000000"/>
                <w:kern w:val="0"/>
                <w:sz w:val="18"/>
                <w:szCs w:val="18"/>
                <w:u w:val="none"/>
                <w:lang w:val="en-US" w:eastAsia="zh-CN" w:bidi="ar"/>
              </w:rPr>
            </w:pPr>
          </w:p>
          <w:p>
            <w:pPr>
              <w:keepNext w:val="0"/>
              <w:keepLines w:val="0"/>
              <w:widowControl/>
              <w:suppressLineNumbers w:val="0"/>
              <w:jc w:val="right"/>
              <w:textAlignment w:val="center"/>
              <w:rPr>
                <w:rFonts w:ascii="宋体" w:hAnsi="宋体" w:eastAsia="宋体" w:cs="宋体"/>
                <w:i w:val="0"/>
                <w:iCs w:val="0"/>
                <w:color w:val="000000"/>
                <w:kern w:val="0"/>
                <w:sz w:val="18"/>
                <w:szCs w:val="18"/>
                <w:u w:val="none"/>
                <w:lang w:val="en-US" w:eastAsia="zh-CN" w:bidi="ar"/>
              </w:rPr>
            </w:pPr>
          </w:p>
          <w:p>
            <w:pPr>
              <w:keepNext w:val="0"/>
              <w:keepLines w:val="0"/>
              <w:widowControl/>
              <w:suppressLineNumbers w:val="0"/>
              <w:jc w:val="right"/>
              <w:textAlignment w:val="center"/>
              <w:rPr>
                <w:rFonts w:ascii="宋体" w:hAnsi="宋体" w:eastAsia="宋体" w:cs="宋体"/>
                <w:i w:val="0"/>
                <w:iCs w:val="0"/>
                <w:color w:val="000000"/>
                <w:kern w:val="0"/>
                <w:sz w:val="18"/>
                <w:szCs w:val="18"/>
                <w:u w:val="none"/>
                <w:lang w:val="en-US" w:eastAsia="zh-CN" w:bidi="ar"/>
              </w:rPr>
            </w:pPr>
          </w:p>
          <w:p>
            <w:pPr>
              <w:keepNext w:val="0"/>
              <w:keepLines w:val="0"/>
              <w:widowControl/>
              <w:suppressLineNumbers w:val="0"/>
              <w:jc w:val="right"/>
              <w:textAlignment w:val="center"/>
              <w:rPr>
                <w:rFonts w:ascii="宋体" w:hAnsi="宋体" w:eastAsia="宋体" w:cs="宋体"/>
                <w:i w:val="0"/>
                <w:iCs w:val="0"/>
                <w:color w:val="000000"/>
                <w:kern w:val="0"/>
                <w:sz w:val="18"/>
                <w:szCs w:val="18"/>
                <w:u w:val="none"/>
                <w:lang w:val="en-US" w:eastAsia="zh-CN" w:bidi="ar"/>
              </w:rPr>
            </w:pPr>
          </w:p>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预算06表</w:t>
            </w:r>
          </w:p>
        </w:tc>
      </w:tr>
      <w:tr>
        <w:tblPrEx>
          <w:tblCellMar>
            <w:top w:w="0" w:type="dxa"/>
            <w:left w:w="108" w:type="dxa"/>
            <w:bottom w:w="0" w:type="dxa"/>
            <w:right w:w="108" w:type="dxa"/>
          </w:tblCellMar>
        </w:tblPrEx>
        <w:trPr>
          <w:gridBefore w:val="2"/>
          <w:gridAfter w:val="1"/>
          <w:wBefore w:w="724" w:type="dxa"/>
          <w:wAfter w:w="124" w:type="dxa"/>
          <w:trHeight w:val="570" w:hRule="atLeast"/>
        </w:trPr>
        <w:tc>
          <w:tcPr>
            <w:tcW w:w="14317" w:type="dxa"/>
            <w:gridSpan w:val="23"/>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cs="宋体"/>
                <w:b/>
                <w:bCs/>
                <w:kern w:val="0"/>
                <w:sz w:val="38"/>
                <w:szCs w:val="38"/>
                <w:highlight w:val="none"/>
              </w:rPr>
            </w:pPr>
            <w:r>
              <w:rPr>
                <w:rFonts w:ascii="宋体" w:hAnsi="宋体" w:eastAsia="宋体" w:cs="宋体"/>
                <w:b/>
                <w:bCs/>
                <w:i w:val="0"/>
                <w:iCs w:val="0"/>
                <w:color w:val="000000"/>
                <w:kern w:val="0"/>
                <w:sz w:val="38"/>
                <w:szCs w:val="38"/>
                <w:u w:val="none"/>
                <w:lang w:val="en-US" w:eastAsia="zh-CN" w:bidi="ar"/>
              </w:rPr>
              <w:t>2024年一般公共预算基本支出表</w:t>
            </w:r>
          </w:p>
        </w:tc>
      </w:tr>
      <w:tr>
        <w:tblPrEx>
          <w:tblCellMar>
            <w:top w:w="0" w:type="dxa"/>
            <w:left w:w="108" w:type="dxa"/>
            <w:bottom w:w="0" w:type="dxa"/>
            <w:right w:w="108" w:type="dxa"/>
          </w:tblCellMar>
        </w:tblPrEx>
        <w:trPr>
          <w:gridBefore w:val="2"/>
          <w:gridAfter w:val="1"/>
          <w:wBefore w:w="724" w:type="dxa"/>
          <w:wAfter w:w="124" w:type="dxa"/>
          <w:trHeight w:val="285" w:hRule="atLeast"/>
        </w:trPr>
        <w:tc>
          <w:tcPr>
            <w:tcW w:w="12449" w:type="dxa"/>
            <w:gridSpan w:val="19"/>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hint="eastAsia" w:ascii="宋体" w:hAnsi="宋体" w:cs="宋体"/>
                <w:i w:val="0"/>
                <w:iCs w:val="0"/>
                <w:color w:val="000000"/>
                <w:kern w:val="0"/>
                <w:sz w:val="18"/>
                <w:szCs w:val="18"/>
                <w:u w:val="none"/>
                <w:lang w:val="en-US" w:eastAsia="zh-CN" w:bidi="ar"/>
              </w:rPr>
              <w:t>单位</w:t>
            </w:r>
            <w:r>
              <w:rPr>
                <w:rFonts w:ascii="宋体" w:hAnsi="宋体" w:eastAsia="宋体" w:cs="宋体"/>
                <w:i w:val="0"/>
                <w:iCs w:val="0"/>
                <w:color w:val="000000"/>
                <w:kern w:val="0"/>
                <w:sz w:val="18"/>
                <w:szCs w:val="18"/>
                <w:u w:val="none"/>
                <w:lang w:val="en-US" w:eastAsia="zh-CN" w:bidi="ar"/>
              </w:rPr>
              <w:t>名称：新乡市卫滨区城市管理局</w:t>
            </w:r>
          </w:p>
        </w:tc>
        <w:tc>
          <w:tcPr>
            <w:tcW w:w="1868" w:type="dxa"/>
            <w:gridSpan w:val="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单位：万元</w:t>
            </w:r>
          </w:p>
        </w:tc>
      </w:tr>
      <w:tr>
        <w:tblPrEx>
          <w:tblCellMar>
            <w:top w:w="0" w:type="dxa"/>
            <w:left w:w="108" w:type="dxa"/>
            <w:bottom w:w="0" w:type="dxa"/>
            <w:right w:w="108" w:type="dxa"/>
          </w:tblCellMar>
        </w:tblPrEx>
        <w:trPr>
          <w:gridBefore w:val="2"/>
          <w:gridAfter w:val="1"/>
          <w:wBefore w:w="724" w:type="dxa"/>
          <w:wAfter w:w="124" w:type="dxa"/>
          <w:trHeight w:val="285" w:hRule="atLeast"/>
        </w:trPr>
        <w:tc>
          <w:tcPr>
            <w:tcW w:w="435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部门预算支出经济分类科目</w:t>
            </w:r>
          </w:p>
        </w:tc>
        <w:tc>
          <w:tcPr>
            <w:tcW w:w="4357" w:type="dxa"/>
            <w:gridSpan w:val="5"/>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政府预算支出经济分类科目编码</w:t>
            </w:r>
          </w:p>
        </w:tc>
        <w:tc>
          <w:tcPr>
            <w:tcW w:w="5603" w:type="dxa"/>
            <w:gridSpan w:val="12"/>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本年一般公共预算基本支出</w:t>
            </w:r>
          </w:p>
        </w:tc>
      </w:tr>
      <w:tr>
        <w:tblPrEx>
          <w:tblCellMar>
            <w:top w:w="0" w:type="dxa"/>
            <w:left w:w="108" w:type="dxa"/>
            <w:bottom w:w="0" w:type="dxa"/>
            <w:right w:w="108" w:type="dxa"/>
          </w:tblCellMar>
        </w:tblPrEx>
        <w:trPr>
          <w:gridBefore w:val="2"/>
          <w:gridAfter w:val="1"/>
          <w:wBefore w:w="724" w:type="dxa"/>
          <w:wAfter w:w="124" w:type="dxa"/>
          <w:trHeight w:val="285" w:hRule="atLeast"/>
        </w:trPr>
        <w:tc>
          <w:tcPr>
            <w:tcW w:w="1866" w:type="dxa"/>
            <w:gridSpan w:val="2"/>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科目编码</w:t>
            </w:r>
          </w:p>
        </w:tc>
        <w:tc>
          <w:tcPr>
            <w:tcW w:w="2491"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科目名称</w:t>
            </w:r>
          </w:p>
        </w:tc>
        <w:tc>
          <w:tcPr>
            <w:tcW w:w="186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科目编码</w:t>
            </w:r>
          </w:p>
        </w:tc>
        <w:tc>
          <w:tcPr>
            <w:tcW w:w="2491"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科目名称</w:t>
            </w:r>
          </w:p>
        </w:tc>
        <w:tc>
          <w:tcPr>
            <w:tcW w:w="1867"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合计</w:t>
            </w:r>
          </w:p>
        </w:tc>
        <w:tc>
          <w:tcPr>
            <w:tcW w:w="1868"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人员经费</w:t>
            </w:r>
          </w:p>
        </w:tc>
        <w:tc>
          <w:tcPr>
            <w:tcW w:w="1868"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公用经费</w:t>
            </w:r>
          </w:p>
        </w:tc>
      </w:tr>
      <w:tr>
        <w:tblPrEx>
          <w:tblCellMar>
            <w:top w:w="0" w:type="dxa"/>
            <w:left w:w="108" w:type="dxa"/>
            <w:bottom w:w="0" w:type="dxa"/>
            <w:right w:w="108" w:type="dxa"/>
          </w:tblCellMar>
        </w:tblPrEx>
        <w:trPr>
          <w:gridBefore w:val="2"/>
          <w:gridAfter w:val="1"/>
          <w:wBefore w:w="724" w:type="dxa"/>
          <w:wAfter w:w="124" w:type="dxa"/>
          <w:trHeight w:val="285" w:hRule="atLeast"/>
        </w:trPr>
        <w:tc>
          <w:tcPr>
            <w:tcW w:w="1866" w:type="dxa"/>
            <w:gridSpan w:val="2"/>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合计</w:t>
            </w:r>
          </w:p>
        </w:tc>
        <w:tc>
          <w:tcPr>
            <w:tcW w:w="2491"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1866" w:type="dxa"/>
            <w:gridSpan w:val="2"/>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491" w:type="dxa"/>
            <w:gridSpan w:val="3"/>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1867"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338.94</w:t>
            </w:r>
          </w:p>
        </w:tc>
        <w:tc>
          <w:tcPr>
            <w:tcW w:w="1868"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321.98</w:t>
            </w:r>
          </w:p>
        </w:tc>
        <w:tc>
          <w:tcPr>
            <w:tcW w:w="1868"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16.96</w:t>
            </w:r>
          </w:p>
        </w:tc>
      </w:tr>
      <w:tr>
        <w:tblPrEx>
          <w:tblCellMar>
            <w:top w:w="0" w:type="dxa"/>
            <w:left w:w="108" w:type="dxa"/>
            <w:bottom w:w="0" w:type="dxa"/>
            <w:right w:w="108" w:type="dxa"/>
          </w:tblCellMar>
        </w:tblPrEx>
        <w:trPr>
          <w:gridBefore w:val="2"/>
          <w:gridAfter w:val="1"/>
          <w:wBefore w:w="724" w:type="dxa"/>
          <w:wAfter w:w="124" w:type="dxa"/>
          <w:trHeight w:val="285" w:hRule="atLeast"/>
        </w:trPr>
        <w:tc>
          <w:tcPr>
            <w:tcW w:w="1866" w:type="dxa"/>
            <w:gridSpan w:val="2"/>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30108</w:t>
            </w:r>
          </w:p>
        </w:tc>
        <w:tc>
          <w:tcPr>
            <w:tcW w:w="2491"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机关事业单位基本养老保险缴费</w:t>
            </w:r>
          </w:p>
        </w:tc>
        <w:tc>
          <w:tcPr>
            <w:tcW w:w="186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50102</w:t>
            </w:r>
          </w:p>
        </w:tc>
        <w:tc>
          <w:tcPr>
            <w:tcW w:w="2491"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社会保障缴费</w:t>
            </w:r>
          </w:p>
        </w:tc>
        <w:tc>
          <w:tcPr>
            <w:tcW w:w="1867"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34.51</w:t>
            </w:r>
          </w:p>
        </w:tc>
        <w:tc>
          <w:tcPr>
            <w:tcW w:w="1868"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34.51</w:t>
            </w:r>
          </w:p>
        </w:tc>
        <w:tc>
          <w:tcPr>
            <w:tcW w:w="1868"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gridBefore w:val="2"/>
          <w:gridAfter w:val="1"/>
          <w:wBefore w:w="724" w:type="dxa"/>
          <w:wAfter w:w="124" w:type="dxa"/>
          <w:trHeight w:val="285" w:hRule="atLeast"/>
        </w:trPr>
        <w:tc>
          <w:tcPr>
            <w:tcW w:w="1866" w:type="dxa"/>
            <w:gridSpan w:val="2"/>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30109</w:t>
            </w:r>
          </w:p>
        </w:tc>
        <w:tc>
          <w:tcPr>
            <w:tcW w:w="2491"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职业年金缴费</w:t>
            </w:r>
          </w:p>
        </w:tc>
        <w:tc>
          <w:tcPr>
            <w:tcW w:w="186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50102</w:t>
            </w:r>
          </w:p>
        </w:tc>
        <w:tc>
          <w:tcPr>
            <w:tcW w:w="2491"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社会保障缴费</w:t>
            </w:r>
          </w:p>
        </w:tc>
        <w:tc>
          <w:tcPr>
            <w:tcW w:w="1867"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4.83</w:t>
            </w:r>
          </w:p>
        </w:tc>
        <w:tc>
          <w:tcPr>
            <w:tcW w:w="1868"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4.83</w:t>
            </w:r>
          </w:p>
        </w:tc>
        <w:tc>
          <w:tcPr>
            <w:tcW w:w="1868"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gridBefore w:val="2"/>
          <w:gridAfter w:val="1"/>
          <w:wBefore w:w="724" w:type="dxa"/>
          <w:wAfter w:w="124" w:type="dxa"/>
          <w:trHeight w:val="285" w:hRule="atLeast"/>
        </w:trPr>
        <w:tc>
          <w:tcPr>
            <w:tcW w:w="1866" w:type="dxa"/>
            <w:gridSpan w:val="2"/>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30110</w:t>
            </w:r>
          </w:p>
        </w:tc>
        <w:tc>
          <w:tcPr>
            <w:tcW w:w="2491"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职工基本医疗保险缴费</w:t>
            </w:r>
          </w:p>
        </w:tc>
        <w:tc>
          <w:tcPr>
            <w:tcW w:w="186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50102</w:t>
            </w:r>
          </w:p>
        </w:tc>
        <w:tc>
          <w:tcPr>
            <w:tcW w:w="2491"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社会保障缴费</w:t>
            </w:r>
          </w:p>
        </w:tc>
        <w:tc>
          <w:tcPr>
            <w:tcW w:w="1867"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17.22</w:t>
            </w:r>
          </w:p>
        </w:tc>
        <w:tc>
          <w:tcPr>
            <w:tcW w:w="1868"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17.22</w:t>
            </w:r>
          </w:p>
        </w:tc>
        <w:tc>
          <w:tcPr>
            <w:tcW w:w="1868"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gridBefore w:val="2"/>
          <w:gridAfter w:val="1"/>
          <w:wBefore w:w="724" w:type="dxa"/>
          <w:wAfter w:w="124" w:type="dxa"/>
          <w:trHeight w:val="285" w:hRule="atLeast"/>
        </w:trPr>
        <w:tc>
          <w:tcPr>
            <w:tcW w:w="1866" w:type="dxa"/>
            <w:gridSpan w:val="2"/>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30111</w:t>
            </w:r>
          </w:p>
        </w:tc>
        <w:tc>
          <w:tcPr>
            <w:tcW w:w="2491"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公务员医疗补助缴费</w:t>
            </w:r>
          </w:p>
        </w:tc>
        <w:tc>
          <w:tcPr>
            <w:tcW w:w="186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50102</w:t>
            </w:r>
          </w:p>
        </w:tc>
        <w:tc>
          <w:tcPr>
            <w:tcW w:w="2491"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社会保障缴费</w:t>
            </w:r>
          </w:p>
        </w:tc>
        <w:tc>
          <w:tcPr>
            <w:tcW w:w="1867"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3.93</w:t>
            </w:r>
          </w:p>
        </w:tc>
        <w:tc>
          <w:tcPr>
            <w:tcW w:w="1868"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3.93</w:t>
            </w:r>
          </w:p>
        </w:tc>
        <w:tc>
          <w:tcPr>
            <w:tcW w:w="1868"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gridBefore w:val="2"/>
          <w:gridAfter w:val="1"/>
          <w:wBefore w:w="724" w:type="dxa"/>
          <w:wAfter w:w="124" w:type="dxa"/>
          <w:trHeight w:val="285" w:hRule="atLeast"/>
        </w:trPr>
        <w:tc>
          <w:tcPr>
            <w:tcW w:w="1866" w:type="dxa"/>
            <w:gridSpan w:val="2"/>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30302</w:t>
            </w:r>
          </w:p>
        </w:tc>
        <w:tc>
          <w:tcPr>
            <w:tcW w:w="2491"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退休费</w:t>
            </w:r>
          </w:p>
        </w:tc>
        <w:tc>
          <w:tcPr>
            <w:tcW w:w="186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50905</w:t>
            </w:r>
          </w:p>
        </w:tc>
        <w:tc>
          <w:tcPr>
            <w:tcW w:w="2491"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离退休费</w:t>
            </w:r>
          </w:p>
        </w:tc>
        <w:tc>
          <w:tcPr>
            <w:tcW w:w="1867"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7.26</w:t>
            </w:r>
          </w:p>
        </w:tc>
        <w:tc>
          <w:tcPr>
            <w:tcW w:w="1868"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7.26</w:t>
            </w:r>
          </w:p>
        </w:tc>
        <w:tc>
          <w:tcPr>
            <w:tcW w:w="1868"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gridBefore w:val="2"/>
          <w:gridAfter w:val="1"/>
          <w:wBefore w:w="724" w:type="dxa"/>
          <w:wAfter w:w="124" w:type="dxa"/>
          <w:trHeight w:val="285" w:hRule="atLeast"/>
        </w:trPr>
        <w:tc>
          <w:tcPr>
            <w:tcW w:w="1866" w:type="dxa"/>
            <w:gridSpan w:val="2"/>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30103</w:t>
            </w:r>
          </w:p>
        </w:tc>
        <w:tc>
          <w:tcPr>
            <w:tcW w:w="2491"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奖金</w:t>
            </w:r>
          </w:p>
        </w:tc>
        <w:tc>
          <w:tcPr>
            <w:tcW w:w="186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50101</w:t>
            </w:r>
          </w:p>
        </w:tc>
        <w:tc>
          <w:tcPr>
            <w:tcW w:w="2491"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工资奖金津补贴</w:t>
            </w:r>
          </w:p>
        </w:tc>
        <w:tc>
          <w:tcPr>
            <w:tcW w:w="1867"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11.09</w:t>
            </w:r>
          </w:p>
        </w:tc>
        <w:tc>
          <w:tcPr>
            <w:tcW w:w="1868"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11.09</w:t>
            </w:r>
          </w:p>
        </w:tc>
        <w:tc>
          <w:tcPr>
            <w:tcW w:w="1868"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gridBefore w:val="2"/>
          <w:gridAfter w:val="1"/>
          <w:wBefore w:w="724" w:type="dxa"/>
          <w:wAfter w:w="124" w:type="dxa"/>
          <w:trHeight w:val="285" w:hRule="atLeast"/>
        </w:trPr>
        <w:tc>
          <w:tcPr>
            <w:tcW w:w="1866" w:type="dxa"/>
            <w:gridSpan w:val="2"/>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30107</w:t>
            </w:r>
          </w:p>
        </w:tc>
        <w:tc>
          <w:tcPr>
            <w:tcW w:w="2491"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绩效工资</w:t>
            </w:r>
          </w:p>
        </w:tc>
        <w:tc>
          <w:tcPr>
            <w:tcW w:w="186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50501</w:t>
            </w:r>
          </w:p>
        </w:tc>
        <w:tc>
          <w:tcPr>
            <w:tcW w:w="2491"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工资福利支出</w:t>
            </w:r>
          </w:p>
        </w:tc>
        <w:tc>
          <w:tcPr>
            <w:tcW w:w="1867"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57.69</w:t>
            </w:r>
          </w:p>
        </w:tc>
        <w:tc>
          <w:tcPr>
            <w:tcW w:w="1868"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57.69</w:t>
            </w:r>
          </w:p>
        </w:tc>
        <w:tc>
          <w:tcPr>
            <w:tcW w:w="1868"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gridBefore w:val="2"/>
          <w:gridAfter w:val="1"/>
          <w:wBefore w:w="724" w:type="dxa"/>
          <w:wAfter w:w="124" w:type="dxa"/>
          <w:trHeight w:val="285" w:hRule="atLeast"/>
        </w:trPr>
        <w:tc>
          <w:tcPr>
            <w:tcW w:w="1866" w:type="dxa"/>
            <w:gridSpan w:val="2"/>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30101</w:t>
            </w:r>
          </w:p>
        </w:tc>
        <w:tc>
          <w:tcPr>
            <w:tcW w:w="2491"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基本工资</w:t>
            </w:r>
          </w:p>
        </w:tc>
        <w:tc>
          <w:tcPr>
            <w:tcW w:w="186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50101</w:t>
            </w:r>
          </w:p>
        </w:tc>
        <w:tc>
          <w:tcPr>
            <w:tcW w:w="2491"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工资奖金津补贴</w:t>
            </w:r>
          </w:p>
        </w:tc>
        <w:tc>
          <w:tcPr>
            <w:tcW w:w="1867"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134.07</w:t>
            </w:r>
          </w:p>
        </w:tc>
        <w:tc>
          <w:tcPr>
            <w:tcW w:w="1868"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134.07</w:t>
            </w:r>
          </w:p>
        </w:tc>
        <w:tc>
          <w:tcPr>
            <w:tcW w:w="1868"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gridBefore w:val="2"/>
          <w:gridAfter w:val="1"/>
          <w:wBefore w:w="724" w:type="dxa"/>
          <w:wAfter w:w="124" w:type="dxa"/>
          <w:trHeight w:val="285" w:hRule="atLeast"/>
        </w:trPr>
        <w:tc>
          <w:tcPr>
            <w:tcW w:w="1866" w:type="dxa"/>
            <w:gridSpan w:val="2"/>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30102</w:t>
            </w:r>
          </w:p>
        </w:tc>
        <w:tc>
          <w:tcPr>
            <w:tcW w:w="2491"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津贴补贴</w:t>
            </w:r>
          </w:p>
        </w:tc>
        <w:tc>
          <w:tcPr>
            <w:tcW w:w="186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50101</w:t>
            </w:r>
          </w:p>
        </w:tc>
        <w:tc>
          <w:tcPr>
            <w:tcW w:w="2491"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工资奖金津补贴</w:t>
            </w:r>
          </w:p>
        </w:tc>
        <w:tc>
          <w:tcPr>
            <w:tcW w:w="1867"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25.43</w:t>
            </w:r>
          </w:p>
        </w:tc>
        <w:tc>
          <w:tcPr>
            <w:tcW w:w="1868"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25.43</w:t>
            </w:r>
          </w:p>
        </w:tc>
        <w:tc>
          <w:tcPr>
            <w:tcW w:w="1868"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gridBefore w:val="2"/>
          <w:gridAfter w:val="1"/>
          <w:wBefore w:w="724" w:type="dxa"/>
          <w:wAfter w:w="124" w:type="dxa"/>
          <w:trHeight w:val="285" w:hRule="atLeast"/>
        </w:trPr>
        <w:tc>
          <w:tcPr>
            <w:tcW w:w="1866" w:type="dxa"/>
            <w:gridSpan w:val="2"/>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30201</w:t>
            </w:r>
          </w:p>
        </w:tc>
        <w:tc>
          <w:tcPr>
            <w:tcW w:w="2491"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办公费</w:t>
            </w:r>
          </w:p>
        </w:tc>
        <w:tc>
          <w:tcPr>
            <w:tcW w:w="186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50201</w:t>
            </w:r>
          </w:p>
        </w:tc>
        <w:tc>
          <w:tcPr>
            <w:tcW w:w="2491"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办公经费</w:t>
            </w:r>
          </w:p>
        </w:tc>
        <w:tc>
          <w:tcPr>
            <w:tcW w:w="1867"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5.10</w:t>
            </w:r>
          </w:p>
        </w:tc>
        <w:tc>
          <w:tcPr>
            <w:tcW w:w="1868"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868"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5.10</w:t>
            </w:r>
          </w:p>
        </w:tc>
      </w:tr>
      <w:tr>
        <w:tblPrEx>
          <w:tblCellMar>
            <w:top w:w="0" w:type="dxa"/>
            <w:left w:w="108" w:type="dxa"/>
            <w:bottom w:w="0" w:type="dxa"/>
            <w:right w:w="108" w:type="dxa"/>
          </w:tblCellMar>
        </w:tblPrEx>
        <w:trPr>
          <w:gridBefore w:val="2"/>
          <w:gridAfter w:val="1"/>
          <w:wBefore w:w="724" w:type="dxa"/>
          <w:wAfter w:w="124" w:type="dxa"/>
          <w:trHeight w:val="454" w:hRule="atLeast"/>
        </w:trPr>
        <w:tc>
          <w:tcPr>
            <w:tcW w:w="1866" w:type="dxa"/>
            <w:gridSpan w:val="2"/>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30239</w:t>
            </w:r>
          </w:p>
        </w:tc>
        <w:tc>
          <w:tcPr>
            <w:tcW w:w="2491"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其他交通费用</w:t>
            </w:r>
          </w:p>
        </w:tc>
        <w:tc>
          <w:tcPr>
            <w:tcW w:w="186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50201</w:t>
            </w:r>
          </w:p>
        </w:tc>
        <w:tc>
          <w:tcPr>
            <w:tcW w:w="2491"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办公经费</w:t>
            </w:r>
          </w:p>
        </w:tc>
        <w:tc>
          <w:tcPr>
            <w:tcW w:w="1867"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2.28</w:t>
            </w:r>
          </w:p>
        </w:tc>
        <w:tc>
          <w:tcPr>
            <w:tcW w:w="1868"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868"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2.28</w:t>
            </w:r>
          </w:p>
        </w:tc>
      </w:tr>
      <w:tr>
        <w:tblPrEx>
          <w:tblCellMar>
            <w:top w:w="0" w:type="dxa"/>
            <w:left w:w="108" w:type="dxa"/>
            <w:bottom w:w="0" w:type="dxa"/>
            <w:right w:w="108" w:type="dxa"/>
          </w:tblCellMar>
        </w:tblPrEx>
        <w:trPr>
          <w:gridBefore w:val="2"/>
          <w:gridAfter w:val="1"/>
          <w:wBefore w:w="724" w:type="dxa"/>
          <w:wAfter w:w="124" w:type="dxa"/>
          <w:trHeight w:val="285" w:hRule="atLeast"/>
        </w:trPr>
        <w:tc>
          <w:tcPr>
            <w:tcW w:w="1866" w:type="dxa"/>
            <w:gridSpan w:val="2"/>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30207</w:t>
            </w:r>
          </w:p>
        </w:tc>
        <w:tc>
          <w:tcPr>
            <w:tcW w:w="2491"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邮电费</w:t>
            </w:r>
          </w:p>
        </w:tc>
        <w:tc>
          <w:tcPr>
            <w:tcW w:w="186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50201</w:t>
            </w:r>
          </w:p>
        </w:tc>
        <w:tc>
          <w:tcPr>
            <w:tcW w:w="2491"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办公经费</w:t>
            </w:r>
          </w:p>
        </w:tc>
        <w:tc>
          <w:tcPr>
            <w:tcW w:w="1867"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1.00</w:t>
            </w:r>
          </w:p>
        </w:tc>
        <w:tc>
          <w:tcPr>
            <w:tcW w:w="1868"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868"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1.00</w:t>
            </w:r>
          </w:p>
        </w:tc>
      </w:tr>
      <w:tr>
        <w:tblPrEx>
          <w:tblCellMar>
            <w:top w:w="0" w:type="dxa"/>
            <w:left w:w="108" w:type="dxa"/>
            <w:bottom w:w="0" w:type="dxa"/>
            <w:right w:w="108" w:type="dxa"/>
          </w:tblCellMar>
        </w:tblPrEx>
        <w:trPr>
          <w:gridBefore w:val="2"/>
          <w:gridAfter w:val="1"/>
          <w:wBefore w:w="724" w:type="dxa"/>
          <w:wAfter w:w="124" w:type="dxa"/>
          <w:trHeight w:val="285" w:hRule="atLeast"/>
        </w:trPr>
        <w:tc>
          <w:tcPr>
            <w:tcW w:w="1866" w:type="dxa"/>
            <w:gridSpan w:val="2"/>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30299</w:t>
            </w:r>
          </w:p>
        </w:tc>
        <w:tc>
          <w:tcPr>
            <w:tcW w:w="2491"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其他商品和服务支出</w:t>
            </w:r>
          </w:p>
        </w:tc>
        <w:tc>
          <w:tcPr>
            <w:tcW w:w="186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50299</w:t>
            </w:r>
          </w:p>
        </w:tc>
        <w:tc>
          <w:tcPr>
            <w:tcW w:w="2491"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其他商品和服务支出</w:t>
            </w:r>
          </w:p>
        </w:tc>
        <w:tc>
          <w:tcPr>
            <w:tcW w:w="1867"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0.27</w:t>
            </w:r>
          </w:p>
        </w:tc>
        <w:tc>
          <w:tcPr>
            <w:tcW w:w="1868"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868"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0.27</w:t>
            </w:r>
          </w:p>
        </w:tc>
      </w:tr>
      <w:tr>
        <w:tblPrEx>
          <w:tblCellMar>
            <w:top w:w="0" w:type="dxa"/>
            <w:left w:w="108" w:type="dxa"/>
            <w:bottom w:w="0" w:type="dxa"/>
            <w:right w:w="108" w:type="dxa"/>
          </w:tblCellMar>
        </w:tblPrEx>
        <w:trPr>
          <w:gridBefore w:val="2"/>
          <w:gridAfter w:val="1"/>
          <w:wBefore w:w="724" w:type="dxa"/>
          <w:wAfter w:w="124" w:type="dxa"/>
          <w:trHeight w:val="285" w:hRule="atLeast"/>
        </w:trPr>
        <w:tc>
          <w:tcPr>
            <w:tcW w:w="1866" w:type="dxa"/>
            <w:gridSpan w:val="2"/>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30228</w:t>
            </w:r>
          </w:p>
        </w:tc>
        <w:tc>
          <w:tcPr>
            <w:tcW w:w="2491"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工会经费</w:t>
            </w:r>
          </w:p>
        </w:tc>
        <w:tc>
          <w:tcPr>
            <w:tcW w:w="186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50201</w:t>
            </w:r>
          </w:p>
        </w:tc>
        <w:tc>
          <w:tcPr>
            <w:tcW w:w="2491"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办公经费</w:t>
            </w:r>
          </w:p>
        </w:tc>
        <w:tc>
          <w:tcPr>
            <w:tcW w:w="1867"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2.81</w:t>
            </w:r>
          </w:p>
        </w:tc>
        <w:tc>
          <w:tcPr>
            <w:tcW w:w="1868"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868"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2.81</w:t>
            </w:r>
          </w:p>
        </w:tc>
      </w:tr>
      <w:tr>
        <w:tblPrEx>
          <w:tblCellMar>
            <w:top w:w="0" w:type="dxa"/>
            <w:left w:w="108" w:type="dxa"/>
            <w:bottom w:w="0" w:type="dxa"/>
            <w:right w:w="108" w:type="dxa"/>
          </w:tblCellMar>
        </w:tblPrEx>
        <w:trPr>
          <w:gridBefore w:val="2"/>
          <w:gridAfter w:val="1"/>
          <w:wBefore w:w="724" w:type="dxa"/>
          <w:wAfter w:w="124" w:type="dxa"/>
          <w:trHeight w:val="285" w:hRule="atLeast"/>
        </w:trPr>
        <w:tc>
          <w:tcPr>
            <w:tcW w:w="1866" w:type="dxa"/>
            <w:gridSpan w:val="2"/>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30231</w:t>
            </w:r>
          </w:p>
        </w:tc>
        <w:tc>
          <w:tcPr>
            <w:tcW w:w="2491"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公务用车运行维护费</w:t>
            </w:r>
          </w:p>
        </w:tc>
        <w:tc>
          <w:tcPr>
            <w:tcW w:w="186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50208</w:t>
            </w:r>
          </w:p>
        </w:tc>
        <w:tc>
          <w:tcPr>
            <w:tcW w:w="2491"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公务用车运行维护费</w:t>
            </w:r>
          </w:p>
        </w:tc>
        <w:tc>
          <w:tcPr>
            <w:tcW w:w="1867"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5.50</w:t>
            </w:r>
          </w:p>
        </w:tc>
        <w:tc>
          <w:tcPr>
            <w:tcW w:w="1868"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868"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5.50</w:t>
            </w:r>
          </w:p>
        </w:tc>
      </w:tr>
      <w:tr>
        <w:tblPrEx>
          <w:tblCellMar>
            <w:top w:w="0" w:type="dxa"/>
            <w:left w:w="108" w:type="dxa"/>
            <w:bottom w:w="0" w:type="dxa"/>
            <w:right w:w="108" w:type="dxa"/>
          </w:tblCellMar>
        </w:tblPrEx>
        <w:trPr>
          <w:gridBefore w:val="2"/>
          <w:gridAfter w:val="1"/>
          <w:wBefore w:w="724" w:type="dxa"/>
          <w:wAfter w:w="124" w:type="dxa"/>
          <w:trHeight w:val="285" w:hRule="atLeast"/>
        </w:trPr>
        <w:tc>
          <w:tcPr>
            <w:tcW w:w="1866" w:type="dxa"/>
            <w:gridSpan w:val="2"/>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30113</w:t>
            </w:r>
          </w:p>
        </w:tc>
        <w:tc>
          <w:tcPr>
            <w:tcW w:w="2491"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住房公积金</w:t>
            </w:r>
          </w:p>
        </w:tc>
        <w:tc>
          <w:tcPr>
            <w:tcW w:w="186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50103</w:t>
            </w:r>
          </w:p>
        </w:tc>
        <w:tc>
          <w:tcPr>
            <w:tcW w:w="2491"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住房公积金</w:t>
            </w:r>
          </w:p>
        </w:tc>
        <w:tc>
          <w:tcPr>
            <w:tcW w:w="1867"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25.95</w:t>
            </w:r>
          </w:p>
        </w:tc>
        <w:tc>
          <w:tcPr>
            <w:tcW w:w="1868"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25.95</w:t>
            </w:r>
          </w:p>
        </w:tc>
        <w:tc>
          <w:tcPr>
            <w:tcW w:w="1868"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eastAsia="宋体" w:cs="宋体"/>
                <w:i w:val="0"/>
                <w:iCs w:val="0"/>
                <w:color w:val="000000"/>
                <w:kern w:val="0"/>
                <w:sz w:val="18"/>
                <w:szCs w:val="18"/>
                <w:u w:val="none"/>
                <w:lang w:val="en-US" w:eastAsia="zh-CN" w:bidi="ar"/>
              </w:rPr>
            </w:pPr>
          </w:p>
        </w:tc>
      </w:tr>
      <w:tr>
        <w:tblPrEx>
          <w:tblCellMar>
            <w:top w:w="0" w:type="dxa"/>
            <w:left w:w="108" w:type="dxa"/>
            <w:bottom w:w="0" w:type="dxa"/>
            <w:right w:w="108" w:type="dxa"/>
          </w:tblCellMar>
        </w:tblPrEx>
        <w:trPr>
          <w:trHeight w:val="386" w:hRule="atLeast"/>
        </w:trPr>
        <w:tc>
          <w:tcPr>
            <w:tcW w:w="15165" w:type="dxa"/>
            <w:gridSpan w:val="26"/>
            <w:tcBorders>
              <w:top w:val="nil"/>
              <w:left w:val="nil"/>
              <w:bottom w:val="nil"/>
              <w:right w:val="nil"/>
            </w:tcBorders>
            <w:shd w:val="clear" w:color="auto" w:fill="auto"/>
            <w:vAlign w:val="center"/>
          </w:tcPr>
          <w:p>
            <w:pPr>
              <w:keepNext w:val="0"/>
              <w:keepLines w:val="0"/>
              <w:widowControl/>
              <w:suppressLineNumbers w:val="0"/>
              <w:jc w:val="both"/>
              <w:textAlignment w:val="center"/>
              <w:rPr>
                <w:rFonts w:ascii="宋体" w:hAnsi="宋体" w:eastAsia="宋体" w:cs="宋体"/>
                <w:i w:val="0"/>
                <w:iCs w:val="0"/>
                <w:color w:val="000000"/>
                <w:kern w:val="0"/>
                <w:sz w:val="18"/>
                <w:szCs w:val="18"/>
                <w:u w:val="none"/>
                <w:lang w:val="en-US" w:eastAsia="zh-CN" w:bidi="ar"/>
              </w:rPr>
            </w:pPr>
          </w:p>
          <w:p>
            <w:pPr>
              <w:keepNext w:val="0"/>
              <w:keepLines w:val="0"/>
              <w:widowControl/>
              <w:suppressLineNumbers w:val="0"/>
              <w:jc w:val="right"/>
              <w:textAlignment w:val="center"/>
              <w:rPr>
                <w:rFonts w:ascii="宋体" w:hAnsi="宋体" w:eastAsia="宋体" w:cs="宋体"/>
                <w:i w:val="0"/>
                <w:iCs w:val="0"/>
                <w:color w:val="000000"/>
                <w:kern w:val="0"/>
                <w:sz w:val="18"/>
                <w:szCs w:val="18"/>
                <w:u w:val="none"/>
                <w:lang w:val="en-US" w:eastAsia="zh-CN" w:bidi="ar"/>
              </w:rPr>
            </w:pPr>
          </w:p>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预算07表</w:t>
            </w:r>
          </w:p>
        </w:tc>
      </w:tr>
      <w:tr>
        <w:tblPrEx>
          <w:tblCellMar>
            <w:top w:w="0" w:type="dxa"/>
            <w:left w:w="108" w:type="dxa"/>
            <w:bottom w:w="0" w:type="dxa"/>
            <w:right w:w="108" w:type="dxa"/>
          </w:tblCellMar>
        </w:tblPrEx>
        <w:trPr>
          <w:trHeight w:val="570" w:hRule="atLeast"/>
        </w:trPr>
        <w:tc>
          <w:tcPr>
            <w:tcW w:w="15165" w:type="dxa"/>
            <w:gridSpan w:val="26"/>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cs="宋体"/>
                <w:b/>
                <w:bCs/>
                <w:kern w:val="0"/>
                <w:sz w:val="38"/>
                <w:szCs w:val="38"/>
                <w:highlight w:val="none"/>
              </w:rPr>
            </w:pPr>
            <w:r>
              <w:rPr>
                <w:rFonts w:ascii="宋体" w:hAnsi="宋体" w:eastAsia="宋体" w:cs="宋体"/>
                <w:b/>
                <w:bCs/>
                <w:i w:val="0"/>
                <w:iCs w:val="0"/>
                <w:color w:val="000000"/>
                <w:kern w:val="0"/>
                <w:sz w:val="38"/>
                <w:szCs w:val="38"/>
                <w:u w:val="none"/>
                <w:lang w:val="en-US" w:eastAsia="zh-CN" w:bidi="ar"/>
              </w:rPr>
              <w:t>2024年支出经济分类汇总表</w:t>
            </w:r>
          </w:p>
        </w:tc>
      </w:tr>
      <w:tr>
        <w:tblPrEx>
          <w:tblCellMar>
            <w:top w:w="0" w:type="dxa"/>
            <w:left w:w="108" w:type="dxa"/>
            <w:bottom w:w="0" w:type="dxa"/>
            <w:right w:w="108" w:type="dxa"/>
          </w:tblCellMar>
        </w:tblPrEx>
        <w:trPr>
          <w:trHeight w:val="325" w:hRule="atLeast"/>
        </w:trPr>
        <w:tc>
          <w:tcPr>
            <w:tcW w:w="15165" w:type="dxa"/>
            <w:gridSpan w:val="26"/>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hint="eastAsia" w:ascii="宋体" w:hAnsi="宋体" w:cs="宋体"/>
                <w:i w:val="0"/>
                <w:iCs w:val="0"/>
                <w:color w:val="000000"/>
                <w:kern w:val="0"/>
                <w:sz w:val="18"/>
                <w:szCs w:val="18"/>
                <w:u w:val="none"/>
                <w:lang w:val="en-US" w:eastAsia="zh-CN" w:bidi="ar"/>
              </w:rPr>
              <w:t>单位</w:t>
            </w:r>
            <w:r>
              <w:rPr>
                <w:rFonts w:ascii="宋体" w:hAnsi="宋体" w:eastAsia="宋体" w:cs="宋体"/>
                <w:i w:val="0"/>
                <w:iCs w:val="0"/>
                <w:color w:val="000000"/>
                <w:kern w:val="0"/>
                <w:sz w:val="18"/>
                <w:szCs w:val="18"/>
                <w:u w:val="none"/>
                <w:lang w:val="en-US" w:eastAsia="zh-CN" w:bidi="ar"/>
              </w:rPr>
              <w:t>名称：新乡市卫滨区城市管理局                                                                                                                             单位：万元</w:t>
            </w:r>
          </w:p>
        </w:tc>
      </w:tr>
      <w:tr>
        <w:tblPrEx>
          <w:tblCellMar>
            <w:top w:w="0" w:type="dxa"/>
            <w:left w:w="108" w:type="dxa"/>
            <w:bottom w:w="0" w:type="dxa"/>
            <w:right w:w="108" w:type="dxa"/>
          </w:tblCellMar>
        </w:tblPrEx>
        <w:trPr>
          <w:trHeight w:val="285" w:hRule="atLeast"/>
        </w:trPr>
        <w:tc>
          <w:tcPr>
            <w:tcW w:w="385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 xml:space="preserve"> 部门预算经济分类  </w:t>
            </w:r>
          </w:p>
        </w:tc>
        <w:tc>
          <w:tcPr>
            <w:tcW w:w="300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ascii="宋体" w:hAnsi="宋体" w:eastAsia="宋体" w:cs="宋体"/>
                <w:i w:val="0"/>
                <w:iCs w:val="0"/>
                <w:color w:val="000000"/>
                <w:kern w:val="0"/>
                <w:sz w:val="18"/>
                <w:szCs w:val="18"/>
                <w:u w:val="none"/>
                <w:lang w:val="en-US" w:eastAsia="zh-CN" w:bidi="ar"/>
              </w:rPr>
              <w:t>政府预算经济分类</w:t>
            </w:r>
          </w:p>
        </w:tc>
        <w:tc>
          <w:tcPr>
            <w:tcW w:w="870" w:type="dxa"/>
            <w:gridSpan w:val="2"/>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总计</w:t>
            </w:r>
          </w:p>
        </w:tc>
        <w:tc>
          <w:tcPr>
            <w:tcW w:w="18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一般公共预算</w:t>
            </w:r>
          </w:p>
        </w:tc>
        <w:tc>
          <w:tcPr>
            <w:tcW w:w="6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政府性基金</w:t>
            </w:r>
          </w:p>
        </w:tc>
        <w:tc>
          <w:tcPr>
            <w:tcW w:w="7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国有资本经营预算</w:t>
            </w:r>
          </w:p>
        </w:tc>
        <w:tc>
          <w:tcPr>
            <w:tcW w:w="6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上年结转结余</w:t>
            </w:r>
          </w:p>
        </w:tc>
        <w:tc>
          <w:tcPr>
            <w:tcW w:w="7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ascii="宋体" w:hAnsi="宋体" w:eastAsia="宋体" w:cs="宋体"/>
                <w:i w:val="0"/>
                <w:iCs w:val="0"/>
                <w:color w:val="000000"/>
                <w:kern w:val="0"/>
                <w:sz w:val="18"/>
                <w:szCs w:val="18"/>
                <w:u w:val="none"/>
                <w:lang w:val="en-US" w:eastAsia="zh-CN" w:bidi="ar"/>
              </w:rPr>
              <w:t>财政专户管理资金收入</w:t>
            </w:r>
          </w:p>
        </w:tc>
        <w:tc>
          <w:tcPr>
            <w:tcW w:w="4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事业收入</w:t>
            </w:r>
          </w:p>
        </w:tc>
        <w:tc>
          <w:tcPr>
            <w:tcW w:w="58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上级补助收入</w:t>
            </w:r>
          </w:p>
        </w:tc>
        <w:tc>
          <w:tcPr>
            <w:tcW w:w="6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附属单位上缴收入</w:t>
            </w:r>
          </w:p>
        </w:tc>
        <w:tc>
          <w:tcPr>
            <w:tcW w:w="6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事业单位经营收入</w:t>
            </w:r>
          </w:p>
        </w:tc>
        <w:tc>
          <w:tcPr>
            <w:tcW w:w="43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其他收入</w:t>
            </w:r>
          </w:p>
        </w:tc>
      </w:tr>
      <w:tr>
        <w:tblPrEx>
          <w:tblCellMar>
            <w:top w:w="0" w:type="dxa"/>
            <w:left w:w="108" w:type="dxa"/>
            <w:bottom w:w="0" w:type="dxa"/>
            <w:right w:w="108" w:type="dxa"/>
          </w:tblCellMar>
        </w:tblPrEx>
        <w:trPr>
          <w:trHeight w:val="735" w:hRule="atLeast"/>
        </w:trPr>
        <w:tc>
          <w:tcPr>
            <w:tcW w:w="548"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 xml:space="preserve"> 类</w:t>
            </w:r>
          </w:p>
        </w:tc>
        <w:tc>
          <w:tcPr>
            <w:tcW w:w="54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款</w:t>
            </w:r>
          </w:p>
        </w:tc>
        <w:tc>
          <w:tcPr>
            <w:tcW w:w="2759"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科目名称</w:t>
            </w:r>
          </w:p>
        </w:tc>
        <w:tc>
          <w:tcPr>
            <w:tcW w:w="57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ascii="宋体" w:hAnsi="宋体" w:eastAsia="宋体" w:cs="宋体"/>
                <w:i w:val="0"/>
                <w:iCs w:val="0"/>
                <w:color w:val="000000"/>
                <w:kern w:val="0"/>
                <w:sz w:val="18"/>
                <w:szCs w:val="18"/>
                <w:u w:val="none"/>
                <w:lang w:val="en-US" w:eastAsia="zh-CN" w:bidi="ar"/>
              </w:rPr>
              <w:t xml:space="preserve"> 类</w:t>
            </w:r>
          </w:p>
        </w:tc>
        <w:tc>
          <w:tcPr>
            <w:tcW w:w="55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款</w:t>
            </w:r>
          </w:p>
        </w:tc>
        <w:tc>
          <w:tcPr>
            <w:tcW w:w="1875"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科目名称</w:t>
            </w:r>
          </w:p>
        </w:tc>
        <w:tc>
          <w:tcPr>
            <w:tcW w:w="870" w:type="dxa"/>
            <w:gridSpan w:val="2"/>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85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小计</w:t>
            </w:r>
          </w:p>
        </w:tc>
        <w:tc>
          <w:tcPr>
            <w:tcW w:w="102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其中：财政拨款</w:t>
            </w:r>
          </w:p>
        </w:tc>
        <w:tc>
          <w:tcPr>
            <w:tcW w:w="6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kern w:val="0"/>
                <w:sz w:val="15"/>
                <w:szCs w:val="15"/>
                <w:highlight w:val="none"/>
              </w:rPr>
            </w:pPr>
          </w:p>
        </w:tc>
        <w:tc>
          <w:tcPr>
            <w:tcW w:w="72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kern w:val="0"/>
                <w:sz w:val="15"/>
                <w:szCs w:val="15"/>
                <w:highlight w:val="none"/>
              </w:rPr>
            </w:pPr>
          </w:p>
        </w:tc>
        <w:tc>
          <w:tcPr>
            <w:tcW w:w="660"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kern w:val="0"/>
                <w:sz w:val="15"/>
                <w:szCs w:val="15"/>
                <w:highlight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jc w:val="center"/>
            </w:pPr>
          </w:p>
        </w:tc>
        <w:tc>
          <w:tcPr>
            <w:tcW w:w="45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kern w:val="0"/>
                <w:sz w:val="15"/>
                <w:szCs w:val="15"/>
                <w:highlight w:val="none"/>
              </w:rPr>
            </w:pPr>
          </w:p>
        </w:tc>
        <w:tc>
          <w:tcPr>
            <w:tcW w:w="585"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kern w:val="0"/>
                <w:sz w:val="15"/>
                <w:szCs w:val="15"/>
                <w:highlight w:val="none"/>
              </w:rPr>
            </w:pPr>
          </w:p>
        </w:tc>
        <w:tc>
          <w:tcPr>
            <w:tcW w:w="6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kern w:val="0"/>
                <w:sz w:val="15"/>
                <w:szCs w:val="15"/>
                <w:highlight w:val="none"/>
              </w:rPr>
            </w:pPr>
          </w:p>
        </w:tc>
        <w:tc>
          <w:tcPr>
            <w:tcW w:w="67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kern w:val="0"/>
                <w:sz w:val="15"/>
                <w:szCs w:val="15"/>
                <w:highlight w:val="none"/>
              </w:rPr>
            </w:pPr>
          </w:p>
        </w:tc>
        <w:tc>
          <w:tcPr>
            <w:tcW w:w="435"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kern w:val="0"/>
                <w:sz w:val="15"/>
                <w:szCs w:val="15"/>
                <w:highlight w:val="none"/>
              </w:rPr>
            </w:pPr>
          </w:p>
        </w:tc>
      </w:tr>
      <w:tr>
        <w:tblPrEx>
          <w:tblCellMar>
            <w:top w:w="0" w:type="dxa"/>
            <w:left w:w="108" w:type="dxa"/>
            <w:bottom w:w="0" w:type="dxa"/>
            <w:right w:w="108" w:type="dxa"/>
          </w:tblCellMar>
        </w:tblPrEx>
        <w:trPr>
          <w:trHeight w:val="327" w:hRule="atLeast"/>
        </w:trPr>
        <w:tc>
          <w:tcPr>
            <w:tcW w:w="548"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548" w:type="dxa"/>
            <w:gridSpan w:val="2"/>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759"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合计</w:t>
            </w:r>
          </w:p>
        </w:tc>
        <w:tc>
          <w:tcPr>
            <w:tcW w:w="570" w:type="dxa"/>
            <w:tcBorders>
              <w:top w:val="nil"/>
              <w:left w:val="nil"/>
              <w:bottom w:val="single" w:color="000000" w:sz="4" w:space="0"/>
              <w:right w:val="single" w:color="000000" w:sz="4" w:space="0"/>
            </w:tcBorders>
            <w:shd w:val="clear" w:color="auto" w:fill="auto"/>
            <w:vAlign w:val="center"/>
          </w:tcPr>
          <w:p>
            <w:pPr>
              <w:jc w:val="center"/>
            </w:pPr>
          </w:p>
        </w:tc>
        <w:tc>
          <w:tcPr>
            <w:tcW w:w="555"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1875" w:type="dxa"/>
            <w:gridSpan w:val="2"/>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87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410.94</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410.94</w:t>
            </w:r>
          </w:p>
        </w:tc>
        <w:tc>
          <w:tcPr>
            <w:tcW w:w="102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410.94</w:t>
            </w:r>
          </w:p>
        </w:tc>
        <w:tc>
          <w:tcPr>
            <w:tcW w:w="64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2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6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80" w:type="dxa"/>
            <w:tcBorders>
              <w:top w:val="nil"/>
              <w:left w:val="nil"/>
              <w:bottom w:val="single" w:color="000000" w:sz="4" w:space="0"/>
              <w:right w:val="single" w:color="000000" w:sz="4" w:space="0"/>
            </w:tcBorders>
            <w:shd w:val="clear" w:color="auto" w:fill="auto"/>
            <w:vAlign w:val="center"/>
          </w:tcPr>
          <w:p>
            <w:pPr>
              <w:jc w:val="right"/>
            </w:pPr>
          </w:p>
        </w:tc>
        <w:tc>
          <w:tcPr>
            <w:tcW w:w="45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585"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1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7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435"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CellMar>
            <w:top w:w="0" w:type="dxa"/>
            <w:left w:w="108" w:type="dxa"/>
            <w:bottom w:w="0" w:type="dxa"/>
            <w:right w:w="108" w:type="dxa"/>
          </w:tblCellMar>
        </w:tblPrEx>
        <w:trPr>
          <w:trHeight w:val="454" w:hRule="atLeast"/>
        </w:trPr>
        <w:tc>
          <w:tcPr>
            <w:tcW w:w="548"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202</w:t>
            </w:r>
          </w:p>
        </w:tc>
        <w:tc>
          <w:tcPr>
            <w:tcW w:w="548" w:type="dxa"/>
            <w:gridSpan w:val="2"/>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759"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新乡市卫滨区城市管理局</w:t>
            </w:r>
          </w:p>
        </w:tc>
        <w:tc>
          <w:tcPr>
            <w:tcW w:w="570" w:type="dxa"/>
            <w:tcBorders>
              <w:top w:val="nil"/>
              <w:left w:val="nil"/>
              <w:bottom w:val="single" w:color="000000" w:sz="4" w:space="0"/>
              <w:right w:val="single" w:color="000000" w:sz="4" w:space="0"/>
            </w:tcBorders>
            <w:shd w:val="clear" w:color="auto" w:fill="auto"/>
            <w:vAlign w:val="center"/>
          </w:tcPr>
          <w:p>
            <w:pPr>
              <w:jc w:val="center"/>
            </w:pPr>
          </w:p>
        </w:tc>
        <w:tc>
          <w:tcPr>
            <w:tcW w:w="555"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1875" w:type="dxa"/>
            <w:gridSpan w:val="2"/>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87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410.94</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410.94</w:t>
            </w:r>
          </w:p>
        </w:tc>
        <w:tc>
          <w:tcPr>
            <w:tcW w:w="102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410.94</w:t>
            </w:r>
          </w:p>
        </w:tc>
        <w:tc>
          <w:tcPr>
            <w:tcW w:w="64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2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6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80" w:type="dxa"/>
            <w:tcBorders>
              <w:top w:val="nil"/>
              <w:left w:val="nil"/>
              <w:bottom w:val="single" w:color="000000" w:sz="4" w:space="0"/>
              <w:right w:val="single" w:color="000000" w:sz="4" w:space="0"/>
            </w:tcBorders>
            <w:shd w:val="clear" w:color="auto" w:fill="auto"/>
            <w:vAlign w:val="center"/>
          </w:tcPr>
          <w:p>
            <w:pPr>
              <w:jc w:val="right"/>
            </w:pPr>
          </w:p>
        </w:tc>
        <w:tc>
          <w:tcPr>
            <w:tcW w:w="45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585"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1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7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435"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CellMar>
            <w:top w:w="0" w:type="dxa"/>
            <w:left w:w="108" w:type="dxa"/>
            <w:bottom w:w="0" w:type="dxa"/>
            <w:right w:w="108" w:type="dxa"/>
          </w:tblCellMar>
        </w:tblPrEx>
        <w:trPr>
          <w:trHeight w:val="285" w:hRule="atLeast"/>
        </w:trPr>
        <w:tc>
          <w:tcPr>
            <w:tcW w:w="548"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301</w:t>
            </w:r>
          </w:p>
        </w:tc>
        <w:tc>
          <w:tcPr>
            <w:tcW w:w="54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08</w:t>
            </w:r>
          </w:p>
        </w:tc>
        <w:tc>
          <w:tcPr>
            <w:tcW w:w="2759"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机关事业单位基本养老保险缴费</w:t>
            </w:r>
          </w:p>
        </w:tc>
        <w:tc>
          <w:tcPr>
            <w:tcW w:w="57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ascii="宋体" w:hAnsi="宋体" w:eastAsia="宋体" w:cs="宋体"/>
                <w:i w:val="0"/>
                <w:iCs w:val="0"/>
                <w:color w:val="000000"/>
                <w:kern w:val="0"/>
                <w:sz w:val="18"/>
                <w:szCs w:val="18"/>
                <w:u w:val="none"/>
                <w:lang w:val="en-US" w:eastAsia="zh-CN" w:bidi="ar"/>
              </w:rPr>
              <w:t>501</w:t>
            </w:r>
          </w:p>
        </w:tc>
        <w:tc>
          <w:tcPr>
            <w:tcW w:w="55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02</w:t>
            </w:r>
          </w:p>
        </w:tc>
        <w:tc>
          <w:tcPr>
            <w:tcW w:w="1875"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社会保障缴费</w:t>
            </w:r>
          </w:p>
        </w:tc>
        <w:tc>
          <w:tcPr>
            <w:tcW w:w="87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34.51</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34.51</w:t>
            </w:r>
          </w:p>
        </w:tc>
        <w:tc>
          <w:tcPr>
            <w:tcW w:w="102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34.51</w:t>
            </w:r>
          </w:p>
        </w:tc>
        <w:tc>
          <w:tcPr>
            <w:tcW w:w="64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2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6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80" w:type="dxa"/>
            <w:tcBorders>
              <w:top w:val="nil"/>
              <w:left w:val="nil"/>
              <w:bottom w:val="single" w:color="000000" w:sz="4" w:space="0"/>
              <w:right w:val="single" w:color="000000" w:sz="4" w:space="0"/>
            </w:tcBorders>
            <w:shd w:val="clear" w:color="auto" w:fill="auto"/>
            <w:vAlign w:val="center"/>
          </w:tcPr>
          <w:p>
            <w:pPr>
              <w:jc w:val="right"/>
            </w:pPr>
          </w:p>
        </w:tc>
        <w:tc>
          <w:tcPr>
            <w:tcW w:w="45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585"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1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7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435"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CellMar>
            <w:top w:w="0" w:type="dxa"/>
            <w:left w:w="108" w:type="dxa"/>
            <w:bottom w:w="0" w:type="dxa"/>
            <w:right w:w="108" w:type="dxa"/>
          </w:tblCellMar>
        </w:tblPrEx>
        <w:trPr>
          <w:trHeight w:val="285" w:hRule="atLeast"/>
        </w:trPr>
        <w:tc>
          <w:tcPr>
            <w:tcW w:w="548"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301</w:t>
            </w:r>
          </w:p>
        </w:tc>
        <w:tc>
          <w:tcPr>
            <w:tcW w:w="54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09</w:t>
            </w:r>
          </w:p>
        </w:tc>
        <w:tc>
          <w:tcPr>
            <w:tcW w:w="2759"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职业年金缴费</w:t>
            </w:r>
          </w:p>
        </w:tc>
        <w:tc>
          <w:tcPr>
            <w:tcW w:w="57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ascii="宋体" w:hAnsi="宋体" w:eastAsia="宋体" w:cs="宋体"/>
                <w:i w:val="0"/>
                <w:iCs w:val="0"/>
                <w:color w:val="000000"/>
                <w:kern w:val="0"/>
                <w:sz w:val="18"/>
                <w:szCs w:val="18"/>
                <w:u w:val="none"/>
                <w:lang w:val="en-US" w:eastAsia="zh-CN" w:bidi="ar"/>
              </w:rPr>
              <w:t>501</w:t>
            </w:r>
          </w:p>
        </w:tc>
        <w:tc>
          <w:tcPr>
            <w:tcW w:w="55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02</w:t>
            </w:r>
          </w:p>
        </w:tc>
        <w:tc>
          <w:tcPr>
            <w:tcW w:w="1875"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社会保障缴费</w:t>
            </w:r>
          </w:p>
        </w:tc>
        <w:tc>
          <w:tcPr>
            <w:tcW w:w="87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4.83</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4.83</w:t>
            </w:r>
          </w:p>
        </w:tc>
        <w:tc>
          <w:tcPr>
            <w:tcW w:w="102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4.83</w:t>
            </w:r>
          </w:p>
        </w:tc>
        <w:tc>
          <w:tcPr>
            <w:tcW w:w="64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2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6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80" w:type="dxa"/>
            <w:tcBorders>
              <w:top w:val="nil"/>
              <w:left w:val="nil"/>
              <w:bottom w:val="single" w:color="000000" w:sz="4" w:space="0"/>
              <w:right w:val="single" w:color="000000" w:sz="4" w:space="0"/>
            </w:tcBorders>
            <w:shd w:val="clear" w:color="auto" w:fill="auto"/>
            <w:vAlign w:val="center"/>
          </w:tcPr>
          <w:p>
            <w:pPr>
              <w:jc w:val="right"/>
            </w:pPr>
          </w:p>
        </w:tc>
        <w:tc>
          <w:tcPr>
            <w:tcW w:w="45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585"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1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7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435"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CellMar>
            <w:top w:w="0" w:type="dxa"/>
            <w:left w:w="108" w:type="dxa"/>
            <w:bottom w:w="0" w:type="dxa"/>
            <w:right w:w="108" w:type="dxa"/>
          </w:tblCellMar>
        </w:tblPrEx>
        <w:trPr>
          <w:trHeight w:val="285" w:hRule="atLeast"/>
        </w:trPr>
        <w:tc>
          <w:tcPr>
            <w:tcW w:w="548"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301</w:t>
            </w:r>
          </w:p>
        </w:tc>
        <w:tc>
          <w:tcPr>
            <w:tcW w:w="54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10</w:t>
            </w:r>
          </w:p>
        </w:tc>
        <w:tc>
          <w:tcPr>
            <w:tcW w:w="2759"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职工基本医疗保险缴费</w:t>
            </w:r>
          </w:p>
        </w:tc>
        <w:tc>
          <w:tcPr>
            <w:tcW w:w="57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ascii="宋体" w:hAnsi="宋体" w:eastAsia="宋体" w:cs="宋体"/>
                <w:i w:val="0"/>
                <w:iCs w:val="0"/>
                <w:color w:val="000000"/>
                <w:kern w:val="0"/>
                <w:sz w:val="18"/>
                <w:szCs w:val="18"/>
                <w:u w:val="none"/>
                <w:lang w:val="en-US" w:eastAsia="zh-CN" w:bidi="ar"/>
              </w:rPr>
              <w:t>501</w:t>
            </w:r>
          </w:p>
        </w:tc>
        <w:tc>
          <w:tcPr>
            <w:tcW w:w="55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02</w:t>
            </w:r>
          </w:p>
        </w:tc>
        <w:tc>
          <w:tcPr>
            <w:tcW w:w="1875"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社会保障缴费</w:t>
            </w:r>
          </w:p>
        </w:tc>
        <w:tc>
          <w:tcPr>
            <w:tcW w:w="87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17.22</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17.22</w:t>
            </w:r>
          </w:p>
        </w:tc>
        <w:tc>
          <w:tcPr>
            <w:tcW w:w="102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17.22</w:t>
            </w:r>
          </w:p>
        </w:tc>
        <w:tc>
          <w:tcPr>
            <w:tcW w:w="64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2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6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80" w:type="dxa"/>
            <w:tcBorders>
              <w:top w:val="nil"/>
              <w:left w:val="nil"/>
              <w:bottom w:val="single" w:color="000000" w:sz="4" w:space="0"/>
              <w:right w:val="single" w:color="000000" w:sz="4" w:space="0"/>
            </w:tcBorders>
            <w:shd w:val="clear" w:color="auto" w:fill="auto"/>
            <w:vAlign w:val="center"/>
          </w:tcPr>
          <w:p>
            <w:pPr>
              <w:jc w:val="right"/>
            </w:pPr>
          </w:p>
        </w:tc>
        <w:tc>
          <w:tcPr>
            <w:tcW w:w="45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585"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1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7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435"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CellMar>
            <w:top w:w="0" w:type="dxa"/>
            <w:left w:w="108" w:type="dxa"/>
            <w:bottom w:w="0" w:type="dxa"/>
            <w:right w:w="108" w:type="dxa"/>
          </w:tblCellMar>
        </w:tblPrEx>
        <w:trPr>
          <w:trHeight w:val="285" w:hRule="atLeast"/>
        </w:trPr>
        <w:tc>
          <w:tcPr>
            <w:tcW w:w="548"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301</w:t>
            </w:r>
          </w:p>
        </w:tc>
        <w:tc>
          <w:tcPr>
            <w:tcW w:w="54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11</w:t>
            </w:r>
          </w:p>
        </w:tc>
        <w:tc>
          <w:tcPr>
            <w:tcW w:w="2759"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公务员医疗补助缴费</w:t>
            </w:r>
          </w:p>
        </w:tc>
        <w:tc>
          <w:tcPr>
            <w:tcW w:w="57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ascii="宋体" w:hAnsi="宋体" w:eastAsia="宋体" w:cs="宋体"/>
                <w:i w:val="0"/>
                <w:iCs w:val="0"/>
                <w:color w:val="000000"/>
                <w:kern w:val="0"/>
                <w:sz w:val="18"/>
                <w:szCs w:val="18"/>
                <w:u w:val="none"/>
                <w:lang w:val="en-US" w:eastAsia="zh-CN" w:bidi="ar"/>
              </w:rPr>
              <w:t>501</w:t>
            </w:r>
          </w:p>
        </w:tc>
        <w:tc>
          <w:tcPr>
            <w:tcW w:w="55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02</w:t>
            </w:r>
          </w:p>
        </w:tc>
        <w:tc>
          <w:tcPr>
            <w:tcW w:w="1875"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社会保障缴费</w:t>
            </w:r>
          </w:p>
        </w:tc>
        <w:tc>
          <w:tcPr>
            <w:tcW w:w="87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3.93</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3.93</w:t>
            </w:r>
          </w:p>
        </w:tc>
        <w:tc>
          <w:tcPr>
            <w:tcW w:w="102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3.93</w:t>
            </w:r>
          </w:p>
        </w:tc>
        <w:tc>
          <w:tcPr>
            <w:tcW w:w="64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2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6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80" w:type="dxa"/>
            <w:tcBorders>
              <w:top w:val="nil"/>
              <w:left w:val="nil"/>
              <w:bottom w:val="single" w:color="000000" w:sz="4" w:space="0"/>
              <w:right w:val="single" w:color="000000" w:sz="4" w:space="0"/>
            </w:tcBorders>
            <w:shd w:val="clear" w:color="auto" w:fill="auto"/>
            <w:vAlign w:val="center"/>
          </w:tcPr>
          <w:p>
            <w:pPr>
              <w:jc w:val="right"/>
            </w:pPr>
          </w:p>
        </w:tc>
        <w:tc>
          <w:tcPr>
            <w:tcW w:w="45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585"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1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7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435"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CellMar>
            <w:top w:w="0" w:type="dxa"/>
            <w:left w:w="108" w:type="dxa"/>
            <w:bottom w:w="0" w:type="dxa"/>
            <w:right w:w="108" w:type="dxa"/>
          </w:tblCellMar>
        </w:tblPrEx>
        <w:trPr>
          <w:trHeight w:val="285" w:hRule="atLeast"/>
        </w:trPr>
        <w:tc>
          <w:tcPr>
            <w:tcW w:w="548"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303</w:t>
            </w:r>
          </w:p>
        </w:tc>
        <w:tc>
          <w:tcPr>
            <w:tcW w:w="54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02</w:t>
            </w:r>
          </w:p>
        </w:tc>
        <w:tc>
          <w:tcPr>
            <w:tcW w:w="2759"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退休费</w:t>
            </w:r>
          </w:p>
        </w:tc>
        <w:tc>
          <w:tcPr>
            <w:tcW w:w="57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ascii="宋体" w:hAnsi="宋体" w:eastAsia="宋体" w:cs="宋体"/>
                <w:i w:val="0"/>
                <w:iCs w:val="0"/>
                <w:color w:val="000000"/>
                <w:kern w:val="0"/>
                <w:sz w:val="18"/>
                <w:szCs w:val="18"/>
                <w:u w:val="none"/>
                <w:lang w:val="en-US" w:eastAsia="zh-CN" w:bidi="ar"/>
              </w:rPr>
              <w:t>509</w:t>
            </w:r>
          </w:p>
        </w:tc>
        <w:tc>
          <w:tcPr>
            <w:tcW w:w="55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05</w:t>
            </w:r>
          </w:p>
        </w:tc>
        <w:tc>
          <w:tcPr>
            <w:tcW w:w="1875"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离退休费</w:t>
            </w:r>
          </w:p>
        </w:tc>
        <w:tc>
          <w:tcPr>
            <w:tcW w:w="87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7.26</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7.26</w:t>
            </w:r>
          </w:p>
        </w:tc>
        <w:tc>
          <w:tcPr>
            <w:tcW w:w="102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7.26</w:t>
            </w:r>
          </w:p>
        </w:tc>
        <w:tc>
          <w:tcPr>
            <w:tcW w:w="64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2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6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80" w:type="dxa"/>
            <w:tcBorders>
              <w:top w:val="nil"/>
              <w:left w:val="nil"/>
              <w:bottom w:val="single" w:color="000000" w:sz="4" w:space="0"/>
              <w:right w:val="single" w:color="000000" w:sz="4" w:space="0"/>
            </w:tcBorders>
            <w:shd w:val="clear" w:color="auto" w:fill="auto"/>
            <w:vAlign w:val="center"/>
          </w:tcPr>
          <w:p>
            <w:pPr>
              <w:jc w:val="right"/>
            </w:pPr>
          </w:p>
        </w:tc>
        <w:tc>
          <w:tcPr>
            <w:tcW w:w="45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585"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1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7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435"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CellMar>
            <w:top w:w="0" w:type="dxa"/>
            <w:left w:w="108" w:type="dxa"/>
            <w:bottom w:w="0" w:type="dxa"/>
            <w:right w:w="108" w:type="dxa"/>
          </w:tblCellMar>
        </w:tblPrEx>
        <w:trPr>
          <w:trHeight w:val="379" w:hRule="atLeast"/>
        </w:trPr>
        <w:tc>
          <w:tcPr>
            <w:tcW w:w="548"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301</w:t>
            </w:r>
          </w:p>
        </w:tc>
        <w:tc>
          <w:tcPr>
            <w:tcW w:w="54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03</w:t>
            </w:r>
          </w:p>
        </w:tc>
        <w:tc>
          <w:tcPr>
            <w:tcW w:w="2759"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奖金</w:t>
            </w:r>
          </w:p>
        </w:tc>
        <w:tc>
          <w:tcPr>
            <w:tcW w:w="57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ascii="宋体" w:hAnsi="宋体" w:eastAsia="宋体" w:cs="宋体"/>
                <w:i w:val="0"/>
                <w:iCs w:val="0"/>
                <w:color w:val="000000"/>
                <w:kern w:val="0"/>
                <w:sz w:val="18"/>
                <w:szCs w:val="18"/>
                <w:u w:val="none"/>
                <w:lang w:val="en-US" w:eastAsia="zh-CN" w:bidi="ar"/>
              </w:rPr>
              <w:t>501</w:t>
            </w:r>
          </w:p>
        </w:tc>
        <w:tc>
          <w:tcPr>
            <w:tcW w:w="55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01</w:t>
            </w:r>
          </w:p>
        </w:tc>
        <w:tc>
          <w:tcPr>
            <w:tcW w:w="1875"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工资奖金津补贴</w:t>
            </w:r>
          </w:p>
        </w:tc>
        <w:tc>
          <w:tcPr>
            <w:tcW w:w="87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11.09</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11.09</w:t>
            </w:r>
          </w:p>
        </w:tc>
        <w:tc>
          <w:tcPr>
            <w:tcW w:w="102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11.09</w:t>
            </w:r>
          </w:p>
        </w:tc>
        <w:tc>
          <w:tcPr>
            <w:tcW w:w="64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2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6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80" w:type="dxa"/>
            <w:tcBorders>
              <w:top w:val="nil"/>
              <w:left w:val="nil"/>
              <w:bottom w:val="single" w:color="000000" w:sz="4" w:space="0"/>
              <w:right w:val="single" w:color="000000" w:sz="4" w:space="0"/>
            </w:tcBorders>
            <w:shd w:val="clear" w:color="auto" w:fill="auto"/>
            <w:vAlign w:val="center"/>
          </w:tcPr>
          <w:p>
            <w:pPr>
              <w:jc w:val="right"/>
            </w:pPr>
          </w:p>
        </w:tc>
        <w:tc>
          <w:tcPr>
            <w:tcW w:w="45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585"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1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7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435"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CellMar>
            <w:top w:w="0" w:type="dxa"/>
            <w:left w:w="108" w:type="dxa"/>
            <w:bottom w:w="0" w:type="dxa"/>
            <w:right w:w="108" w:type="dxa"/>
          </w:tblCellMar>
        </w:tblPrEx>
        <w:trPr>
          <w:trHeight w:val="285" w:hRule="atLeast"/>
        </w:trPr>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301</w:t>
            </w:r>
          </w:p>
        </w:tc>
        <w:tc>
          <w:tcPr>
            <w:tcW w:w="5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07</w:t>
            </w:r>
          </w:p>
        </w:tc>
        <w:tc>
          <w:tcPr>
            <w:tcW w:w="27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绩效工资</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ascii="宋体" w:hAnsi="宋体" w:eastAsia="宋体" w:cs="宋体"/>
                <w:i w:val="0"/>
                <w:iCs w:val="0"/>
                <w:color w:val="000000"/>
                <w:kern w:val="0"/>
                <w:sz w:val="18"/>
                <w:szCs w:val="18"/>
                <w:u w:val="none"/>
                <w:lang w:val="en-US" w:eastAsia="zh-CN" w:bidi="ar"/>
              </w:rPr>
              <w:t>505</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01</w:t>
            </w:r>
          </w:p>
        </w:tc>
        <w:tc>
          <w:tcPr>
            <w:tcW w:w="18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工资福利支出</w:t>
            </w:r>
          </w:p>
        </w:tc>
        <w:tc>
          <w:tcPr>
            <w:tcW w:w="8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57.69</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57.69</w:t>
            </w:r>
          </w:p>
        </w:tc>
        <w:tc>
          <w:tcPr>
            <w:tcW w:w="1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57.69</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4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CellMar>
            <w:top w:w="0" w:type="dxa"/>
            <w:left w:w="108" w:type="dxa"/>
            <w:bottom w:w="0" w:type="dxa"/>
            <w:right w:w="108" w:type="dxa"/>
          </w:tblCellMar>
        </w:tblPrEx>
        <w:trPr>
          <w:trHeight w:val="285" w:hRule="atLeast"/>
        </w:trPr>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301</w:t>
            </w:r>
          </w:p>
        </w:tc>
        <w:tc>
          <w:tcPr>
            <w:tcW w:w="5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01</w:t>
            </w:r>
          </w:p>
        </w:tc>
        <w:tc>
          <w:tcPr>
            <w:tcW w:w="27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基本工资</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501</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01</w:t>
            </w:r>
          </w:p>
        </w:tc>
        <w:tc>
          <w:tcPr>
            <w:tcW w:w="18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工资奖金津补贴</w:t>
            </w:r>
          </w:p>
        </w:tc>
        <w:tc>
          <w:tcPr>
            <w:tcW w:w="8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134.07</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134.07</w:t>
            </w:r>
          </w:p>
        </w:tc>
        <w:tc>
          <w:tcPr>
            <w:tcW w:w="1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134.07</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4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CellMar>
            <w:top w:w="0" w:type="dxa"/>
            <w:left w:w="108" w:type="dxa"/>
            <w:bottom w:w="0" w:type="dxa"/>
            <w:right w:w="108" w:type="dxa"/>
          </w:tblCellMar>
        </w:tblPrEx>
        <w:trPr>
          <w:trHeight w:val="285" w:hRule="atLeast"/>
        </w:trPr>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301</w:t>
            </w:r>
          </w:p>
        </w:tc>
        <w:tc>
          <w:tcPr>
            <w:tcW w:w="5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02</w:t>
            </w:r>
          </w:p>
        </w:tc>
        <w:tc>
          <w:tcPr>
            <w:tcW w:w="27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津贴补贴</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501</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01</w:t>
            </w:r>
          </w:p>
        </w:tc>
        <w:tc>
          <w:tcPr>
            <w:tcW w:w="18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工资奖金津补贴</w:t>
            </w:r>
          </w:p>
        </w:tc>
        <w:tc>
          <w:tcPr>
            <w:tcW w:w="8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25.43</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25.43</w:t>
            </w:r>
          </w:p>
        </w:tc>
        <w:tc>
          <w:tcPr>
            <w:tcW w:w="1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25.43</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4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CellMar>
            <w:top w:w="0" w:type="dxa"/>
            <w:left w:w="108" w:type="dxa"/>
            <w:bottom w:w="0" w:type="dxa"/>
            <w:right w:w="108" w:type="dxa"/>
          </w:tblCellMar>
        </w:tblPrEx>
        <w:trPr>
          <w:trHeight w:val="285" w:hRule="atLeast"/>
        </w:trPr>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302</w:t>
            </w:r>
          </w:p>
        </w:tc>
        <w:tc>
          <w:tcPr>
            <w:tcW w:w="5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01</w:t>
            </w:r>
          </w:p>
        </w:tc>
        <w:tc>
          <w:tcPr>
            <w:tcW w:w="27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办公费</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502</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01</w:t>
            </w:r>
          </w:p>
        </w:tc>
        <w:tc>
          <w:tcPr>
            <w:tcW w:w="18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办公经费</w:t>
            </w:r>
          </w:p>
        </w:tc>
        <w:tc>
          <w:tcPr>
            <w:tcW w:w="8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5.10</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5.10</w:t>
            </w:r>
          </w:p>
        </w:tc>
        <w:tc>
          <w:tcPr>
            <w:tcW w:w="1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5.10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4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CellMar>
            <w:top w:w="0" w:type="dxa"/>
            <w:left w:w="108" w:type="dxa"/>
            <w:bottom w:w="0" w:type="dxa"/>
            <w:right w:w="108" w:type="dxa"/>
          </w:tblCellMar>
        </w:tblPrEx>
        <w:trPr>
          <w:trHeight w:val="285" w:hRule="atLeast"/>
        </w:trPr>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302</w:t>
            </w:r>
          </w:p>
        </w:tc>
        <w:tc>
          <w:tcPr>
            <w:tcW w:w="5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39</w:t>
            </w:r>
          </w:p>
        </w:tc>
        <w:tc>
          <w:tcPr>
            <w:tcW w:w="27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其他交通费用</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502</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01</w:t>
            </w:r>
          </w:p>
        </w:tc>
        <w:tc>
          <w:tcPr>
            <w:tcW w:w="18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办公经费</w:t>
            </w:r>
          </w:p>
        </w:tc>
        <w:tc>
          <w:tcPr>
            <w:tcW w:w="8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2.28</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2.28</w:t>
            </w:r>
          </w:p>
        </w:tc>
        <w:tc>
          <w:tcPr>
            <w:tcW w:w="1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2.28</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4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CellMar>
            <w:top w:w="0" w:type="dxa"/>
            <w:left w:w="108" w:type="dxa"/>
            <w:bottom w:w="0" w:type="dxa"/>
            <w:right w:w="108" w:type="dxa"/>
          </w:tblCellMar>
        </w:tblPrEx>
        <w:trPr>
          <w:trHeight w:val="285" w:hRule="atLeast"/>
        </w:trPr>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302</w:t>
            </w:r>
          </w:p>
        </w:tc>
        <w:tc>
          <w:tcPr>
            <w:tcW w:w="5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07</w:t>
            </w:r>
          </w:p>
        </w:tc>
        <w:tc>
          <w:tcPr>
            <w:tcW w:w="27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邮电费</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502</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01</w:t>
            </w:r>
          </w:p>
        </w:tc>
        <w:tc>
          <w:tcPr>
            <w:tcW w:w="18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办公经费</w:t>
            </w:r>
          </w:p>
        </w:tc>
        <w:tc>
          <w:tcPr>
            <w:tcW w:w="8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1.00</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1.00</w:t>
            </w:r>
          </w:p>
        </w:tc>
        <w:tc>
          <w:tcPr>
            <w:tcW w:w="1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1.00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4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CellMar>
            <w:top w:w="0" w:type="dxa"/>
            <w:left w:w="108" w:type="dxa"/>
            <w:bottom w:w="0" w:type="dxa"/>
            <w:right w:w="108" w:type="dxa"/>
          </w:tblCellMar>
        </w:tblPrEx>
        <w:trPr>
          <w:trHeight w:val="285" w:hRule="atLeast"/>
        </w:trPr>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302</w:t>
            </w:r>
          </w:p>
        </w:tc>
        <w:tc>
          <w:tcPr>
            <w:tcW w:w="5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99</w:t>
            </w:r>
          </w:p>
        </w:tc>
        <w:tc>
          <w:tcPr>
            <w:tcW w:w="27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其他商品和服务支出</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502</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99</w:t>
            </w:r>
          </w:p>
        </w:tc>
        <w:tc>
          <w:tcPr>
            <w:tcW w:w="18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其他商品和服务支出</w:t>
            </w:r>
          </w:p>
        </w:tc>
        <w:tc>
          <w:tcPr>
            <w:tcW w:w="8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72.27</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72.27</w:t>
            </w:r>
          </w:p>
        </w:tc>
        <w:tc>
          <w:tcPr>
            <w:tcW w:w="1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72.27</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4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CellMar>
            <w:top w:w="0" w:type="dxa"/>
            <w:left w:w="108" w:type="dxa"/>
            <w:bottom w:w="0" w:type="dxa"/>
            <w:right w:w="108" w:type="dxa"/>
          </w:tblCellMar>
        </w:tblPrEx>
        <w:trPr>
          <w:trHeight w:val="285" w:hRule="atLeast"/>
        </w:trPr>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302</w:t>
            </w:r>
          </w:p>
        </w:tc>
        <w:tc>
          <w:tcPr>
            <w:tcW w:w="5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28</w:t>
            </w:r>
          </w:p>
        </w:tc>
        <w:tc>
          <w:tcPr>
            <w:tcW w:w="27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工会经费</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502</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01</w:t>
            </w:r>
          </w:p>
        </w:tc>
        <w:tc>
          <w:tcPr>
            <w:tcW w:w="18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办公经费</w:t>
            </w:r>
          </w:p>
        </w:tc>
        <w:tc>
          <w:tcPr>
            <w:tcW w:w="8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2.81</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2.81</w:t>
            </w:r>
          </w:p>
        </w:tc>
        <w:tc>
          <w:tcPr>
            <w:tcW w:w="1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2.81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4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CellMar>
            <w:top w:w="0" w:type="dxa"/>
            <w:left w:w="108" w:type="dxa"/>
            <w:bottom w:w="0" w:type="dxa"/>
            <w:right w:w="108" w:type="dxa"/>
          </w:tblCellMar>
        </w:tblPrEx>
        <w:trPr>
          <w:trHeight w:val="285" w:hRule="atLeast"/>
        </w:trPr>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302</w:t>
            </w:r>
          </w:p>
        </w:tc>
        <w:tc>
          <w:tcPr>
            <w:tcW w:w="5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31</w:t>
            </w:r>
          </w:p>
        </w:tc>
        <w:tc>
          <w:tcPr>
            <w:tcW w:w="27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公务用车运行维护费</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502</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08</w:t>
            </w:r>
          </w:p>
        </w:tc>
        <w:tc>
          <w:tcPr>
            <w:tcW w:w="18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公务用车运行维护费</w:t>
            </w:r>
          </w:p>
        </w:tc>
        <w:tc>
          <w:tcPr>
            <w:tcW w:w="8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5.50</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5.50</w:t>
            </w:r>
          </w:p>
        </w:tc>
        <w:tc>
          <w:tcPr>
            <w:tcW w:w="1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5.50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4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CellMar>
            <w:top w:w="0" w:type="dxa"/>
            <w:left w:w="108" w:type="dxa"/>
            <w:bottom w:w="0" w:type="dxa"/>
            <w:right w:w="108" w:type="dxa"/>
          </w:tblCellMar>
        </w:tblPrEx>
        <w:trPr>
          <w:trHeight w:val="285" w:hRule="atLeast"/>
        </w:trPr>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301</w:t>
            </w:r>
          </w:p>
        </w:tc>
        <w:tc>
          <w:tcPr>
            <w:tcW w:w="5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13</w:t>
            </w:r>
          </w:p>
        </w:tc>
        <w:tc>
          <w:tcPr>
            <w:tcW w:w="27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住房公积金</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501</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03</w:t>
            </w:r>
          </w:p>
        </w:tc>
        <w:tc>
          <w:tcPr>
            <w:tcW w:w="18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住房公积金</w:t>
            </w:r>
          </w:p>
        </w:tc>
        <w:tc>
          <w:tcPr>
            <w:tcW w:w="8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25.95</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25.95</w:t>
            </w:r>
          </w:p>
        </w:tc>
        <w:tc>
          <w:tcPr>
            <w:tcW w:w="1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25.95</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4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8"/>
        <w:tblW w:w="13032" w:type="dxa"/>
        <w:tblInd w:w="1101" w:type="dxa"/>
        <w:tblLayout w:type="fixed"/>
        <w:tblCellMar>
          <w:top w:w="0" w:type="dxa"/>
          <w:left w:w="108" w:type="dxa"/>
          <w:bottom w:w="0" w:type="dxa"/>
          <w:right w:w="108" w:type="dxa"/>
        </w:tblCellMar>
      </w:tblPr>
      <w:tblGrid>
        <w:gridCol w:w="2172"/>
        <w:gridCol w:w="2172"/>
        <w:gridCol w:w="2172"/>
        <w:gridCol w:w="2172"/>
        <w:gridCol w:w="2172"/>
        <w:gridCol w:w="2172"/>
      </w:tblGrid>
      <w:tr>
        <w:tblPrEx>
          <w:tblCellMar>
            <w:top w:w="0" w:type="dxa"/>
            <w:left w:w="108" w:type="dxa"/>
            <w:bottom w:w="0" w:type="dxa"/>
            <w:right w:w="108" w:type="dxa"/>
          </w:tblCellMar>
        </w:tblPrEx>
        <w:trPr>
          <w:trHeight w:val="285" w:hRule="atLeast"/>
        </w:trPr>
        <w:tc>
          <w:tcPr>
            <w:tcW w:w="13032" w:type="dxa"/>
            <w:gridSpan w:val="6"/>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预算08表</w:t>
            </w:r>
          </w:p>
        </w:tc>
      </w:tr>
      <w:tr>
        <w:tblPrEx>
          <w:tblCellMar>
            <w:top w:w="0" w:type="dxa"/>
            <w:left w:w="108" w:type="dxa"/>
            <w:bottom w:w="0" w:type="dxa"/>
            <w:right w:w="108" w:type="dxa"/>
          </w:tblCellMar>
        </w:tblPrEx>
        <w:trPr>
          <w:trHeight w:val="570" w:hRule="atLeast"/>
        </w:trPr>
        <w:tc>
          <w:tcPr>
            <w:tcW w:w="13032" w:type="dxa"/>
            <w:gridSpan w:val="6"/>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cs="宋体"/>
                <w:b/>
                <w:bCs/>
                <w:kern w:val="0"/>
                <w:sz w:val="38"/>
                <w:szCs w:val="38"/>
                <w:highlight w:val="none"/>
              </w:rPr>
            </w:pPr>
            <w:r>
              <w:rPr>
                <w:rFonts w:ascii="宋体" w:hAnsi="宋体" w:eastAsia="宋体" w:cs="宋体"/>
                <w:b/>
                <w:bCs/>
                <w:i w:val="0"/>
                <w:iCs w:val="0"/>
                <w:color w:val="000000"/>
                <w:kern w:val="0"/>
                <w:sz w:val="38"/>
                <w:szCs w:val="38"/>
                <w:u w:val="none"/>
                <w:lang w:val="en-US" w:eastAsia="zh-CN" w:bidi="ar"/>
              </w:rPr>
              <w:t>2024年一般公共预算“三公”经费支出情况表</w:t>
            </w:r>
          </w:p>
        </w:tc>
      </w:tr>
      <w:tr>
        <w:tblPrEx>
          <w:tblCellMar>
            <w:top w:w="0" w:type="dxa"/>
            <w:left w:w="108" w:type="dxa"/>
            <w:bottom w:w="0" w:type="dxa"/>
            <w:right w:w="108" w:type="dxa"/>
          </w:tblCellMar>
        </w:tblPrEx>
        <w:trPr>
          <w:trHeight w:val="285" w:hRule="atLeast"/>
        </w:trPr>
        <w:tc>
          <w:tcPr>
            <w:tcW w:w="10860" w:type="dxa"/>
            <w:gridSpan w:val="5"/>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hint="eastAsia" w:ascii="宋体" w:hAnsi="宋体" w:cs="宋体"/>
                <w:i w:val="0"/>
                <w:iCs w:val="0"/>
                <w:color w:val="000000"/>
                <w:kern w:val="0"/>
                <w:sz w:val="18"/>
                <w:szCs w:val="18"/>
                <w:u w:val="none"/>
                <w:lang w:val="en-US" w:eastAsia="zh-CN" w:bidi="ar"/>
              </w:rPr>
              <w:t>单位</w:t>
            </w:r>
            <w:r>
              <w:rPr>
                <w:rFonts w:ascii="宋体" w:hAnsi="宋体" w:eastAsia="宋体" w:cs="宋体"/>
                <w:i w:val="0"/>
                <w:iCs w:val="0"/>
                <w:color w:val="000000"/>
                <w:kern w:val="0"/>
                <w:sz w:val="18"/>
                <w:szCs w:val="18"/>
                <w:u w:val="none"/>
                <w:lang w:val="en-US" w:eastAsia="zh-CN" w:bidi="ar"/>
              </w:rPr>
              <w:t>名称：新乡市卫滨区城市管理局</w:t>
            </w:r>
          </w:p>
        </w:tc>
        <w:tc>
          <w:tcPr>
            <w:tcW w:w="2172" w:type="dxa"/>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单位：万元</w:t>
            </w:r>
          </w:p>
        </w:tc>
      </w:tr>
      <w:tr>
        <w:tblPrEx>
          <w:tblCellMar>
            <w:top w:w="0" w:type="dxa"/>
            <w:left w:w="108" w:type="dxa"/>
            <w:bottom w:w="0" w:type="dxa"/>
            <w:right w:w="108" w:type="dxa"/>
          </w:tblCellMar>
        </w:tblPrEx>
        <w:trPr>
          <w:trHeight w:val="285" w:hRule="atLeast"/>
        </w:trPr>
        <w:tc>
          <w:tcPr>
            <w:tcW w:w="21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“三公”经费合计</w:t>
            </w:r>
          </w:p>
        </w:tc>
        <w:tc>
          <w:tcPr>
            <w:tcW w:w="21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因公出国（境）费</w:t>
            </w:r>
          </w:p>
        </w:tc>
        <w:tc>
          <w:tcPr>
            <w:tcW w:w="6516" w:type="dxa"/>
            <w:gridSpan w:val="3"/>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公务用车购置及运行费</w:t>
            </w:r>
          </w:p>
        </w:tc>
        <w:tc>
          <w:tcPr>
            <w:tcW w:w="21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公务接待费</w:t>
            </w:r>
          </w:p>
        </w:tc>
      </w:tr>
      <w:tr>
        <w:tblPrEx>
          <w:tblCellMar>
            <w:top w:w="0" w:type="dxa"/>
            <w:left w:w="108" w:type="dxa"/>
            <w:bottom w:w="0" w:type="dxa"/>
            <w:right w:w="108" w:type="dxa"/>
          </w:tblCellMar>
        </w:tblPrEx>
        <w:trPr>
          <w:trHeight w:val="285" w:hRule="atLeast"/>
        </w:trPr>
        <w:tc>
          <w:tcPr>
            <w:tcW w:w="217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217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217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小计</w:t>
            </w:r>
          </w:p>
        </w:tc>
        <w:tc>
          <w:tcPr>
            <w:tcW w:w="217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公务用车购置费</w:t>
            </w:r>
          </w:p>
        </w:tc>
        <w:tc>
          <w:tcPr>
            <w:tcW w:w="217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公务用车运行费</w:t>
            </w:r>
          </w:p>
        </w:tc>
        <w:tc>
          <w:tcPr>
            <w:tcW w:w="217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2172"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5.50</w:t>
            </w:r>
          </w:p>
        </w:tc>
        <w:tc>
          <w:tcPr>
            <w:tcW w:w="217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217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5.50</w:t>
            </w:r>
          </w:p>
        </w:tc>
        <w:tc>
          <w:tcPr>
            <w:tcW w:w="217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217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5.50</w:t>
            </w:r>
          </w:p>
        </w:tc>
        <w:tc>
          <w:tcPr>
            <w:tcW w:w="217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1448" w:hRule="atLeast"/>
        </w:trPr>
        <w:tc>
          <w:tcPr>
            <w:tcW w:w="13032" w:type="dxa"/>
            <w:gridSpan w:val="6"/>
            <w:tcBorders>
              <w:top w:val="nil"/>
              <w:left w:val="nil"/>
              <w:bottom w:val="nil"/>
              <w:right w:val="nil"/>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注：按照党中央、国务院有关规定及部门预算管理有关规定，“三公”经费包括因公出国（境）费、公务用车购置及运行费和公务接待费。（1）因公出国（境）费，指单位工作人员公务出国（境）的住宿费、旅费、伙食补助费、杂费、培训费等支出。（2）公务用车购置及运行费，指单位公务用车购置费及租用费、燃料费、维修费、过路过桥费、保险费、安全奖励费用等支出，公务用车指用于履行公务的机动车辆，包括领导干部专车、一般公务用车和执法执勤用车。（3）公务接待费，指单位按规定开支的各类公务接待（含外宾接待）支出。</w:t>
            </w: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8"/>
        <w:tblpPr w:leftFromText="180" w:rightFromText="180" w:vertAnchor="text" w:horzAnchor="page" w:tblpX="916" w:tblpY="357"/>
        <w:tblOverlap w:val="never"/>
        <w:tblW w:w="15270" w:type="dxa"/>
        <w:tblInd w:w="0" w:type="dxa"/>
        <w:tblLayout w:type="fixed"/>
        <w:tblCellMar>
          <w:top w:w="0" w:type="dxa"/>
          <w:left w:w="108" w:type="dxa"/>
          <w:bottom w:w="0" w:type="dxa"/>
          <w:right w:w="108" w:type="dxa"/>
        </w:tblCellMar>
      </w:tblPr>
      <w:tblGrid>
        <w:gridCol w:w="491"/>
        <w:gridCol w:w="491"/>
        <w:gridCol w:w="492"/>
        <w:gridCol w:w="737"/>
        <w:gridCol w:w="2460"/>
        <w:gridCol w:w="1171"/>
        <w:gridCol w:w="1171"/>
        <w:gridCol w:w="1171"/>
        <w:gridCol w:w="1171"/>
        <w:gridCol w:w="1171"/>
        <w:gridCol w:w="1171"/>
        <w:gridCol w:w="1171"/>
        <w:gridCol w:w="1172"/>
        <w:gridCol w:w="1230"/>
      </w:tblGrid>
      <w:tr>
        <w:tblPrEx>
          <w:tblCellMar>
            <w:top w:w="0" w:type="dxa"/>
            <w:left w:w="108" w:type="dxa"/>
            <w:bottom w:w="0" w:type="dxa"/>
            <w:right w:w="108" w:type="dxa"/>
          </w:tblCellMar>
        </w:tblPrEx>
        <w:trPr>
          <w:trHeight w:val="285" w:hRule="atLeast"/>
        </w:trPr>
        <w:tc>
          <w:tcPr>
            <w:tcW w:w="15270" w:type="dxa"/>
            <w:gridSpan w:val="14"/>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cs="宋体"/>
                <w:color w:val="000000"/>
                <w:sz w:val="18"/>
                <w:szCs w:val="18"/>
                <w:highlight w:val="none"/>
              </w:rPr>
            </w:pPr>
            <w:r>
              <w:rPr>
                <w:rFonts w:ascii="宋体" w:hAnsi="宋体" w:eastAsia="宋体" w:cs="宋体"/>
                <w:i w:val="0"/>
                <w:iCs w:val="0"/>
                <w:color w:val="000000"/>
                <w:kern w:val="0"/>
                <w:sz w:val="18"/>
                <w:szCs w:val="18"/>
                <w:u w:val="none"/>
                <w:lang w:val="en-US" w:eastAsia="zh-CN" w:bidi="ar"/>
              </w:rPr>
              <w:t>预算09表</w:t>
            </w:r>
          </w:p>
        </w:tc>
      </w:tr>
      <w:tr>
        <w:tblPrEx>
          <w:tblCellMar>
            <w:top w:w="0" w:type="dxa"/>
            <w:left w:w="108" w:type="dxa"/>
            <w:bottom w:w="0" w:type="dxa"/>
            <w:right w:w="108" w:type="dxa"/>
          </w:tblCellMar>
        </w:tblPrEx>
        <w:trPr>
          <w:trHeight w:val="570" w:hRule="atLeast"/>
        </w:trPr>
        <w:tc>
          <w:tcPr>
            <w:tcW w:w="15270"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cs="宋体"/>
                <w:b/>
                <w:bCs/>
                <w:color w:val="000000"/>
                <w:sz w:val="38"/>
                <w:szCs w:val="38"/>
                <w:highlight w:val="none"/>
              </w:rPr>
            </w:pPr>
            <w:r>
              <w:rPr>
                <w:rFonts w:ascii="宋体" w:hAnsi="宋体" w:eastAsia="宋体" w:cs="宋体"/>
                <w:b/>
                <w:bCs/>
                <w:i w:val="0"/>
                <w:iCs w:val="0"/>
                <w:color w:val="000000"/>
                <w:kern w:val="0"/>
                <w:sz w:val="38"/>
                <w:szCs w:val="38"/>
                <w:u w:val="none"/>
                <w:lang w:val="en-US" w:eastAsia="zh-CN" w:bidi="ar"/>
              </w:rPr>
              <w:t>2024年政府性基金预算支出情况表</w:t>
            </w:r>
          </w:p>
        </w:tc>
      </w:tr>
      <w:tr>
        <w:tblPrEx>
          <w:tblCellMar>
            <w:top w:w="0" w:type="dxa"/>
            <w:left w:w="108" w:type="dxa"/>
            <w:bottom w:w="0" w:type="dxa"/>
            <w:right w:w="108" w:type="dxa"/>
          </w:tblCellMar>
        </w:tblPrEx>
        <w:trPr>
          <w:trHeight w:val="285" w:hRule="atLeast"/>
        </w:trPr>
        <w:tc>
          <w:tcPr>
            <w:tcW w:w="14040" w:type="dxa"/>
            <w:gridSpan w:val="13"/>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宋体" w:hAnsi="宋体" w:cs="宋体"/>
                <w:color w:val="000000"/>
                <w:sz w:val="18"/>
                <w:szCs w:val="18"/>
                <w:highlight w:val="none"/>
              </w:rPr>
            </w:pPr>
            <w:r>
              <w:rPr>
                <w:rFonts w:hint="eastAsia" w:ascii="宋体" w:hAnsi="宋体" w:cs="宋体"/>
                <w:i w:val="0"/>
                <w:iCs w:val="0"/>
                <w:color w:val="000000"/>
                <w:kern w:val="0"/>
                <w:sz w:val="18"/>
                <w:szCs w:val="18"/>
                <w:u w:val="none"/>
                <w:lang w:val="en-US" w:eastAsia="zh-CN" w:bidi="ar"/>
              </w:rPr>
              <w:t>单位</w:t>
            </w:r>
            <w:r>
              <w:rPr>
                <w:rFonts w:ascii="宋体" w:hAnsi="宋体" w:eastAsia="宋体" w:cs="宋体"/>
                <w:i w:val="0"/>
                <w:iCs w:val="0"/>
                <w:color w:val="000000"/>
                <w:kern w:val="0"/>
                <w:sz w:val="18"/>
                <w:szCs w:val="18"/>
                <w:u w:val="none"/>
                <w:lang w:val="en-US" w:eastAsia="zh-CN" w:bidi="ar"/>
              </w:rPr>
              <w:t>名称：新乡市卫滨区城市管理局</w:t>
            </w:r>
          </w:p>
        </w:tc>
        <w:tc>
          <w:tcPr>
            <w:tcW w:w="1230" w:type="dxa"/>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cs="宋体"/>
                <w:color w:val="000000"/>
                <w:sz w:val="18"/>
                <w:szCs w:val="18"/>
                <w:highlight w:val="none"/>
              </w:rPr>
            </w:pPr>
            <w:r>
              <w:rPr>
                <w:rFonts w:ascii="宋体" w:hAnsi="宋体" w:eastAsia="宋体" w:cs="宋体"/>
                <w:i w:val="0"/>
                <w:iCs w:val="0"/>
                <w:color w:val="000000"/>
                <w:kern w:val="0"/>
                <w:sz w:val="18"/>
                <w:szCs w:val="18"/>
                <w:u w:val="none"/>
                <w:lang w:val="en-US" w:eastAsia="zh-CN" w:bidi="ar"/>
              </w:rPr>
              <w:t>单位：万元</w:t>
            </w:r>
          </w:p>
        </w:tc>
      </w:tr>
      <w:tr>
        <w:tblPrEx>
          <w:tblCellMar>
            <w:top w:w="0" w:type="dxa"/>
            <w:left w:w="108" w:type="dxa"/>
            <w:bottom w:w="0" w:type="dxa"/>
            <w:right w:w="108" w:type="dxa"/>
          </w:tblCellMar>
        </w:tblPrEx>
        <w:trPr>
          <w:trHeight w:val="285" w:hRule="atLeast"/>
        </w:trPr>
        <w:tc>
          <w:tcPr>
            <w:tcW w:w="1474"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color w:val="000000"/>
                <w:sz w:val="18"/>
                <w:szCs w:val="18"/>
                <w:highlight w:val="none"/>
              </w:rPr>
            </w:pPr>
            <w:r>
              <w:rPr>
                <w:rFonts w:ascii="宋体" w:hAnsi="宋体" w:eastAsia="宋体" w:cs="宋体"/>
                <w:i w:val="0"/>
                <w:iCs w:val="0"/>
                <w:color w:val="000000"/>
                <w:kern w:val="0"/>
                <w:sz w:val="18"/>
                <w:szCs w:val="18"/>
                <w:u w:val="none"/>
                <w:lang w:val="en-US" w:eastAsia="zh-CN" w:bidi="ar"/>
              </w:rPr>
              <w:t>科目编码</w:t>
            </w:r>
          </w:p>
        </w:tc>
        <w:tc>
          <w:tcPr>
            <w:tcW w:w="7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color w:val="000000"/>
                <w:sz w:val="18"/>
                <w:szCs w:val="18"/>
                <w:highlight w:val="none"/>
              </w:rPr>
            </w:pPr>
            <w:r>
              <w:rPr>
                <w:rFonts w:ascii="宋体" w:hAnsi="宋体" w:eastAsia="宋体" w:cs="宋体"/>
                <w:i w:val="0"/>
                <w:iCs w:val="0"/>
                <w:color w:val="000000"/>
                <w:kern w:val="0"/>
                <w:sz w:val="18"/>
                <w:szCs w:val="18"/>
                <w:u w:val="none"/>
                <w:lang w:val="en-US" w:eastAsia="zh-CN" w:bidi="ar"/>
              </w:rPr>
              <w:t>单位代码</w:t>
            </w:r>
          </w:p>
        </w:tc>
        <w:tc>
          <w:tcPr>
            <w:tcW w:w="24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color w:val="000000"/>
                <w:sz w:val="18"/>
                <w:szCs w:val="18"/>
                <w:highlight w:val="none"/>
              </w:rPr>
            </w:pPr>
            <w:r>
              <w:rPr>
                <w:rFonts w:ascii="宋体" w:hAnsi="宋体" w:eastAsia="宋体" w:cs="宋体"/>
                <w:i w:val="0"/>
                <w:iCs w:val="0"/>
                <w:color w:val="000000"/>
                <w:kern w:val="0"/>
                <w:sz w:val="18"/>
                <w:szCs w:val="18"/>
                <w:u w:val="none"/>
                <w:lang w:val="en-US" w:eastAsia="zh-CN" w:bidi="ar"/>
              </w:rPr>
              <w:t>单位（科目名称）</w:t>
            </w:r>
          </w:p>
        </w:tc>
        <w:tc>
          <w:tcPr>
            <w:tcW w:w="11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color w:val="000000"/>
                <w:sz w:val="18"/>
                <w:szCs w:val="18"/>
                <w:highlight w:val="none"/>
              </w:rPr>
            </w:pPr>
            <w:r>
              <w:rPr>
                <w:rFonts w:ascii="宋体" w:hAnsi="宋体" w:eastAsia="宋体" w:cs="宋体"/>
                <w:i w:val="0"/>
                <w:iCs w:val="0"/>
                <w:color w:val="000000"/>
                <w:kern w:val="0"/>
                <w:sz w:val="18"/>
                <w:szCs w:val="18"/>
                <w:u w:val="none"/>
                <w:lang w:val="en-US" w:eastAsia="zh-CN" w:bidi="ar"/>
              </w:rPr>
              <w:t>合计</w:t>
            </w:r>
          </w:p>
        </w:tc>
        <w:tc>
          <w:tcPr>
            <w:tcW w:w="585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color w:val="000000"/>
                <w:sz w:val="18"/>
                <w:szCs w:val="18"/>
                <w:highlight w:val="none"/>
              </w:rPr>
            </w:pPr>
            <w:r>
              <w:rPr>
                <w:rFonts w:ascii="宋体" w:hAnsi="宋体" w:eastAsia="宋体" w:cs="宋体"/>
                <w:i w:val="0"/>
                <w:iCs w:val="0"/>
                <w:color w:val="000000"/>
                <w:kern w:val="0"/>
                <w:sz w:val="18"/>
                <w:szCs w:val="18"/>
                <w:u w:val="none"/>
                <w:lang w:val="en-US" w:eastAsia="zh-CN" w:bidi="ar"/>
              </w:rPr>
              <w:t xml:space="preserve">基本支出  </w:t>
            </w:r>
          </w:p>
        </w:tc>
        <w:tc>
          <w:tcPr>
            <w:tcW w:w="357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color w:val="000000"/>
                <w:sz w:val="18"/>
                <w:szCs w:val="18"/>
                <w:highlight w:val="none"/>
              </w:rPr>
            </w:pPr>
            <w:r>
              <w:rPr>
                <w:rFonts w:ascii="宋体" w:hAnsi="宋体" w:eastAsia="宋体" w:cs="宋体"/>
                <w:i w:val="0"/>
                <w:iCs w:val="0"/>
                <w:color w:val="000000"/>
                <w:kern w:val="0"/>
                <w:sz w:val="18"/>
                <w:szCs w:val="18"/>
                <w:u w:val="none"/>
                <w:lang w:val="en-US" w:eastAsia="zh-CN" w:bidi="ar"/>
              </w:rPr>
              <w:t>项目支出</w:t>
            </w:r>
          </w:p>
        </w:tc>
      </w:tr>
      <w:tr>
        <w:tblPrEx>
          <w:tblCellMar>
            <w:top w:w="0" w:type="dxa"/>
            <w:left w:w="108" w:type="dxa"/>
            <w:bottom w:w="0" w:type="dxa"/>
            <w:right w:w="108" w:type="dxa"/>
          </w:tblCellMar>
        </w:tblPrEx>
        <w:trPr>
          <w:trHeight w:val="285" w:hRule="atLeast"/>
        </w:trPr>
        <w:tc>
          <w:tcPr>
            <w:tcW w:w="1474"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7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2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color w:val="000000"/>
                <w:sz w:val="18"/>
                <w:szCs w:val="18"/>
                <w:highlight w:val="none"/>
              </w:rPr>
            </w:pPr>
            <w:r>
              <w:rPr>
                <w:rFonts w:ascii="宋体" w:hAnsi="宋体" w:eastAsia="宋体" w:cs="宋体"/>
                <w:i w:val="0"/>
                <w:iCs w:val="0"/>
                <w:color w:val="000000"/>
                <w:kern w:val="0"/>
                <w:sz w:val="18"/>
                <w:szCs w:val="18"/>
                <w:u w:val="none"/>
                <w:lang w:val="en-US" w:eastAsia="zh-CN" w:bidi="ar"/>
              </w:rPr>
              <w:t>小计</w:t>
            </w:r>
          </w:p>
        </w:tc>
        <w:tc>
          <w:tcPr>
            <w:tcW w:w="23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color w:val="000000"/>
                <w:sz w:val="18"/>
                <w:szCs w:val="18"/>
                <w:highlight w:val="none"/>
              </w:rPr>
            </w:pPr>
            <w:r>
              <w:rPr>
                <w:rFonts w:ascii="宋体" w:hAnsi="宋体" w:eastAsia="宋体" w:cs="宋体"/>
                <w:i w:val="0"/>
                <w:iCs w:val="0"/>
                <w:color w:val="000000"/>
                <w:kern w:val="0"/>
                <w:sz w:val="18"/>
                <w:szCs w:val="18"/>
                <w:u w:val="none"/>
                <w:lang w:val="en-US" w:eastAsia="zh-CN" w:bidi="ar"/>
              </w:rPr>
              <w:t>人员经费</w:t>
            </w:r>
          </w:p>
        </w:tc>
        <w:tc>
          <w:tcPr>
            <w:tcW w:w="23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color w:val="000000"/>
                <w:sz w:val="18"/>
                <w:szCs w:val="18"/>
                <w:highlight w:val="none"/>
              </w:rPr>
            </w:pPr>
            <w:r>
              <w:rPr>
                <w:rFonts w:ascii="宋体" w:hAnsi="宋体" w:eastAsia="宋体" w:cs="宋体"/>
                <w:i w:val="0"/>
                <w:iCs w:val="0"/>
                <w:color w:val="000000"/>
                <w:kern w:val="0"/>
                <w:sz w:val="18"/>
                <w:szCs w:val="18"/>
                <w:u w:val="none"/>
                <w:lang w:val="en-US" w:eastAsia="zh-CN" w:bidi="ar"/>
              </w:rPr>
              <w:t>公用经费</w:t>
            </w:r>
          </w:p>
        </w:tc>
        <w:tc>
          <w:tcPr>
            <w:tcW w:w="11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color w:val="000000"/>
                <w:sz w:val="18"/>
                <w:szCs w:val="18"/>
                <w:highlight w:val="none"/>
              </w:rPr>
            </w:pPr>
            <w:r>
              <w:rPr>
                <w:rFonts w:ascii="宋体" w:hAnsi="宋体" w:eastAsia="宋体" w:cs="宋体"/>
                <w:i w:val="0"/>
                <w:iCs w:val="0"/>
                <w:color w:val="000000"/>
                <w:kern w:val="0"/>
                <w:sz w:val="18"/>
                <w:szCs w:val="18"/>
                <w:u w:val="none"/>
                <w:lang w:val="en-US" w:eastAsia="zh-CN" w:bidi="ar"/>
              </w:rPr>
              <w:t>小计</w:t>
            </w:r>
          </w:p>
        </w:tc>
        <w:tc>
          <w:tcPr>
            <w:tcW w:w="11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color w:val="000000"/>
                <w:sz w:val="18"/>
                <w:szCs w:val="18"/>
                <w:highlight w:val="none"/>
              </w:rPr>
            </w:pPr>
            <w:r>
              <w:rPr>
                <w:rFonts w:ascii="宋体" w:hAnsi="宋体" w:eastAsia="宋体" w:cs="宋体"/>
                <w:i w:val="0"/>
                <w:iCs w:val="0"/>
                <w:color w:val="000000"/>
                <w:kern w:val="0"/>
                <w:sz w:val="18"/>
                <w:szCs w:val="18"/>
                <w:u w:val="none"/>
                <w:lang w:val="en-US" w:eastAsia="zh-CN" w:bidi="ar"/>
              </w:rPr>
              <w:t>其他运转类</w:t>
            </w:r>
          </w:p>
        </w:tc>
        <w:tc>
          <w:tcPr>
            <w:tcW w:w="12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color w:val="000000"/>
                <w:sz w:val="18"/>
                <w:szCs w:val="18"/>
                <w:highlight w:val="none"/>
              </w:rPr>
            </w:pPr>
            <w:r>
              <w:rPr>
                <w:rFonts w:ascii="宋体" w:hAnsi="宋体" w:eastAsia="宋体" w:cs="宋体"/>
                <w:i w:val="0"/>
                <w:iCs w:val="0"/>
                <w:color w:val="000000"/>
                <w:kern w:val="0"/>
                <w:sz w:val="18"/>
                <w:szCs w:val="18"/>
                <w:u w:val="none"/>
                <w:lang w:val="en-US" w:eastAsia="zh-CN" w:bidi="ar"/>
              </w:rPr>
              <w:t>特定目标类</w:t>
            </w:r>
          </w:p>
        </w:tc>
      </w:tr>
      <w:tr>
        <w:tblPrEx>
          <w:tblCellMar>
            <w:top w:w="0" w:type="dxa"/>
            <w:left w:w="108" w:type="dxa"/>
            <w:bottom w:w="0" w:type="dxa"/>
            <w:right w:w="108" w:type="dxa"/>
          </w:tblCellMar>
        </w:tblPrEx>
        <w:trPr>
          <w:trHeight w:val="679" w:hRule="atLeast"/>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color w:val="000000"/>
                <w:sz w:val="18"/>
                <w:szCs w:val="18"/>
                <w:highlight w:val="none"/>
              </w:rPr>
            </w:pPr>
            <w:r>
              <w:rPr>
                <w:rFonts w:ascii="宋体" w:hAnsi="宋体" w:eastAsia="宋体" w:cs="宋体"/>
                <w:i w:val="0"/>
                <w:iCs w:val="0"/>
                <w:color w:val="000000"/>
                <w:kern w:val="0"/>
                <w:sz w:val="18"/>
                <w:szCs w:val="18"/>
                <w:u w:val="none"/>
                <w:lang w:val="en-US" w:eastAsia="zh-CN" w:bidi="ar"/>
              </w:rPr>
              <w:t>类</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color w:val="000000"/>
                <w:sz w:val="18"/>
                <w:szCs w:val="18"/>
                <w:highlight w:val="none"/>
              </w:rPr>
            </w:pPr>
            <w:r>
              <w:rPr>
                <w:rFonts w:ascii="宋体" w:hAnsi="宋体" w:eastAsia="宋体" w:cs="宋体"/>
                <w:i w:val="0"/>
                <w:iCs w:val="0"/>
                <w:color w:val="000000"/>
                <w:kern w:val="0"/>
                <w:sz w:val="18"/>
                <w:szCs w:val="18"/>
                <w:u w:val="none"/>
                <w:lang w:val="en-US" w:eastAsia="zh-CN" w:bidi="ar"/>
              </w:rPr>
              <w:t>款</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color w:val="000000"/>
                <w:sz w:val="18"/>
                <w:szCs w:val="18"/>
                <w:highlight w:val="none"/>
              </w:rPr>
            </w:pPr>
            <w:r>
              <w:rPr>
                <w:rFonts w:ascii="宋体" w:hAnsi="宋体" w:eastAsia="宋体" w:cs="宋体"/>
                <w:i w:val="0"/>
                <w:iCs w:val="0"/>
                <w:color w:val="000000"/>
                <w:kern w:val="0"/>
                <w:sz w:val="18"/>
                <w:szCs w:val="18"/>
                <w:u w:val="none"/>
                <w:lang w:val="en-US" w:eastAsia="zh-CN" w:bidi="ar"/>
              </w:rPr>
              <w:t>项</w:t>
            </w:r>
          </w:p>
        </w:tc>
        <w:tc>
          <w:tcPr>
            <w:tcW w:w="7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2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color w:val="000000"/>
                <w:sz w:val="18"/>
                <w:szCs w:val="18"/>
                <w:highlight w:val="none"/>
              </w:rPr>
            </w:pPr>
            <w:r>
              <w:rPr>
                <w:rFonts w:ascii="宋体" w:hAnsi="宋体" w:eastAsia="宋体" w:cs="宋体"/>
                <w:i w:val="0"/>
                <w:iCs w:val="0"/>
                <w:color w:val="000000"/>
                <w:kern w:val="0"/>
                <w:sz w:val="18"/>
                <w:szCs w:val="18"/>
                <w:u w:val="none"/>
                <w:lang w:val="en-US" w:eastAsia="zh-CN" w:bidi="ar"/>
              </w:rPr>
              <w:t>工资福利支出</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color w:val="000000"/>
                <w:sz w:val="18"/>
                <w:szCs w:val="18"/>
                <w:highlight w:val="none"/>
              </w:rPr>
            </w:pPr>
            <w:r>
              <w:rPr>
                <w:rFonts w:ascii="宋体" w:hAnsi="宋体" w:eastAsia="宋体" w:cs="宋体"/>
                <w:i w:val="0"/>
                <w:iCs w:val="0"/>
                <w:color w:val="000000"/>
                <w:kern w:val="0"/>
                <w:sz w:val="18"/>
                <w:szCs w:val="18"/>
                <w:u w:val="none"/>
                <w:lang w:val="en-US" w:eastAsia="zh-CN" w:bidi="ar"/>
              </w:rPr>
              <w:t>对个人和家庭的补助</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color w:val="000000"/>
                <w:sz w:val="18"/>
                <w:szCs w:val="18"/>
                <w:highlight w:val="none"/>
              </w:rPr>
            </w:pPr>
            <w:r>
              <w:rPr>
                <w:rFonts w:ascii="宋体" w:hAnsi="宋体" w:eastAsia="宋体" w:cs="宋体"/>
                <w:i w:val="0"/>
                <w:iCs w:val="0"/>
                <w:color w:val="000000"/>
                <w:kern w:val="0"/>
                <w:sz w:val="18"/>
                <w:szCs w:val="18"/>
                <w:u w:val="none"/>
                <w:lang w:val="en-US" w:eastAsia="zh-CN" w:bidi="ar"/>
              </w:rPr>
              <w:t>商品和服务支出</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color w:val="000000"/>
                <w:sz w:val="18"/>
                <w:szCs w:val="18"/>
                <w:highlight w:val="none"/>
              </w:rPr>
            </w:pPr>
            <w:r>
              <w:rPr>
                <w:rFonts w:ascii="宋体" w:hAnsi="宋体" w:eastAsia="宋体" w:cs="宋体"/>
                <w:i w:val="0"/>
                <w:iCs w:val="0"/>
                <w:color w:val="000000"/>
                <w:kern w:val="0"/>
                <w:sz w:val="18"/>
                <w:szCs w:val="18"/>
                <w:u w:val="none"/>
                <w:lang w:val="en-US" w:eastAsia="zh-CN" w:bidi="ar"/>
              </w:rPr>
              <w:t>资本性支出</w:t>
            </w:r>
          </w:p>
        </w:tc>
        <w:tc>
          <w:tcPr>
            <w:tcW w:w="11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r>
      <w:tr>
        <w:tblPrEx>
          <w:tblCellMar>
            <w:top w:w="0" w:type="dxa"/>
            <w:left w:w="108" w:type="dxa"/>
            <w:bottom w:w="0" w:type="dxa"/>
            <w:right w:w="108" w:type="dxa"/>
          </w:tblCellMar>
        </w:tblPrEx>
        <w:trPr>
          <w:trHeight w:val="285" w:hRule="atLeast"/>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color w:val="000000"/>
                <w:sz w:val="18"/>
                <w:szCs w:val="18"/>
                <w:highlight w:val="none"/>
              </w:rPr>
            </w:pPr>
            <w:r>
              <w:rPr>
                <w:rFonts w:ascii="宋体" w:hAnsi="宋体" w:eastAsia="宋体" w:cs="宋体"/>
                <w:i w:val="0"/>
                <w:iCs w:val="0"/>
                <w:color w:val="000000"/>
                <w:kern w:val="0"/>
                <w:sz w:val="18"/>
                <w:szCs w:val="18"/>
                <w:u w:val="none"/>
                <w:lang w:val="en-US" w:eastAsia="zh-CN" w:bidi="ar"/>
              </w:rPr>
              <w:t xml:space="preserve"> </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color w:val="000000"/>
                <w:sz w:val="18"/>
                <w:szCs w:val="18"/>
                <w:highlight w:val="none"/>
              </w:rPr>
            </w:pPr>
            <w:r>
              <w:rPr>
                <w:rFonts w:ascii="宋体" w:hAnsi="宋体" w:eastAsia="宋体" w:cs="宋体"/>
                <w:i w:val="0"/>
                <w:iCs w:val="0"/>
                <w:color w:val="000000"/>
                <w:kern w:val="0"/>
                <w:sz w:val="18"/>
                <w:szCs w:val="18"/>
                <w:u w:val="none"/>
                <w:lang w:val="en-US" w:eastAsia="zh-CN" w:bidi="ar"/>
              </w:rPr>
              <w:t>合计</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r>
      <w:tr>
        <w:tblPrEx>
          <w:tblCellMar>
            <w:top w:w="0" w:type="dxa"/>
            <w:left w:w="108" w:type="dxa"/>
            <w:bottom w:w="0" w:type="dxa"/>
            <w:right w:w="108" w:type="dxa"/>
          </w:tblCellMar>
        </w:tblPrEx>
        <w:trPr>
          <w:trHeight w:val="285" w:hRule="atLeast"/>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r>
      <w:tr>
        <w:tblPrEx>
          <w:tblCellMar>
            <w:top w:w="0" w:type="dxa"/>
            <w:left w:w="108" w:type="dxa"/>
            <w:bottom w:w="0" w:type="dxa"/>
            <w:right w:w="108" w:type="dxa"/>
          </w:tblCellMar>
        </w:tblPrEx>
        <w:trPr>
          <w:trHeight w:val="285" w:hRule="atLeast"/>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r>
    </w:tbl>
    <w:p>
      <w:pPr>
        <w:kinsoku w:val="0"/>
        <w:overflowPunct w:val="0"/>
        <w:adjustRightInd w:val="0"/>
        <w:snapToGrid w:val="0"/>
        <w:spacing w:line="360" w:lineRule="auto"/>
        <w:ind w:right="51"/>
        <w:jc w:val="left"/>
        <w:rPr>
          <w:rFonts w:ascii="仿宋_GB2312" w:eastAsia="仿宋_GB2312"/>
          <w:sz w:val="32"/>
          <w:szCs w:val="32"/>
          <w:highlight w:val="none"/>
        </w:rPr>
      </w:pPr>
    </w:p>
    <w:p>
      <w:pPr>
        <w:tabs>
          <w:tab w:val="left" w:pos="5760"/>
        </w:tabs>
        <w:ind w:firstLine="180" w:firstLineChars="100"/>
        <w:rPr>
          <w:rFonts w:hint="eastAsia" w:ascii="宋体" w:hAnsi="宋体" w:eastAsia="宋体" w:cs="宋体"/>
          <w:sz w:val="18"/>
          <w:szCs w:val="18"/>
          <w:highlight w:val="none"/>
        </w:rPr>
      </w:pPr>
      <w:r>
        <w:rPr>
          <w:rFonts w:hint="eastAsia" w:ascii="宋体" w:hAnsi="宋体" w:cs="宋体"/>
          <w:kern w:val="0"/>
          <w:sz w:val="18"/>
          <w:szCs w:val="18"/>
          <w:highlight w:val="none"/>
          <w:lang w:eastAsia="zh-CN"/>
        </w:rPr>
        <w:t>说明：</w:t>
      </w:r>
      <w:r>
        <w:rPr>
          <w:rFonts w:hint="eastAsia" w:ascii="宋体" w:hAnsi="宋体" w:eastAsia="宋体" w:cs="宋体"/>
          <w:kern w:val="2"/>
          <w:sz w:val="18"/>
          <w:szCs w:val="18"/>
          <w:highlight w:val="none"/>
          <w:lang w:val="en-US" w:eastAsia="zh-CN" w:bidi="ar-SA"/>
        </w:rPr>
        <w:t>我们单位没有政府性基金收入，也没有使用政府性基金安排支出，故此表无数据</w:t>
      </w:r>
    </w:p>
    <w:p>
      <w:pPr>
        <w:kinsoku w:val="0"/>
        <w:overflowPunct w:val="0"/>
        <w:adjustRightInd w:val="0"/>
        <w:snapToGrid w:val="0"/>
        <w:spacing w:line="360" w:lineRule="auto"/>
        <w:ind w:right="51"/>
        <w:jc w:val="left"/>
        <w:rPr>
          <w:rFonts w:ascii="仿宋_GB2312" w:eastAsia="仿宋_GB2312"/>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8"/>
        <w:tblpPr w:leftFromText="180" w:rightFromText="180" w:vertAnchor="text" w:horzAnchor="page" w:tblpX="1531" w:tblpY="325"/>
        <w:tblOverlap w:val="never"/>
        <w:tblW w:w="14097" w:type="dxa"/>
        <w:tblInd w:w="0" w:type="dxa"/>
        <w:tblLayout w:type="fixed"/>
        <w:tblCellMar>
          <w:top w:w="0" w:type="dxa"/>
          <w:left w:w="108" w:type="dxa"/>
          <w:bottom w:w="0" w:type="dxa"/>
          <w:right w:w="108" w:type="dxa"/>
        </w:tblCellMar>
      </w:tblPr>
      <w:tblGrid>
        <w:gridCol w:w="1169"/>
        <w:gridCol w:w="1169"/>
        <w:gridCol w:w="1170"/>
        <w:gridCol w:w="1170"/>
        <w:gridCol w:w="1170"/>
        <w:gridCol w:w="1170"/>
        <w:gridCol w:w="1170"/>
        <w:gridCol w:w="1170"/>
        <w:gridCol w:w="1170"/>
        <w:gridCol w:w="1170"/>
        <w:gridCol w:w="1170"/>
        <w:gridCol w:w="1229"/>
      </w:tblGrid>
      <w:tr>
        <w:tblPrEx>
          <w:tblCellMar>
            <w:top w:w="0" w:type="dxa"/>
            <w:left w:w="108" w:type="dxa"/>
            <w:bottom w:w="0" w:type="dxa"/>
            <w:right w:w="108" w:type="dxa"/>
          </w:tblCellMar>
        </w:tblPrEx>
        <w:trPr>
          <w:trHeight w:val="285" w:hRule="atLeast"/>
        </w:trPr>
        <w:tc>
          <w:tcPr>
            <w:tcW w:w="14097" w:type="dxa"/>
            <w:gridSpan w:val="12"/>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预算10表</w:t>
            </w:r>
          </w:p>
        </w:tc>
      </w:tr>
      <w:tr>
        <w:tblPrEx>
          <w:tblCellMar>
            <w:top w:w="0" w:type="dxa"/>
            <w:left w:w="108" w:type="dxa"/>
            <w:bottom w:w="0" w:type="dxa"/>
            <w:right w:w="108" w:type="dxa"/>
          </w:tblCellMar>
        </w:tblPrEx>
        <w:trPr>
          <w:trHeight w:val="570" w:hRule="atLeast"/>
        </w:trPr>
        <w:tc>
          <w:tcPr>
            <w:tcW w:w="14097" w:type="dxa"/>
            <w:gridSpan w:val="12"/>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cs="宋体"/>
                <w:b/>
                <w:bCs/>
                <w:kern w:val="0"/>
                <w:sz w:val="38"/>
                <w:szCs w:val="38"/>
                <w:highlight w:val="none"/>
              </w:rPr>
            </w:pPr>
            <w:r>
              <w:rPr>
                <w:rFonts w:ascii="宋体" w:hAnsi="宋体" w:eastAsia="宋体" w:cs="宋体"/>
                <w:b/>
                <w:bCs/>
                <w:i w:val="0"/>
                <w:iCs w:val="0"/>
                <w:color w:val="000000"/>
                <w:kern w:val="0"/>
                <w:sz w:val="38"/>
                <w:szCs w:val="38"/>
                <w:u w:val="none"/>
                <w:lang w:val="en-US" w:eastAsia="zh-CN" w:bidi="ar"/>
              </w:rPr>
              <w:t>2024年项目支出表</w:t>
            </w:r>
          </w:p>
        </w:tc>
      </w:tr>
      <w:tr>
        <w:tblPrEx>
          <w:tblCellMar>
            <w:top w:w="0" w:type="dxa"/>
            <w:left w:w="108" w:type="dxa"/>
            <w:bottom w:w="0" w:type="dxa"/>
            <w:right w:w="108" w:type="dxa"/>
          </w:tblCellMar>
        </w:tblPrEx>
        <w:trPr>
          <w:trHeight w:val="285" w:hRule="atLeast"/>
        </w:trPr>
        <w:tc>
          <w:tcPr>
            <w:tcW w:w="12868" w:type="dxa"/>
            <w:gridSpan w:val="11"/>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hint="eastAsia" w:ascii="宋体" w:hAnsi="宋体" w:cs="宋体"/>
                <w:i w:val="0"/>
                <w:iCs w:val="0"/>
                <w:color w:val="000000"/>
                <w:kern w:val="0"/>
                <w:sz w:val="18"/>
                <w:szCs w:val="18"/>
                <w:u w:val="none"/>
                <w:lang w:val="en-US" w:eastAsia="zh-CN" w:bidi="ar"/>
              </w:rPr>
              <w:t>单位</w:t>
            </w:r>
            <w:r>
              <w:rPr>
                <w:rFonts w:ascii="宋体" w:hAnsi="宋体" w:eastAsia="宋体" w:cs="宋体"/>
                <w:i w:val="0"/>
                <w:iCs w:val="0"/>
                <w:color w:val="000000"/>
                <w:kern w:val="0"/>
                <w:sz w:val="18"/>
                <w:szCs w:val="18"/>
                <w:u w:val="none"/>
                <w:lang w:val="en-US" w:eastAsia="zh-CN" w:bidi="ar"/>
              </w:rPr>
              <w:t>名称：新乡市卫滨区城市管理局</w:t>
            </w:r>
          </w:p>
        </w:tc>
        <w:tc>
          <w:tcPr>
            <w:tcW w:w="1229" w:type="dxa"/>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单位：万元</w:t>
            </w:r>
          </w:p>
        </w:tc>
      </w:tr>
      <w:tr>
        <w:tblPrEx>
          <w:tblCellMar>
            <w:top w:w="0" w:type="dxa"/>
            <w:left w:w="108" w:type="dxa"/>
            <w:bottom w:w="0" w:type="dxa"/>
            <w:right w:w="108" w:type="dxa"/>
          </w:tblCellMar>
        </w:tblPrEx>
        <w:trPr>
          <w:trHeight w:val="285" w:hRule="atLeast"/>
        </w:trPr>
        <w:tc>
          <w:tcPr>
            <w:tcW w:w="116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类型</w:t>
            </w:r>
          </w:p>
        </w:tc>
        <w:tc>
          <w:tcPr>
            <w:tcW w:w="116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项目名称</w:t>
            </w: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项目单位</w:t>
            </w: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合计</w:t>
            </w:r>
          </w:p>
        </w:tc>
        <w:tc>
          <w:tcPr>
            <w:tcW w:w="3510" w:type="dxa"/>
            <w:gridSpan w:val="3"/>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本年拨款</w:t>
            </w:r>
          </w:p>
        </w:tc>
        <w:tc>
          <w:tcPr>
            <w:tcW w:w="3510" w:type="dxa"/>
            <w:gridSpan w:val="3"/>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财政拨款结转结余</w:t>
            </w: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财政专户管理资金</w:t>
            </w:r>
          </w:p>
        </w:tc>
        <w:tc>
          <w:tcPr>
            <w:tcW w:w="122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单位资金</w:t>
            </w:r>
          </w:p>
        </w:tc>
      </w:tr>
      <w:tr>
        <w:tblPrEx>
          <w:tblCellMar>
            <w:top w:w="0" w:type="dxa"/>
            <w:left w:w="108" w:type="dxa"/>
            <w:bottom w:w="0" w:type="dxa"/>
            <w:right w:w="108" w:type="dxa"/>
          </w:tblCellMar>
        </w:tblPrEx>
        <w:trPr>
          <w:trHeight w:val="454" w:hRule="atLeast"/>
        </w:trPr>
        <w:tc>
          <w:tcPr>
            <w:tcW w:w="116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116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117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117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117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一般公共预算</w:t>
            </w:r>
          </w:p>
        </w:tc>
        <w:tc>
          <w:tcPr>
            <w:tcW w:w="117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政府性基金预算</w:t>
            </w:r>
          </w:p>
        </w:tc>
        <w:tc>
          <w:tcPr>
            <w:tcW w:w="117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国有资本经营预算</w:t>
            </w:r>
          </w:p>
        </w:tc>
        <w:tc>
          <w:tcPr>
            <w:tcW w:w="117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一般公共预算</w:t>
            </w:r>
          </w:p>
        </w:tc>
        <w:tc>
          <w:tcPr>
            <w:tcW w:w="117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政府性基金预算</w:t>
            </w:r>
          </w:p>
        </w:tc>
        <w:tc>
          <w:tcPr>
            <w:tcW w:w="117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国有资本经营预算</w:t>
            </w:r>
          </w:p>
        </w:tc>
        <w:tc>
          <w:tcPr>
            <w:tcW w:w="117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122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1169"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1169"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117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117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72.00</w:t>
            </w:r>
          </w:p>
        </w:tc>
        <w:tc>
          <w:tcPr>
            <w:tcW w:w="117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72.00</w:t>
            </w:r>
          </w:p>
        </w:tc>
        <w:tc>
          <w:tcPr>
            <w:tcW w:w="117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7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7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7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7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7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229"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679" w:hRule="atLeast"/>
        </w:trPr>
        <w:tc>
          <w:tcPr>
            <w:tcW w:w="1169"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116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202</w:t>
            </w:r>
          </w:p>
        </w:tc>
        <w:tc>
          <w:tcPr>
            <w:tcW w:w="117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新乡市卫滨区城市管理局</w:t>
            </w:r>
          </w:p>
        </w:tc>
        <w:tc>
          <w:tcPr>
            <w:tcW w:w="117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72.00</w:t>
            </w:r>
          </w:p>
        </w:tc>
        <w:tc>
          <w:tcPr>
            <w:tcW w:w="117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72.00</w:t>
            </w:r>
          </w:p>
        </w:tc>
        <w:tc>
          <w:tcPr>
            <w:tcW w:w="117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7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7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7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7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7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229"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679" w:hRule="atLeast"/>
        </w:trPr>
        <w:tc>
          <w:tcPr>
            <w:tcW w:w="1169"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其他运转类</w:t>
            </w:r>
          </w:p>
        </w:tc>
        <w:tc>
          <w:tcPr>
            <w:tcW w:w="116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数字城管网运转费</w:t>
            </w:r>
          </w:p>
        </w:tc>
        <w:tc>
          <w:tcPr>
            <w:tcW w:w="117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新乡市卫滨区城市管理局本级</w:t>
            </w:r>
          </w:p>
        </w:tc>
        <w:tc>
          <w:tcPr>
            <w:tcW w:w="117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9.84</w:t>
            </w:r>
          </w:p>
        </w:tc>
        <w:tc>
          <w:tcPr>
            <w:tcW w:w="117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9.84</w:t>
            </w:r>
          </w:p>
        </w:tc>
        <w:tc>
          <w:tcPr>
            <w:tcW w:w="117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7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7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7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7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7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229"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679" w:hRule="atLeast"/>
        </w:trPr>
        <w:tc>
          <w:tcPr>
            <w:tcW w:w="1169"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其他运转类</w:t>
            </w:r>
          </w:p>
        </w:tc>
        <w:tc>
          <w:tcPr>
            <w:tcW w:w="116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公厕工程款（与成都千成万建筑工程有限公司第八分公司建筑工程纠纷所需资金）</w:t>
            </w:r>
          </w:p>
        </w:tc>
        <w:tc>
          <w:tcPr>
            <w:tcW w:w="117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新乡市卫滨区城市管理局</w:t>
            </w:r>
          </w:p>
        </w:tc>
        <w:tc>
          <w:tcPr>
            <w:tcW w:w="117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62.16</w:t>
            </w:r>
          </w:p>
        </w:tc>
        <w:tc>
          <w:tcPr>
            <w:tcW w:w="117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62.16</w:t>
            </w:r>
          </w:p>
        </w:tc>
        <w:tc>
          <w:tcPr>
            <w:tcW w:w="117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7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7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7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7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7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229"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sectPr>
          <w:pgSz w:w="16838" w:h="11906" w:orient="landscape"/>
          <w:pgMar w:top="1559" w:right="567" w:bottom="1701" w:left="567" w:header="851" w:footer="992" w:gutter="0"/>
          <w:pgBorders>
            <w:top w:val="none" w:sz="0" w:space="0"/>
            <w:left w:val="none" w:sz="0" w:space="0"/>
            <w:bottom w:val="none" w:sz="0" w:space="0"/>
            <w:right w:val="none" w:sz="0" w:space="0"/>
          </w:pgBorders>
          <w:cols w:space="720" w:num="1"/>
          <w:docGrid w:type="lines" w:linePitch="312" w:charSpace="0"/>
        </w:sect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8"/>
        <w:tblW w:w="940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351"/>
        <w:gridCol w:w="1449"/>
        <w:gridCol w:w="2198"/>
        <w:gridCol w:w="1172"/>
        <w:gridCol w:w="323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 w:hRule="atLeast"/>
        </w:trPr>
        <w:tc>
          <w:tcPr>
            <w:tcW w:w="1351"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1449"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2198"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1172"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3240" w:type="dxa"/>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预算11表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9" w:hRule="atLeast"/>
        </w:trPr>
        <w:tc>
          <w:tcPr>
            <w:tcW w:w="9410" w:type="dxa"/>
            <w:gridSpan w:val="5"/>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b/>
                <w:bCs/>
                <w:i w:val="0"/>
                <w:iCs w:val="0"/>
                <w:color w:val="000000"/>
                <w:sz w:val="38"/>
                <w:szCs w:val="38"/>
                <w:u w:val="none"/>
              </w:rPr>
            </w:pPr>
            <w:r>
              <w:rPr>
                <w:rFonts w:ascii="宋体" w:hAnsi="宋体" w:eastAsia="宋体" w:cs="宋体"/>
                <w:b/>
                <w:bCs/>
                <w:i w:val="0"/>
                <w:iCs w:val="0"/>
                <w:color w:val="000000"/>
                <w:kern w:val="0"/>
                <w:sz w:val="38"/>
                <w:szCs w:val="38"/>
                <w:u w:val="none"/>
                <w:lang w:val="en-US" w:eastAsia="zh-CN" w:bidi="ar"/>
              </w:rPr>
              <w:t>单位整体绩效目标表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9410" w:type="dxa"/>
            <w:gridSpan w:val="5"/>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b/>
                <w:bCs/>
                <w:i w:val="0"/>
                <w:iCs w:val="0"/>
                <w:color w:val="000000"/>
                <w:sz w:val="24"/>
                <w:szCs w:val="24"/>
                <w:u w:val="none"/>
              </w:rPr>
            </w:pPr>
            <w:r>
              <w:rPr>
                <w:rFonts w:ascii="宋体" w:hAnsi="宋体" w:eastAsia="宋体" w:cs="宋体"/>
                <w:b/>
                <w:bCs/>
                <w:i w:val="0"/>
                <w:iCs w:val="0"/>
                <w:color w:val="000000"/>
                <w:kern w:val="0"/>
                <w:sz w:val="24"/>
                <w:szCs w:val="24"/>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941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单位</w:t>
            </w:r>
            <w:r>
              <w:rPr>
                <w:rFonts w:ascii="宋体" w:hAnsi="宋体" w:eastAsia="宋体" w:cs="宋体"/>
                <w:i w:val="0"/>
                <w:iCs w:val="0"/>
                <w:color w:val="000000"/>
                <w:kern w:val="0"/>
                <w:sz w:val="18"/>
                <w:szCs w:val="18"/>
                <w:u w:val="none"/>
                <w:lang w:val="en-US" w:eastAsia="zh-CN" w:bidi="ar"/>
              </w:rPr>
              <w:t>名称：新乡市卫滨区城市管理局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4" w:hRule="atLeast"/>
        </w:trPr>
        <w:tc>
          <w:tcPr>
            <w:tcW w:w="13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年度履职目标</w:t>
            </w:r>
          </w:p>
        </w:tc>
        <w:tc>
          <w:tcPr>
            <w:tcW w:w="805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深入推进城市管理综合执法，指导推进城市精细化管理，推动城市管理走向城市治理。加强区级道路、路灯、城市排水、污水处理及城市供水、城镇燃气、集中供热等市政公用基础设施运行管理，加强城市道路清扫保洁，持续优化“两站”区域市容秩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3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年度主要任务</w:t>
            </w:r>
          </w:p>
        </w:tc>
        <w:tc>
          <w:tcPr>
            <w:tcW w:w="36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任务名称</w:t>
            </w:r>
          </w:p>
        </w:tc>
        <w:tc>
          <w:tcPr>
            <w:tcW w:w="44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主要内容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8" w:hRule="atLeast"/>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城</w:t>
            </w:r>
            <w:r>
              <w:rPr>
                <w:rFonts w:ascii="宋体" w:hAnsi="宋体" w:eastAsia="宋体" w:cs="宋体"/>
                <w:i w:val="0"/>
                <w:iCs w:val="0"/>
                <w:color w:val="000000"/>
                <w:kern w:val="0"/>
                <w:sz w:val="18"/>
                <w:szCs w:val="18"/>
                <w:u w:val="none"/>
                <w:lang w:val="en-US" w:eastAsia="zh-CN" w:bidi="ar"/>
              </w:rPr>
              <w:t>市管理综合治理，实施数字化城管，道路清扫保洁，市政公用基础设施更新改造。</w:t>
            </w:r>
          </w:p>
        </w:tc>
        <w:tc>
          <w:tcPr>
            <w:tcW w:w="44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组织实施数字化城管，门头招牌综合治理；占道（店外）经营专项整治，持续优化“两站”区域市容秩序。主次干道清扫保洁，燃气管道更新改造。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3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预算情况  </w:t>
            </w:r>
          </w:p>
        </w:tc>
        <w:tc>
          <w:tcPr>
            <w:tcW w:w="36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部门预算总额（万元）</w:t>
            </w:r>
          </w:p>
        </w:tc>
        <w:tc>
          <w:tcPr>
            <w:tcW w:w="44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410.94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1、资金来源：</w:t>
            </w:r>
          </w:p>
        </w:tc>
        <w:tc>
          <w:tcPr>
            <w:tcW w:w="2198"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（1）政府预算资金</w:t>
            </w:r>
          </w:p>
        </w:tc>
        <w:tc>
          <w:tcPr>
            <w:tcW w:w="44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410.94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tcBorders>
              <w:top w:val="single" w:color="000000" w:sz="4" w:space="0"/>
              <w:left w:val="single" w:color="000000" w:sz="4" w:space="0"/>
              <w:bottom w:val="single" w:color="000000" w:sz="4" w:space="0"/>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2198"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（2）财政专户管理资金</w:t>
            </w:r>
          </w:p>
        </w:tc>
        <w:tc>
          <w:tcPr>
            <w:tcW w:w="44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tcBorders>
              <w:top w:val="single" w:color="000000" w:sz="4" w:space="0"/>
              <w:left w:val="single" w:color="000000" w:sz="4" w:space="0"/>
              <w:bottom w:val="single" w:color="000000" w:sz="4" w:space="0"/>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2198"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（3）单位资金</w:t>
            </w:r>
          </w:p>
        </w:tc>
        <w:tc>
          <w:tcPr>
            <w:tcW w:w="44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2、资金结构：</w:t>
            </w:r>
          </w:p>
        </w:tc>
        <w:tc>
          <w:tcPr>
            <w:tcW w:w="2198"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（1）基本支出</w:t>
            </w:r>
          </w:p>
        </w:tc>
        <w:tc>
          <w:tcPr>
            <w:tcW w:w="44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338.94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tcBorders>
              <w:top w:val="single" w:color="000000" w:sz="4" w:space="0"/>
              <w:left w:val="single" w:color="000000" w:sz="4" w:space="0"/>
              <w:bottom w:val="single" w:color="000000" w:sz="4" w:space="0"/>
              <w:right w:val="nil"/>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2198"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（2）项目支出</w:t>
            </w:r>
          </w:p>
        </w:tc>
        <w:tc>
          <w:tcPr>
            <w:tcW w:w="44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3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2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指标值说明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3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投入管理指标  </w:t>
            </w:r>
          </w:p>
        </w:tc>
        <w:tc>
          <w:tcPr>
            <w:tcW w:w="144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工作目标管理  </w:t>
            </w: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年度履职目标相关性</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相关</w:t>
            </w:r>
          </w:p>
        </w:tc>
        <w:tc>
          <w:tcPr>
            <w:tcW w:w="32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工作任务科学性</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科学</w:t>
            </w:r>
          </w:p>
        </w:tc>
        <w:tc>
          <w:tcPr>
            <w:tcW w:w="32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绩效指标合理性</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合理</w:t>
            </w:r>
          </w:p>
        </w:tc>
        <w:tc>
          <w:tcPr>
            <w:tcW w:w="32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预算和财务管理  </w:t>
            </w: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预算编制完整性</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完整</w:t>
            </w:r>
          </w:p>
        </w:tc>
        <w:tc>
          <w:tcPr>
            <w:tcW w:w="32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专项资金细化率</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2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2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预算调整率</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32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结转结余率</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w:t>
            </w:r>
          </w:p>
        </w:tc>
        <w:tc>
          <w:tcPr>
            <w:tcW w:w="32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“三公经费”控制率</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2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政府采购执行率</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≥99%</w:t>
            </w:r>
          </w:p>
        </w:tc>
        <w:tc>
          <w:tcPr>
            <w:tcW w:w="32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决算真实性</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真实</w:t>
            </w:r>
          </w:p>
        </w:tc>
        <w:tc>
          <w:tcPr>
            <w:tcW w:w="32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资金使用合规性</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合规</w:t>
            </w:r>
          </w:p>
        </w:tc>
        <w:tc>
          <w:tcPr>
            <w:tcW w:w="32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管理制度健全性</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健全</w:t>
            </w:r>
          </w:p>
        </w:tc>
        <w:tc>
          <w:tcPr>
            <w:tcW w:w="32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预决算信息公开性</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公开</w:t>
            </w:r>
          </w:p>
        </w:tc>
        <w:tc>
          <w:tcPr>
            <w:tcW w:w="32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资产管理规范性</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规范</w:t>
            </w:r>
          </w:p>
        </w:tc>
        <w:tc>
          <w:tcPr>
            <w:tcW w:w="32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绩效管理  </w:t>
            </w:r>
          </w:p>
        </w:tc>
        <w:tc>
          <w:tcPr>
            <w:tcW w:w="2198"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绩效目标编制完成率</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2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绩效监控完成率</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2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绩效自评完成率</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2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部门绩效评价完成率</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2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评价结果应用率</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2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13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产出指标  </w:t>
            </w: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重点工作任务完成</w:t>
            </w: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燃气管道更新改造</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100个/小区</w:t>
            </w:r>
          </w:p>
        </w:tc>
        <w:tc>
          <w:tcPr>
            <w:tcW w:w="32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履职目标实现</w:t>
            </w: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我区100个小区户内外燃气 管道等更新改造</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2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3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效益指标  </w:t>
            </w: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履职效益</w:t>
            </w: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提高群众获得幸福感</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有效提高</w:t>
            </w:r>
          </w:p>
        </w:tc>
        <w:tc>
          <w:tcPr>
            <w:tcW w:w="32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满意度</w:t>
            </w: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直接服务对象满意度</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≥90%</w:t>
            </w:r>
          </w:p>
        </w:tc>
        <w:tc>
          <w:tcPr>
            <w:tcW w:w="32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bl>
    <w:p>
      <w:pPr>
        <w:kinsoku w:val="0"/>
        <w:overflowPunct w:val="0"/>
        <w:adjustRightInd w:val="0"/>
        <w:snapToGrid w:val="0"/>
        <w:spacing w:line="560" w:lineRule="exact"/>
        <w:rPr>
          <w:rFonts w:ascii="黑体" w:hAnsi="Times New Roman" w:eastAsia="黑体" w:cs="黑体"/>
          <w:sz w:val="32"/>
          <w:szCs w:val="32"/>
          <w:highlight w:val="none"/>
        </w:rPr>
        <w:sectPr>
          <w:pgSz w:w="11906" w:h="16838"/>
          <w:pgMar w:top="567" w:right="1701" w:bottom="567" w:left="1559" w:header="851" w:footer="992" w:gutter="0"/>
          <w:pgBorders>
            <w:top w:val="none" w:sz="0" w:space="0"/>
            <w:left w:val="none" w:sz="0" w:space="0"/>
            <w:bottom w:val="none" w:sz="0" w:space="0"/>
            <w:right w:val="none" w:sz="0" w:space="0"/>
          </w:pgBorders>
          <w:cols w:space="720" w:num="1"/>
          <w:docGrid w:type="lines" w:linePitch="312" w:charSpace="0"/>
        </w:sectPr>
      </w:pPr>
    </w:p>
    <w:tbl>
      <w:tblPr>
        <w:tblStyle w:val="8"/>
        <w:tblW w:w="1587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680"/>
        <w:gridCol w:w="2205"/>
        <w:gridCol w:w="790"/>
        <w:gridCol w:w="908"/>
        <w:gridCol w:w="755"/>
        <w:gridCol w:w="755"/>
        <w:gridCol w:w="827"/>
        <w:gridCol w:w="1260"/>
        <w:gridCol w:w="2270"/>
        <w:gridCol w:w="1104"/>
        <w:gridCol w:w="547"/>
        <w:gridCol w:w="547"/>
        <w:gridCol w:w="1522"/>
        <w:gridCol w:w="7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 w:hRule="atLeast"/>
        </w:trPr>
        <w:tc>
          <w:tcPr>
            <w:tcW w:w="15870" w:type="dxa"/>
            <w:gridSpan w:val="14"/>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预算12表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9" w:hRule="atLeast"/>
        </w:trPr>
        <w:tc>
          <w:tcPr>
            <w:tcW w:w="15870"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b/>
                <w:bCs/>
                <w:i w:val="0"/>
                <w:iCs w:val="0"/>
                <w:color w:val="000000"/>
                <w:sz w:val="38"/>
                <w:szCs w:val="38"/>
                <w:u w:val="none"/>
              </w:rPr>
            </w:pPr>
            <w:r>
              <w:rPr>
                <w:rFonts w:ascii="宋体" w:hAnsi="宋体" w:eastAsia="宋体" w:cs="宋体"/>
                <w:b/>
                <w:bCs/>
                <w:i w:val="0"/>
                <w:iCs w:val="0"/>
                <w:color w:val="000000"/>
                <w:kern w:val="0"/>
                <w:sz w:val="38"/>
                <w:szCs w:val="38"/>
                <w:u w:val="none"/>
                <w:lang w:val="en-US" w:eastAsia="zh-CN" w:bidi="ar"/>
              </w:rPr>
              <w:t>2024年</w:t>
            </w:r>
            <w:r>
              <w:rPr>
                <w:rFonts w:hint="eastAsia" w:ascii="宋体" w:hAnsi="宋体" w:cs="宋体"/>
                <w:b/>
                <w:bCs/>
                <w:i w:val="0"/>
                <w:iCs w:val="0"/>
                <w:color w:val="000000"/>
                <w:kern w:val="0"/>
                <w:sz w:val="38"/>
                <w:szCs w:val="38"/>
                <w:u w:val="none"/>
                <w:lang w:val="en-US" w:eastAsia="zh-CN" w:bidi="ar"/>
              </w:rPr>
              <w:t>单位</w:t>
            </w:r>
            <w:r>
              <w:rPr>
                <w:rFonts w:ascii="宋体" w:hAnsi="宋体" w:eastAsia="宋体" w:cs="宋体"/>
                <w:b/>
                <w:bCs/>
                <w:i w:val="0"/>
                <w:iCs w:val="0"/>
                <w:color w:val="000000"/>
                <w:kern w:val="0"/>
                <w:sz w:val="38"/>
                <w:szCs w:val="38"/>
                <w:u w:val="none"/>
                <w:lang w:val="en-US" w:eastAsia="zh-CN" w:bidi="ar"/>
              </w:rPr>
              <w:t>预算项目绩效目标汇总表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5870" w:type="dxa"/>
            <w:gridSpan w:val="14"/>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单位</w:t>
            </w:r>
            <w:r>
              <w:rPr>
                <w:rFonts w:ascii="宋体" w:hAnsi="宋体" w:eastAsia="宋体" w:cs="宋体"/>
                <w:i w:val="0"/>
                <w:iCs w:val="0"/>
                <w:color w:val="000000"/>
                <w:kern w:val="0"/>
                <w:sz w:val="18"/>
                <w:szCs w:val="18"/>
                <w:u w:val="none"/>
                <w:lang w:val="en-US" w:eastAsia="zh-CN" w:bidi="ar"/>
              </w:rPr>
              <w:t>名称：新乡市卫滨区城市管理局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单位编码（项目编码）</w:t>
            </w:r>
          </w:p>
        </w:tc>
        <w:tc>
          <w:tcPr>
            <w:tcW w:w="22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项目单位 （项目名称）</w:t>
            </w:r>
          </w:p>
        </w:tc>
        <w:tc>
          <w:tcPr>
            <w:tcW w:w="3208"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项目金额（万元）</w:t>
            </w:r>
          </w:p>
        </w:tc>
        <w:tc>
          <w:tcPr>
            <w:tcW w:w="8777"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16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08"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0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成本指标  </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产出指标  </w:t>
            </w:r>
          </w:p>
        </w:tc>
        <w:tc>
          <w:tcPr>
            <w:tcW w:w="10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效益指标  </w:t>
            </w:r>
          </w:p>
        </w:tc>
        <w:tc>
          <w:tcPr>
            <w:tcW w:w="22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满意度指标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16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资金总额</w:t>
            </w:r>
          </w:p>
        </w:tc>
        <w:tc>
          <w:tcPr>
            <w:tcW w:w="9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政府预算资金</w:t>
            </w:r>
          </w:p>
        </w:tc>
        <w:tc>
          <w:tcPr>
            <w:tcW w:w="7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7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8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2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11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202</w:t>
            </w:r>
          </w:p>
        </w:tc>
        <w:tc>
          <w:tcPr>
            <w:tcW w:w="22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72.00</w:t>
            </w:r>
          </w:p>
        </w:tc>
        <w:tc>
          <w:tcPr>
            <w:tcW w:w="9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72.00</w:t>
            </w:r>
          </w:p>
        </w:tc>
        <w:tc>
          <w:tcPr>
            <w:tcW w:w="7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2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27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10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16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202001</w:t>
            </w:r>
          </w:p>
        </w:tc>
        <w:tc>
          <w:tcPr>
            <w:tcW w:w="22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新乡市卫滨区城市管理局本级</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9.84</w:t>
            </w:r>
          </w:p>
        </w:tc>
        <w:tc>
          <w:tcPr>
            <w:tcW w:w="9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9.84</w:t>
            </w:r>
          </w:p>
        </w:tc>
        <w:tc>
          <w:tcPr>
            <w:tcW w:w="7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2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27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10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6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新乡市卫滨区城市管理局</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62.16</w:t>
            </w:r>
          </w:p>
        </w:tc>
        <w:tc>
          <w:tcPr>
            <w:tcW w:w="9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62.16</w:t>
            </w:r>
          </w:p>
        </w:tc>
        <w:tc>
          <w:tcPr>
            <w:tcW w:w="7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2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27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10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6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410703220000000016835</w:t>
            </w:r>
          </w:p>
        </w:tc>
        <w:tc>
          <w:tcPr>
            <w:tcW w:w="22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数字城管网运转费</w:t>
            </w:r>
          </w:p>
        </w:tc>
        <w:tc>
          <w:tcPr>
            <w:tcW w:w="7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9.84</w:t>
            </w:r>
          </w:p>
        </w:tc>
        <w:tc>
          <w:tcPr>
            <w:tcW w:w="9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9.84</w:t>
            </w:r>
          </w:p>
        </w:tc>
        <w:tc>
          <w:tcPr>
            <w:tcW w:w="7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项目总成本</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≤24.64万元</w:t>
            </w:r>
          </w:p>
        </w:tc>
        <w:tc>
          <w:tcPr>
            <w:tcW w:w="2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通信线路</w:t>
            </w:r>
          </w:p>
        </w:tc>
        <w:tc>
          <w:tcPr>
            <w:tcW w:w="11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11条</w:t>
            </w:r>
          </w:p>
        </w:tc>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项目受益群众满意度</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6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2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城管通数量</w:t>
            </w:r>
          </w:p>
        </w:tc>
        <w:tc>
          <w:tcPr>
            <w:tcW w:w="11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35部</w:t>
            </w:r>
          </w:p>
        </w:tc>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16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2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“数字城管”网络信息双向传递</w:t>
            </w:r>
          </w:p>
        </w:tc>
        <w:tc>
          <w:tcPr>
            <w:tcW w:w="11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≥98%</w:t>
            </w:r>
          </w:p>
        </w:tc>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16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2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通信运转费支付时效</w:t>
            </w:r>
          </w:p>
        </w:tc>
        <w:tc>
          <w:tcPr>
            <w:tcW w:w="11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2023年8月1日前</w:t>
            </w:r>
          </w:p>
        </w:tc>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1" w:hRule="atLeast"/>
        </w:trPr>
        <w:tc>
          <w:tcPr>
            <w:tcW w:w="16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410703220000000035606</w:t>
            </w:r>
          </w:p>
        </w:tc>
        <w:tc>
          <w:tcPr>
            <w:tcW w:w="22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公厕工程款（与成都千成万建筑工程有限公司第八分公司建筑工程纠纷所需资金）</w:t>
            </w:r>
          </w:p>
        </w:tc>
        <w:tc>
          <w:tcPr>
            <w:tcW w:w="7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62.16</w:t>
            </w:r>
          </w:p>
        </w:tc>
        <w:tc>
          <w:tcPr>
            <w:tcW w:w="9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62.16</w:t>
            </w:r>
          </w:p>
        </w:tc>
        <w:tc>
          <w:tcPr>
            <w:tcW w:w="7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项目总成本</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≤62.16万元</w:t>
            </w:r>
          </w:p>
        </w:tc>
        <w:tc>
          <w:tcPr>
            <w:tcW w:w="2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公厕数量</w:t>
            </w:r>
          </w:p>
        </w:tc>
        <w:tc>
          <w:tcPr>
            <w:tcW w:w="11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5座</w:t>
            </w:r>
          </w:p>
        </w:tc>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项目受益群众满意度</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1" w:hRule="atLeast"/>
        </w:trPr>
        <w:tc>
          <w:tcPr>
            <w:tcW w:w="16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2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公厕质量达标率</w:t>
            </w:r>
          </w:p>
        </w:tc>
        <w:tc>
          <w:tcPr>
            <w:tcW w:w="11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16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2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资金支付完成时间</w:t>
            </w:r>
          </w:p>
        </w:tc>
        <w:tc>
          <w:tcPr>
            <w:tcW w:w="11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2024年12月底前</w:t>
            </w:r>
          </w:p>
        </w:tc>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bl>
    <w:p>
      <w:pPr>
        <w:bidi w:val="0"/>
        <w:rPr>
          <w:rFonts w:hint="eastAsia"/>
        </w:rPr>
      </w:pPr>
    </w:p>
    <w:sectPr>
      <w:pgSz w:w="16838" w:h="11906" w:orient="landscape"/>
      <w:pgMar w:top="1701" w:right="567" w:bottom="1559" w:left="567" w:header="851" w:footer="992" w:gutter="0"/>
      <w:pgBorders>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2010601030101010101"/>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D5D584"/>
    <w:multiLevelType w:val="singleLevel"/>
    <w:tmpl w:val="A4D5D584"/>
    <w:lvl w:ilvl="0" w:tentative="0">
      <w:start w:val="6"/>
      <w:numFmt w:val="chineseCounting"/>
      <w:suff w:val="nothing"/>
      <w:lvlText w:val="%1、"/>
      <w:lvlJc w:val="left"/>
      <w:rPr>
        <w:rFonts w:hint="eastAsia"/>
      </w:rPr>
    </w:lvl>
  </w:abstractNum>
  <w:abstractNum w:abstractNumId="1">
    <w:nsid w:val="10EB2E05"/>
    <w:multiLevelType w:val="multilevel"/>
    <w:tmpl w:val="10EB2E05"/>
    <w:lvl w:ilvl="0" w:tentative="0">
      <w:start w:val="1"/>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2">
    <w:nsid w:val="38F14122"/>
    <w:multiLevelType w:val="singleLevel"/>
    <w:tmpl w:val="38F14122"/>
    <w:lvl w:ilvl="0" w:tentative="0">
      <w:start w:val="3"/>
      <w:numFmt w:val="chineseCounting"/>
      <w:suff w:val="nothing"/>
      <w:lvlText w:val="（%1）"/>
      <w:lvlJc w:val="left"/>
      <w:rPr>
        <w:rFonts w:hint="eastAsia"/>
      </w:rPr>
    </w:lvl>
  </w:abstractNum>
  <w:abstractNum w:abstractNumId="3">
    <w:nsid w:val="5971C2CF"/>
    <w:multiLevelType w:val="singleLevel"/>
    <w:tmpl w:val="5971C2CF"/>
    <w:lvl w:ilvl="0" w:tentative="0">
      <w:start w:val="1"/>
      <w:numFmt w:val="decimal"/>
      <w:suff w:val="nothing"/>
      <w:lvlText w:val="%1．"/>
      <w:lvlJc w:val="left"/>
      <w:pPr>
        <w:ind w:left="167" w:firstLine="400"/>
      </w:pPr>
      <w:rPr>
        <w:rFont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WRlYzU3ZmUxYzY5MTkyMGU2ODI2ZTk2ZmQyZGQwYjEifQ=="/>
  </w:docVars>
  <w:rsids>
    <w:rsidRoot w:val="000E666A"/>
    <w:rsid w:val="000056FE"/>
    <w:rsid w:val="00007CC9"/>
    <w:rsid w:val="00015F07"/>
    <w:rsid w:val="00016ADC"/>
    <w:rsid w:val="000328AD"/>
    <w:rsid w:val="0003777B"/>
    <w:rsid w:val="000455CB"/>
    <w:rsid w:val="00046D83"/>
    <w:rsid w:val="00052730"/>
    <w:rsid w:val="00060437"/>
    <w:rsid w:val="00065B9E"/>
    <w:rsid w:val="000667EE"/>
    <w:rsid w:val="000830E3"/>
    <w:rsid w:val="00092441"/>
    <w:rsid w:val="00093C9D"/>
    <w:rsid w:val="000A07A3"/>
    <w:rsid w:val="000A18BD"/>
    <w:rsid w:val="000A1CFD"/>
    <w:rsid w:val="000A32F6"/>
    <w:rsid w:val="000A3662"/>
    <w:rsid w:val="000B2445"/>
    <w:rsid w:val="000B4262"/>
    <w:rsid w:val="000C4CC2"/>
    <w:rsid w:val="000D025C"/>
    <w:rsid w:val="000E4FFA"/>
    <w:rsid w:val="000E5387"/>
    <w:rsid w:val="000E666A"/>
    <w:rsid w:val="000E6F0D"/>
    <w:rsid w:val="000F0D3B"/>
    <w:rsid w:val="001003CC"/>
    <w:rsid w:val="0010654C"/>
    <w:rsid w:val="00120162"/>
    <w:rsid w:val="0012518F"/>
    <w:rsid w:val="001264BC"/>
    <w:rsid w:val="001316FD"/>
    <w:rsid w:val="001349FC"/>
    <w:rsid w:val="001436AF"/>
    <w:rsid w:val="00145E1A"/>
    <w:rsid w:val="00147BEE"/>
    <w:rsid w:val="00147C4E"/>
    <w:rsid w:val="0016268A"/>
    <w:rsid w:val="00166082"/>
    <w:rsid w:val="00176038"/>
    <w:rsid w:val="00177B9B"/>
    <w:rsid w:val="001847F6"/>
    <w:rsid w:val="00196982"/>
    <w:rsid w:val="001A0485"/>
    <w:rsid w:val="001A1108"/>
    <w:rsid w:val="001A15F6"/>
    <w:rsid w:val="001A45D6"/>
    <w:rsid w:val="001B4DEC"/>
    <w:rsid w:val="001C6803"/>
    <w:rsid w:val="001C7E81"/>
    <w:rsid w:val="001F24BC"/>
    <w:rsid w:val="001F64E1"/>
    <w:rsid w:val="001F657E"/>
    <w:rsid w:val="00202770"/>
    <w:rsid w:val="00204E18"/>
    <w:rsid w:val="00204F67"/>
    <w:rsid w:val="0021471A"/>
    <w:rsid w:val="002155BC"/>
    <w:rsid w:val="002155E6"/>
    <w:rsid w:val="002213D7"/>
    <w:rsid w:val="00230456"/>
    <w:rsid w:val="00236D28"/>
    <w:rsid w:val="00242997"/>
    <w:rsid w:val="00251DE8"/>
    <w:rsid w:val="00254A2A"/>
    <w:rsid w:val="002601F3"/>
    <w:rsid w:val="00267739"/>
    <w:rsid w:val="0027730D"/>
    <w:rsid w:val="002B3C2D"/>
    <w:rsid w:val="002B612E"/>
    <w:rsid w:val="002B7F7A"/>
    <w:rsid w:val="002C14D9"/>
    <w:rsid w:val="002E0122"/>
    <w:rsid w:val="002E27DE"/>
    <w:rsid w:val="002E3628"/>
    <w:rsid w:val="002E5C55"/>
    <w:rsid w:val="002E5EBE"/>
    <w:rsid w:val="002F1A34"/>
    <w:rsid w:val="002F6CC2"/>
    <w:rsid w:val="0032045B"/>
    <w:rsid w:val="00320FEA"/>
    <w:rsid w:val="00322C06"/>
    <w:rsid w:val="0032341C"/>
    <w:rsid w:val="00327A9A"/>
    <w:rsid w:val="00327ADF"/>
    <w:rsid w:val="0034481A"/>
    <w:rsid w:val="00352AD6"/>
    <w:rsid w:val="00354113"/>
    <w:rsid w:val="00356056"/>
    <w:rsid w:val="00360B9D"/>
    <w:rsid w:val="003615E5"/>
    <w:rsid w:val="00374335"/>
    <w:rsid w:val="003761B9"/>
    <w:rsid w:val="00377995"/>
    <w:rsid w:val="003B6DF2"/>
    <w:rsid w:val="003C5046"/>
    <w:rsid w:val="003C5AF1"/>
    <w:rsid w:val="003D5305"/>
    <w:rsid w:val="003E0F53"/>
    <w:rsid w:val="003E4F75"/>
    <w:rsid w:val="003F044F"/>
    <w:rsid w:val="00400480"/>
    <w:rsid w:val="00400EC6"/>
    <w:rsid w:val="004078CB"/>
    <w:rsid w:val="004119E0"/>
    <w:rsid w:val="00412872"/>
    <w:rsid w:val="00414D58"/>
    <w:rsid w:val="00417802"/>
    <w:rsid w:val="004237A3"/>
    <w:rsid w:val="00423E21"/>
    <w:rsid w:val="00424DB3"/>
    <w:rsid w:val="004256B3"/>
    <w:rsid w:val="00425DE7"/>
    <w:rsid w:val="0042656D"/>
    <w:rsid w:val="0043723E"/>
    <w:rsid w:val="0045307E"/>
    <w:rsid w:val="004566F7"/>
    <w:rsid w:val="00460D67"/>
    <w:rsid w:val="0046532A"/>
    <w:rsid w:val="00470B16"/>
    <w:rsid w:val="00470E9E"/>
    <w:rsid w:val="004738EF"/>
    <w:rsid w:val="00477172"/>
    <w:rsid w:val="004842B6"/>
    <w:rsid w:val="004842D5"/>
    <w:rsid w:val="0049768C"/>
    <w:rsid w:val="004A2735"/>
    <w:rsid w:val="004A561C"/>
    <w:rsid w:val="004B1080"/>
    <w:rsid w:val="004B1BF0"/>
    <w:rsid w:val="004C0B6C"/>
    <w:rsid w:val="004C3AD6"/>
    <w:rsid w:val="004C7BA0"/>
    <w:rsid w:val="004D069E"/>
    <w:rsid w:val="004D0CCC"/>
    <w:rsid w:val="004D2D1F"/>
    <w:rsid w:val="004F460E"/>
    <w:rsid w:val="00504D4A"/>
    <w:rsid w:val="005271CC"/>
    <w:rsid w:val="00530C66"/>
    <w:rsid w:val="00540B6A"/>
    <w:rsid w:val="00542462"/>
    <w:rsid w:val="005433FC"/>
    <w:rsid w:val="0054387D"/>
    <w:rsid w:val="00554BEE"/>
    <w:rsid w:val="00556BE7"/>
    <w:rsid w:val="00571108"/>
    <w:rsid w:val="00573E04"/>
    <w:rsid w:val="00574BEB"/>
    <w:rsid w:val="00583C97"/>
    <w:rsid w:val="00591111"/>
    <w:rsid w:val="005A7520"/>
    <w:rsid w:val="005A786C"/>
    <w:rsid w:val="005B09E4"/>
    <w:rsid w:val="005B4803"/>
    <w:rsid w:val="005B7D64"/>
    <w:rsid w:val="005C3D11"/>
    <w:rsid w:val="005C6D7D"/>
    <w:rsid w:val="005E6CB4"/>
    <w:rsid w:val="005F0E25"/>
    <w:rsid w:val="005F36D1"/>
    <w:rsid w:val="00600AAF"/>
    <w:rsid w:val="006059F4"/>
    <w:rsid w:val="00616688"/>
    <w:rsid w:val="00641E96"/>
    <w:rsid w:val="00643973"/>
    <w:rsid w:val="006463C1"/>
    <w:rsid w:val="00646934"/>
    <w:rsid w:val="006519C1"/>
    <w:rsid w:val="006533BE"/>
    <w:rsid w:val="00655CED"/>
    <w:rsid w:val="00655F9F"/>
    <w:rsid w:val="00660094"/>
    <w:rsid w:val="0066274D"/>
    <w:rsid w:val="0066604F"/>
    <w:rsid w:val="0068015A"/>
    <w:rsid w:val="006877F1"/>
    <w:rsid w:val="00691130"/>
    <w:rsid w:val="006933B5"/>
    <w:rsid w:val="006A1C28"/>
    <w:rsid w:val="006A2177"/>
    <w:rsid w:val="006A3DB9"/>
    <w:rsid w:val="006B104A"/>
    <w:rsid w:val="006B23FE"/>
    <w:rsid w:val="006B4121"/>
    <w:rsid w:val="006B4279"/>
    <w:rsid w:val="006C3AA5"/>
    <w:rsid w:val="006C4B05"/>
    <w:rsid w:val="006C6A3D"/>
    <w:rsid w:val="006C6E8C"/>
    <w:rsid w:val="006D163E"/>
    <w:rsid w:val="006D36CC"/>
    <w:rsid w:val="006F7ED2"/>
    <w:rsid w:val="0070054A"/>
    <w:rsid w:val="00705E29"/>
    <w:rsid w:val="007131C3"/>
    <w:rsid w:val="00717ABB"/>
    <w:rsid w:val="007267F5"/>
    <w:rsid w:val="00742C70"/>
    <w:rsid w:val="00754A11"/>
    <w:rsid w:val="00796560"/>
    <w:rsid w:val="007B748B"/>
    <w:rsid w:val="007C4D6A"/>
    <w:rsid w:val="007C5790"/>
    <w:rsid w:val="007C6035"/>
    <w:rsid w:val="007D582B"/>
    <w:rsid w:val="007F0C11"/>
    <w:rsid w:val="008035D5"/>
    <w:rsid w:val="00803E72"/>
    <w:rsid w:val="00811491"/>
    <w:rsid w:val="00813D8B"/>
    <w:rsid w:val="00813ECE"/>
    <w:rsid w:val="00815377"/>
    <w:rsid w:val="00817547"/>
    <w:rsid w:val="008255FC"/>
    <w:rsid w:val="00827977"/>
    <w:rsid w:val="00833376"/>
    <w:rsid w:val="008336B4"/>
    <w:rsid w:val="00836BB8"/>
    <w:rsid w:val="008413E1"/>
    <w:rsid w:val="00843659"/>
    <w:rsid w:val="00845BBD"/>
    <w:rsid w:val="00850003"/>
    <w:rsid w:val="00850526"/>
    <w:rsid w:val="00862ACE"/>
    <w:rsid w:val="008662DA"/>
    <w:rsid w:val="00871827"/>
    <w:rsid w:val="00871DCF"/>
    <w:rsid w:val="00872A52"/>
    <w:rsid w:val="00876F50"/>
    <w:rsid w:val="00880C02"/>
    <w:rsid w:val="008831B0"/>
    <w:rsid w:val="008852A0"/>
    <w:rsid w:val="008854C3"/>
    <w:rsid w:val="0089331E"/>
    <w:rsid w:val="008A07E9"/>
    <w:rsid w:val="008A6827"/>
    <w:rsid w:val="008B1E1C"/>
    <w:rsid w:val="008B22A2"/>
    <w:rsid w:val="008B29FF"/>
    <w:rsid w:val="008C1726"/>
    <w:rsid w:val="008C5433"/>
    <w:rsid w:val="008D4CC8"/>
    <w:rsid w:val="008D73FF"/>
    <w:rsid w:val="008E4192"/>
    <w:rsid w:val="008F095C"/>
    <w:rsid w:val="008F0E48"/>
    <w:rsid w:val="0090127A"/>
    <w:rsid w:val="00903AC2"/>
    <w:rsid w:val="00903B03"/>
    <w:rsid w:val="009053A0"/>
    <w:rsid w:val="00907F29"/>
    <w:rsid w:val="0091015C"/>
    <w:rsid w:val="00923715"/>
    <w:rsid w:val="00926C5B"/>
    <w:rsid w:val="00930530"/>
    <w:rsid w:val="009307BD"/>
    <w:rsid w:val="00930C3A"/>
    <w:rsid w:val="00932CBF"/>
    <w:rsid w:val="00932EE9"/>
    <w:rsid w:val="00942EB9"/>
    <w:rsid w:val="00943951"/>
    <w:rsid w:val="00947589"/>
    <w:rsid w:val="00965DD7"/>
    <w:rsid w:val="00972A21"/>
    <w:rsid w:val="00984BB7"/>
    <w:rsid w:val="0099008B"/>
    <w:rsid w:val="00997ABD"/>
    <w:rsid w:val="009A311C"/>
    <w:rsid w:val="009B779E"/>
    <w:rsid w:val="009C5886"/>
    <w:rsid w:val="009C79D8"/>
    <w:rsid w:val="009D06CC"/>
    <w:rsid w:val="009D57AB"/>
    <w:rsid w:val="009D6176"/>
    <w:rsid w:val="009E3704"/>
    <w:rsid w:val="009F5003"/>
    <w:rsid w:val="00A0219D"/>
    <w:rsid w:val="00A03886"/>
    <w:rsid w:val="00A1196B"/>
    <w:rsid w:val="00A2124E"/>
    <w:rsid w:val="00A23BB0"/>
    <w:rsid w:val="00A354EC"/>
    <w:rsid w:val="00A373A8"/>
    <w:rsid w:val="00A52BBA"/>
    <w:rsid w:val="00A55FDA"/>
    <w:rsid w:val="00A62BC3"/>
    <w:rsid w:val="00A702F0"/>
    <w:rsid w:val="00A75823"/>
    <w:rsid w:val="00A8278A"/>
    <w:rsid w:val="00A87DD7"/>
    <w:rsid w:val="00AA4E11"/>
    <w:rsid w:val="00AB18CB"/>
    <w:rsid w:val="00AB2328"/>
    <w:rsid w:val="00AB6DFB"/>
    <w:rsid w:val="00AC5410"/>
    <w:rsid w:val="00AE5C99"/>
    <w:rsid w:val="00B01857"/>
    <w:rsid w:val="00B03AAD"/>
    <w:rsid w:val="00B1453C"/>
    <w:rsid w:val="00B23D64"/>
    <w:rsid w:val="00B341FF"/>
    <w:rsid w:val="00B377C4"/>
    <w:rsid w:val="00B40914"/>
    <w:rsid w:val="00B40F74"/>
    <w:rsid w:val="00B43E66"/>
    <w:rsid w:val="00B50AE6"/>
    <w:rsid w:val="00B65C21"/>
    <w:rsid w:val="00B665C0"/>
    <w:rsid w:val="00B6705E"/>
    <w:rsid w:val="00B83046"/>
    <w:rsid w:val="00B83D04"/>
    <w:rsid w:val="00B92341"/>
    <w:rsid w:val="00B932C7"/>
    <w:rsid w:val="00B95788"/>
    <w:rsid w:val="00BA1ACD"/>
    <w:rsid w:val="00BA38DA"/>
    <w:rsid w:val="00BA5E9A"/>
    <w:rsid w:val="00BB1BED"/>
    <w:rsid w:val="00BB59DB"/>
    <w:rsid w:val="00BC7C5A"/>
    <w:rsid w:val="00BE0D16"/>
    <w:rsid w:val="00BE4D35"/>
    <w:rsid w:val="00BF0F52"/>
    <w:rsid w:val="00C0162B"/>
    <w:rsid w:val="00C03348"/>
    <w:rsid w:val="00C17E7A"/>
    <w:rsid w:val="00C21E04"/>
    <w:rsid w:val="00C23F9E"/>
    <w:rsid w:val="00C40961"/>
    <w:rsid w:val="00C4757E"/>
    <w:rsid w:val="00C562AA"/>
    <w:rsid w:val="00C63E2B"/>
    <w:rsid w:val="00C64FF5"/>
    <w:rsid w:val="00C65DCF"/>
    <w:rsid w:val="00C65E72"/>
    <w:rsid w:val="00C66F39"/>
    <w:rsid w:val="00C70F12"/>
    <w:rsid w:val="00C738E2"/>
    <w:rsid w:val="00C8160B"/>
    <w:rsid w:val="00C81BB6"/>
    <w:rsid w:val="00C934AF"/>
    <w:rsid w:val="00CA314A"/>
    <w:rsid w:val="00CA5062"/>
    <w:rsid w:val="00CB508D"/>
    <w:rsid w:val="00CC4BF6"/>
    <w:rsid w:val="00CC793C"/>
    <w:rsid w:val="00CD4C57"/>
    <w:rsid w:val="00CF458F"/>
    <w:rsid w:val="00D02658"/>
    <w:rsid w:val="00D04BF4"/>
    <w:rsid w:val="00D21C47"/>
    <w:rsid w:val="00D2375E"/>
    <w:rsid w:val="00D2537C"/>
    <w:rsid w:val="00D25951"/>
    <w:rsid w:val="00D26956"/>
    <w:rsid w:val="00D26DC2"/>
    <w:rsid w:val="00D372A9"/>
    <w:rsid w:val="00D44216"/>
    <w:rsid w:val="00D4765A"/>
    <w:rsid w:val="00D527ED"/>
    <w:rsid w:val="00D561EE"/>
    <w:rsid w:val="00D6158D"/>
    <w:rsid w:val="00D7195F"/>
    <w:rsid w:val="00D71C17"/>
    <w:rsid w:val="00D801C6"/>
    <w:rsid w:val="00D83019"/>
    <w:rsid w:val="00D8525D"/>
    <w:rsid w:val="00D92623"/>
    <w:rsid w:val="00D93A37"/>
    <w:rsid w:val="00DA0816"/>
    <w:rsid w:val="00DC5F64"/>
    <w:rsid w:val="00DC7872"/>
    <w:rsid w:val="00DD6466"/>
    <w:rsid w:val="00DD697C"/>
    <w:rsid w:val="00DE6A63"/>
    <w:rsid w:val="00DF19C8"/>
    <w:rsid w:val="00E04054"/>
    <w:rsid w:val="00E1289B"/>
    <w:rsid w:val="00E17D38"/>
    <w:rsid w:val="00E23DFD"/>
    <w:rsid w:val="00E2542E"/>
    <w:rsid w:val="00E2610B"/>
    <w:rsid w:val="00E4080C"/>
    <w:rsid w:val="00E42853"/>
    <w:rsid w:val="00E43ED0"/>
    <w:rsid w:val="00E549CB"/>
    <w:rsid w:val="00E6220D"/>
    <w:rsid w:val="00E8417A"/>
    <w:rsid w:val="00E941A6"/>
    <w:rsid w:val="00EA4AFE"/>
    <w:rsid w:val="00EB05F1"/>
    <w:rsid w:val="00EB6F57"/>
    <w:rsid w:val="00EC2C40"/>
    <w:rsid w:val="00ED7886"/>
    <w:rsid w:val="00EE05C3"/>
    <w:rsid w:val="00EE59D1"/>
    <w:rsid w:val="00F01287"/>
    <w:rsid w:val="00F1283B"/>
    <w:rsid w:val="00F25745"/>
    <w:rsid w:val="00F33362"/>
    <w:rsid w:val="00F34E65"/>
    <w:rsid w:val="00F44EC4"/>
    <w:rsid w:val="00F506ED"/>
    <w:rsid w:val="00F63CE3"/>
    <w:rsid w:val="00F649DD"/>
    <w:rsid w:val="00F903AD"/>
    <w:rsid w:val="00F93BB7"/>
    <w:rsid w:val="00F955DA"/>
    <w:rsid w:val="00FB1000"/>
    <w:rsid w:val="00FB334A"/>
    <w:rsid w:val="00FB4F52"/>
    <w:rsid w:val="00FB698F"/>
    <w:rsid w:val="00FC238F"/>
    <w:rsid w:val="00FD05B8"/>
    <w:rsid w:val="00FD493D"/>
    <w:rsid w:val="00FE0BED"/>
    <w:rsid w:val="00FE0EB5"/>
    <w:rsid w:val="00FE21B8"/>
    <w:rsid w:val="00FE3A2E"/>
    <w:rsid w:val="00FE5B62"/>
    <w:rsid w:val="00FE6833"/>
    <w:rsid w:val="00FE7E98"/>
    <w:rsid w:val="00FF37A9"/>
    <w:rsid w:val="00FF4E6F"/>
    <w:rsid w:val="00FF613C"/>
    <w:rsid w:val="00FF73A3"/>
    <w:rsid w:val="012C75C3"/>
    <w:rsid w:val="019D3F33"/>
    <w:rsid w:val="039C165C"/>
    <w:rsid w:val="04E82E5D"/>
    <w:rsid w:val="04EB0D09"/>
    <w:rsid w:val="06C47767"/>
    <w:rsid w:val="08EE5446"/>
    <w:rsid w:val="09E907EB"/>
    <w:rsid w:val="0A304FB1"/>
    <w:rsid w:val="0A5C7450"/>
    <w:rsid w:val="0CEF2B00"/>
    <w:rsid w:val="0D9C20B9"/>
    <w:rsid w:val="0EA64211"/>
    <w:rsid w:val="0FA90872"/>
    <w:rsid w:val="11A825AE"/>
    <w:rsid w:val="11FA43A7"/>
    <w:rsid w:val="123705B9"/>
    <w:rsid w:val="13910C45"/>
    <w:rsid w:val="15461C67"/>
    <w:rsid w:val="15B6407B"/>
    <w:rsid w:val="15B925CF"/>
    <w:rsid w:val="169267C0"/>
    <w:rsid w:val="169326D4"/>
    <w:rsid w:val="175F3CA6"/>
    <w:rsid w:val="17767D2A"/>
    <w:rsid w:val="17FA1E61"/>
    <w:rsid w:val="18147845"/>
    <w:rsid w:val="19FB7D8E"/>
    <w:rsid w:val="1A5B6391"/>
    <w:rsid w:val="1A5E3C5E"/>
    <w:rsid w:val="1B9430C3"/>
    <w:rsid w:val="1C07072D"/>
    <w:rsid w:val="1C7012F4"/>
    <w:rsid w:val="1CBE01F6"/>
    <w:rsid w:val="1E850CCC"/>
    <w:rsid w:val="209B625B"/>
    <w:rsid w:val="219D5072"/>
    <w:rsid w:val="221D378B"/>
    <w:rsid w:val="24DD5B76"/>
    <w:rsid w:val="24F45428"/>
    <w:rsid w:val="25E2722C"/>
    <w:rsid w:val="296B0717"/>
    <w:rsid w:val="2A37305D"/>
    <w:rsid w:val="2AD76DF3"/>
    <w:rsid w:val="2BA0401E"/>
    <w:rsid w:val="2C1A4849"/>
    <w:rsid w:val="2C814812"/>
    <w:rsid w:val="2D173384"/>
    <w:rsid w:val="2E5E347C"/>
    <w:rsid w:val="33DF6C9B"/>
    <w:rsid w:val="33ED7470"/>
    <w:rsid w:val="343D3BEB"/>
    <w:rsid w:val="365B3B1A"/>
    <w:rsid w:val="368469FD"/>
    <w:rsid w:val="37023232"/>
    <w:rsid w:val="377F75F7"/>
    <w:rsid w:val="37A14F47"/>
    <w:rsid w:val="38293B0D"/>
    <w:rsid w:val="38473333"/>
    <w:rsid w:val="38D00CB6"/>
    <w:rsid w:val="39063762"/>
    <w:rsid w:val="399C7E17"/>
    <w:rsid w:val="39D92970"/>
    <w:rsid w:val="3B037579"/>
    <w:rsid w:val="3BD07B55"/>
    <w:rsid w:val="3D440195"/>
    <w:rsid w:val="3DD967B2"/>
    <w:rsid w:val="3E5E457F"/>
    <w:rsid w:val="3F7149FA"/>
    <w:rsid w:val="3FAE2155"/>
    <w:rsid w:val="432033BE"/>
    <w:rsid w:val="43686B72"/>
    <w:rsid w:val="45CA02AA"/>
    <w:rsid w:val="47D755C8"/>
    <w:rsid w:val="480E1D32"/>
    <w:rsid w:val="49CE59D7"/>
    <w:rsid w:val="4A965A20"/>
    <w:rsid w:val="4BAC1AC0"/>
    <w:rsid w:val="4C7813AD"/>
    <w:rsid w:val="4CDA2801"/>
    <w:rsid w:val="4D385E29"/>
    <w:rsid w:val="4F917FC6"/>
    <w:rsid w:val="501B68C6"/>
    <w:rsid w:val="508D27A6"/>
    <w:rsid w:val="510D0E91"/>
    <w:rsid w:val="5115798C"/>
    <w:rsid w:val="51C51D65"/>
    <w:rsid w:val="5236524B"/>
    <w:rsid w:val="53A25729"/>
    <w:rsid w:val="54447F6D"/>
    <w:rsid w:val="550A4F71"/>
    <w:rsid w:val="55381AB4"/>
    <w:rsid w:val="555E7D76"/>
    <w:rsid w:val="56D608A0"/>
    <w:rsid w:val="579D29FC"/>
    <w:rsid w:val="57C60097"/>
    <w:rsid w:val="58B4444D"/>
    <w:rsid w:val="59156B87"/>
    <w:rsid w:val="59642F2F"/>
    <w:rsid w:val="59AA14E0"/>
    <w:rsid w:val="59E52906"/>
    <w:rsid w:val="5A33532D"/>
    <w:rsid w:val="5AF554D4"/>
    <w:rsid w:val="5C2F77C1"/>
    <w:rsid w:val="5CB70498"/>
    <w:rsid w:val="5D1412C6"/>
    <w:rsid w:val="5E211941"/>
    <w:rsid w:val="5ED512CA"/>
    <w:rsid w:val="600E40C9"/>
    <w:rsid w:val="604E3D2F"/>
    <w:rsid w:val="62200402"/>
    <w:rsid w:val="62A55CA5"/>
    <w:rsid w:val="6468013A"/>
    <w:rsid w:val="649C46F2"/>
    <w:rsid w:val="6643017F"/>
    <w:rsid w:val="689A2A1B"/>
    <w:rsid w:val="6B14138E"/>
    <w:rsid w:val="6C8F6313"/>
    <w:rsid w:val="6CD02EB0"/>
    <w:rsid w:val="71A9298B"/>
    <w:rsid w:val="71AC192A"/>
    <w:rsid w:val="72BD29C0"/>
    <w:rsid w:val="73CB561A"/>
    <w:rsid w:val="748B06D6"/>
    <w:rsid w:val="762A388D"/>
    <w:rsid w:val="76314279"/>
    <w:rsid w:val="7789230E"/>
    <w:rsid w:val="779C1699"/>
    <w:rsid w:val="797F6F0E"/>
    <w:rsid w:val="79DC6ADA"/>
    <w:rsid w:val="7B0E49A9"/>
    <w:rsid w:val="7D1D18E6"/>
    <w:rsid w:val="7DC47E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paragraph" w:styleId="3">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9">
    <w:name w:val="Default Paragraph Font"/>
    <w:unhideWhenUsed/>
    <w:qFormat/>
    <w:uiPriority w:val="1"/>
  </w:style>
  <w:style w:type="table" w:default="1" w:styleId="8">
    <w:name w:val="Normal Table"/>
    <w:unhideWhenUsed/>
    <w:qFormat/>
    <w:uiPriority w:val="99"/>
    <w:tblPr>
      <w:tblCellMar>
        <w:top w:w="0" w:type="dxa"/>
        <w:left w:w="108" w:type="dxa"/>
        <w:bottom w:w="0" w:type="dxa"/>
        <w:right w:w="108" w:type="dxa"/>
      </w:tblCellMar>
    </w:tblPr>
  </w:style>
  <w:style w:type="paragraph" w:styleId="4">
    <w:name w:val="annotation text"/>
    <w:basedOn w:val="1"/>
    <w:qFormat/>
    <w:uiPriority w:val="0"/>
    <w:pPr>
      <w:jc w:val="left"/>
    </w:pPr>
  </w:style>
  <w:style w:type="paragraph" w:styleId="5">
    <w:name w:val="footer"/>
    <w:basedOn w:val="1"/>
    <w:link w:val="12"/>
    <w:qFormat/>
    <w:uiPriority w:val="0"/>
    <w:pPr>
      <w:tabs>
        <w:tab w:val="center" w:pos="4153"/>
        <w:tab w:val="right" w:pos="8306"/>
      </w:tabs>
      <w:snapToGrid w:val="0"/>
      <w:jc w:val="left"/>
    </w:pPr>
    <w:rPr>
      <w:sz w:val="18"/>
      <w:szCs w:val="18"/>
    </w:rPr>
  </w:style>
  <w:style w:type="paragraph" w:styleId="6">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paragraph" w:styleId="7">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szCs w:val="24"/>
    </w:rPr>
  </w:style>
  <w:style w:type="paragraph" w:customStyle="1" w:styleId="10">
    <w:name w:val="样式3"/>
    <w:basedOn w:val="1"/>
    <w:link w:val="11"/>
    <w:qFormat/>
    <w:uiPriority w:val="99"/>
    <w:pPr>
      <w:jc w:val="center"/>
    </w:pPr>
    <w:rPr>
      <w:rFonts w:ascii="方正小标宋简体" w:hAnsi="方正小标宋简体" w:eastAsia="仿宋" w:cs="方正小标宋简体"/>
      <w:sz w:val="28"/>
      <w:szCs w:val="52"/>
    </w:rPr>
  </w:style>
  <w:style w:type="character" w:customStyle="1" w:styleId="11">
    <w:name w:val="样式3 Char"/>
    <w:basedOn w:val="9"/>
    <w:link w:val="10"/>
    <w:qFormat/>
    <w:locked/>
    <w:uiPriority w:val="99"/>
    <w:rPr>
      <w:rFonts w:ascii="方正小标宋简体" w:hAnsi="方正小标宋简体" w:eastAsia="仿宋" w:cs="方正小标宋简体"/>
      <w:kern w:val="2"/>
      <w:sz w:val="28"/>
      <w:szCs w:val="52"/>
    </w:rPr>
  </w:style>
  <w:style w:type="character" w:customStyle="1" w:styleId="12">
    <w:name w:val="页脚 字符"/>
    <w:basedOn w:val="9"/>
    <w:link w:val="5"/>
    <w:qFormat/>
    <w:uiPriority w:val="0"/>
    <w:rPr>
      <w:rFonts w:ascii="Calibri" w:hAnsi="Calibri"/>
      <w:kern w:val="2"/>
      <w:sz w:val="18"/>
      <w:szCs w:val="18"/>
    </w:rPr>
  </w:style>
  <w:style w:type="character" w:customStyle="1" w:styleId="13">
    <w:name w:val="页眉 字符"/>
    <w:basedOn w:val="9"/>
    <w:link w:val="6"/>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30</Pages>
  <Words>11146</Words>
  <Characters>13017</Characters>
  <Lines>117</Lines>
  <Paragraphs>32</Paragraphs>
  <TotalTime>12</TotalTime>
  <ScaleCrop>false</ScaleCrop>
  <LinksUpToDate>false</LinksUpToDate>
  <CharactersWithSpaces>14413</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2018-02-02T06:39:00Z</dcterms:created>
  <dc:creator>谢斐</dc:creator>
  <cp:lastModifiedBy>Administrator</cp:lastModifiedBy>
  <cp:lastPrinted>2023-05-12T02:43:00Z</cp:lastPrinted>
  <dcterms:modified xsi:type="dcterms:W3CDTF">2024-03-22T00:20:14Z</dcterms:modified>
  <dc:title>2017年度省级部门预算公开参考格式</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C6D45140CB9C40BA8885CAA2EB2A15FF</vt:lpwstr>
  </property>
</Properties>
</file>