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新乡市卫滨区应急管理局2024年度</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eastAsia="zh-CN"/>
        </w:rPr>
        <w:t>应急管理局</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eastAsia="zh-CN"/>
        </w:rPr>
        <w:t>应急管理局</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黑体" w:eastAsia="黑体" w:cs="黑体"/>
          <w:sz w:val="32"/>
          <w:szCs w:val="32"/>
          <w:lang w:eastAsia="zh-CN"/>
        </w:rPr>
        <w:t>应急管理局</w:t>
      </w:r>
      <w:r>
        <w:rPr>
          <w:rFonts w:hint="eastAsia" w:ascii="黑体" w:hAnsi="Times New Roman" w:eastAsia="黑体" w:cs="黑体"/>
          <w:sz w:val="32"/>
          <w:szCs w:val="32"/>
        </w:rPr>
        <w:t>部门（汇总</w:t>
      </w:r>
      <w:r>
        <w:rPr>
          <w:rFonts w:hint="eastAsia" w:ascii="黑体" w:hAnsi="Times New Roman" w:eastAsia="黑体" w:cs="黑体"/>
          <w:sz w:val="32"/>
          <w:szCs w:val="32"/>
          <w:lang w:eastAsia="zh-CN"/>
        </w:rPr>
        <w:t>）</w:t>
      </w:r>
      <w:r>
        <w:rPr>
          <w:rFonts w:hint="eastAsia" w:ascii="黑体" w:hAnsi="Times New Roman" w:eastAsia="黑体" w:cs="黑体"/>
          <w:sz w:val="32"/>
          <w:szCs w:val="32"/>
        </w:rPr>
        <w:t>/本级</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2024年部门收支预算表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年部门收入预算表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年一般公共预算支出预算表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十、项目支出预算表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rPr>
        <w:t>十一</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red"/>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eastAsia="zh-CN"/>
        </w:rPr>
        <w:t>应急管理局</w:t>
      </w:r>
      <w:r>
        <w:rPr>
          <w:rFonts w:hint="eastAsia" w:ascii="方正小标宋简体" w:hAnsi="方正小标宋简体" w:eastAsia="方正小标宋简体" w:cs="方正小标宋简体"/>
          <w:sz w:val="36"/>
          <w:szCs w:val="36"/>
        </w:rPr>
        <w:t>概况</w:t>
      </w: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应急管理局</w:t>
      </w:r>
      <w:r>
        <w:rPr>
          <w:rFonts w:hint="eastAsia" w:ascii="黑体" w:hAnsi="黑体" w:eastAsia="黑体"/>
          <w:sz w:val="32"/>
          <w:szCs w:val="32"/>
        </w:rPr>
        <w:t>主要职责</w:t>
      </w:r>
    </w:p>
    <w:p>
      <w:pPr>
        <w:pStyle w:val="7"/>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职能转变。加强、优化、统筹全区应急能力建设，构建统一领导、责权一致、权威高效的应急能力体系，推动形成统一指挥、专常兼备、反应灵敏、上下联动、平战结合的应急管理体制。坚持以防为主、防抗救结合，提高本区应急管理水平和防灾减灾救灾能力，防范化解较大以上安全风险。坚持以人为本，把确保人民群众生命安全放在首位，切实减少人员伤亡和财产损失。树立安全发展理念，坚持生命至上、安全第一，完善安全生产责任制，坚决遏制较大安全事故。</w:t>
      </w:r>
    </w:p>
    <w:p>
      <w:pPr>
        <w:pStyle w:val="7"/>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（二）主要职责是：</w:t>
      </w:r>
    </w:p>
    <w:p>
      <w:pPr>
        <w:keepNext w:val="0"/>
        <w:keepLines w:val="0"/>
        <w:pageBreakBefore w:val="0"/>
        <w:widowControl w:val="0"/>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（1）负责本区应急管理工作，指导全区各部门应对安全生产类、自然灾害类等突发事件和综合防灾减灾救灾工作。负责安全生产综合监督管理和工矿商贸行业安全生产监督管理工作。</w:t>
      </w:r>
    </w:p>
    <w:p>
      <w:pPr>
        <w:keepNext w:val="0"/>
        <w:keepLines w:val="0"/>
        <w:pageBreakBefore w:val="0"/>
        <w:widowControl w:val="0"/>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（2）拟订本区应急管理、安全生产等方针政策，负责全区安全生产应急救援资源综合管理工作，组织编制应急体系建设、安全生产和综合防灾减灾规划，组织制定相关规程和标准并监督实施。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指导本区应急预案体系建设,建立完善事故灾难和自然灾害分级应对制度,组织编制全区总体应急预案和安全生产类、自然灾害类专项预案,综合协调应急预案衔接工作,组织开展预案演练,推动应急避难设施建设。</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（4）牵头建立统一的本区应急管理信息系统,负责信息传输和共享,建立监测预警和灾情报告制度,健全自然灾害信息资源获取和共享机制,依法统一发布灾情。</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（5）组织指导协调安全生产类、自然灾害类等突发事件应急救援,承担全区应对较大灾害指挥部工作,综合研判突发事件发展态势并提出应对建议,协助区委、区政府指定的负责同志组织较大灾害应急处置工作。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（6）统一协调指挥各类应急专业队伍,建立应急协调联动机制,推进指挥平台对接,衔接驻新解放军和武警部队参与应急救援工作。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（7）统筹应急救援力量建设,负责森林火灾扑救、抗洪抢险、地震和地质灾害救援、生产安全事故救援（含煤矿）等专业应急救援力量建设,指导全区综合性应急救援队伍建设,指导镇办及社会应急救援力量建设。</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（8）组织指导消防工作，指导消防监督、火灾预防、火灾扑救等工作。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（9）指导协调全区森林火灾、水旱灾害、地震和地质灾害等防治工作,依法监督管理全区防灾减灾工作，指导协调地震灾害综合防御等工作，负责自然灾害综合监测预警工作,指导开展自然灾害综合风险评估工作。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（10）组织协调全区灾害救助工作,组织指导灾情核查、损失评估、救灾捐赠工作,管理、分配救灾款物并监督使用。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（11）依法行使安全生产综合监督管理职权,指导协调、监督检查区政府有关部门和各镇办安全生产工作,督促、指导安全生产责任落实。组织开展安全生产巡查、考核工作。承担区安全生产委员会日常工作。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按照分级、属地原则,依法监督检查工矿商贸生产经营单位贯彻执行安全生产法律法规情况,及其安全生产条件和有关设备（特种设备除外）、材料、劳动防护用品的安全生产管理工作。依法组织并指导监督实施安全生产准入制度。负责危险化学品安全监督管理综合工作和烟花爆竹经营企业安全生产监督管理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依法组织指导生产安全事故调查处理,监督事故查处和责任追究落实情况。组织开展自然灾害类突发事件的调查评估工作。协助国家、省、市调查处理较大以上事故。综合管理全区生产安全伤亡事故、事故隐患排查治理、安全生产统计分析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（14）制定应急物资储备和应急救援装备规划并组织实施，会同区发展与改革委员会建立健全应急物资信息平台和调拨制度，在救灾时统一调度。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负责应急管理、安全生产宣传教育和培训工作,组织指导应急管理、安全生产的科学技术推广应用和信息化建设工作。依法组织、指导并监督特种作业（不含煤矿安全作业）人员操作资格考核工作和工矿商贸生产经营单位（不含煤矿企业）主要负责人、安全生产管理人员安全生产知识和管理能力考核工作,监督检查工矿商贸生产经营单位安全培训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（16）负责监督指导和组织协调全区安全生产行政执法工作。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（17）开展应急管理方面的交流与合作,组织参与安全生产类、自然灾害类等突发事件的跨区域救援工作。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（18）完成区委、区政府交办的其他任务。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（19）有关职责分工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1.与市国土资源局二分局、区农业农村局、区城市管理局等</w:t>
      </w:r>
      <w:r>
        <w:rPr>
          <w:rFonts w:hint="eastAsia" w:ascii="仿宋_GB2312" w:hAnsi="仿宋_GB2312" w:eastAsia="仿宋_GB2312" w:cs="仿宋_GB2312"/>
          <w:sz w:val="32"/>
          <w:szCs w:val="32"/>
        </w:rPr>
        <w:t>部门在自然灾害防救方面的职责分工。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区应急管理局负责统一组织、统一指挥、统一协调自然灾害类突发事件应急救援,统筹综合防灾减灾救灾工作。各行业主管部门依法承担相关行业的灾害监测、预警、防治及保障工作。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区应急管理局负责组织编制区总体应急预案和自然灾害类专项预案,综合协调应急预案衔接工作,组织开展预案演练。按照分级负责的原则,负责自然灾害类应急救援;组织协调较大灾害应急救援工作,并按权限作出决定;承担区应对较大灾害指挥部工作,协助区委、区政府指定的负责同志组织较大灾害应急处置工作。组织编制全区综合防灾减灾规划,指导协调相关部门森林火灾、水旱灾害、地震和地质灾害等防治工作;会同</w:t>
      </w:r>
      <w:r>
        <w:rPr>
          <w:rFonts w:hint="eastAsia" w:ascii="仿宋_GB2312" w:hAnsi="仿宋_GB2312" w:eastAsia="仿宋_GB2312" w:cs="仿宋_GB2312"/>
          <w:color w:val="000000"/>
          <w:sz w:val="32"/>
          <w:szCs w:val="32"/>
        </w:rPr>
        <w:t>市国土资源局二分局、区农业农村局、区城市管理局</w:t>
      </w:r>
      <w:r>
        <w:rPr>
          <w:rFonts w:hint="eastAsia" w:ascii="仿宋_GB2312" w:hAnsi="仿宋_GB2312" w:eastAsia="仿宋_GB2312" w:cs="仿宋_GB2312"/>
          <w:sz w:val="32"/>
          <w:szCs w:val="32"/>
        </w:rPr>
        <w:t>等有关部门建立统一的应急管理信息平台,建立监测预警和灾情报告制度,健全自然灾害信息资源获取和共享机制,依法统一发布灾情。开展多灾种和灾害链综合监测预警,指导开展自然灾害综合风险评估,指导森林火情监测预警工作,发布森林火险、火灾信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color w:val="000000"/>
          <w:sz w:val="32"/>
          <w:szCs w:val="32"/>
        </w:rPr>
        <w:t>市国土资源局二分局</w:t>
      </w:r>
      <w:r>
        <w:rPr>
          <w:rFonts w:hint="eastAsia" w:ascii="仿宋_GB2312" w:hAnsi="仿宋_GB2312" w:eastAsia="仿宋_GB2312" w:cs="仿宋_GB2312"/>
          <w:sz w:val="32"/>
          <w:szCs w:val="32"/>
        </w:rPr>
        <w:t>负责落实综合防灾减灾规划相关要求，组织编制地质灾害防治规划和防护标准并指导实施;组织指导协调和监督地质灾害调查评价及隐患的普查、详查、排查;指导开展群测群防、专业监测和预报预警等工作,指导开展地质灾害工程治理工作;承担地质灾害应急救援的技术支撑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区农业农村局负责落实非城区综合防灾减灾规划相关要求,组织编制洪水干旱灾害防治规划和防护标准并指导实施;承担水情旱情监测预警工作;组织编制域内河流、水工程的防御洪水抗御旱灾调度和应急水量调度方案,按程序报批并组织实施;承担防御洪水应急抢险的技术支撑工作；承担台风防御期间水工程调度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区农业农村局负责落实综合防灾减灾规划相关要求,组织编制森林火灾防治规划和防护标准并指导实施;指导开展防火巡护、火源管理、防火设施建设等工作;组织指导国有林场开展防火宣传教育、监测预警、督促检查等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（5）区城管局负责落实城区综合防灾减灾规划相关要求,组织编制洪水干旱灾害防治规划和防护标准并指导实施。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color w:val="000000"/>
          <w:sz w:val="32"/>
          <w:szCs w:val="32"/>
        </w:rPr>
        <w:t>国土资源局二分局、区农业农村局、区城市管理局</w:t>
      </w:r>
      <w:r>
        <w:rPr>
          <w:rFonts w:hint="eastAsia" w:ascii="仿宋_GB2312" w:hAnsi="仿宋_GB2312" w:eastAsia="仿宋_GB2312" w:cs="仿宋_GB2312"/>
          <w:sz w:val="32"/>
          <w:szCs w:val="32"/>
        </w:rPr>
        <w:t>等部门必要时可以提请区应急管理局,以区应急指挥机构名义部署相关防治工作。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2.与区发展与改革委员会在区级救灾物资储备方面的职责分工。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（1）区应急管理局负责提出区级救灾物资的储备需求和动用决策,组织编制区级救灾物资储备规划、品种目录和标准,会同区发展与改革委员会等部门确定年度购置计划,根据需要下达动用指令。</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（2）区发展与改革委员会根据区级救灾物资储备规划、品种目录和标准、年度购置计划,负责区级救灾物资的收储、轮换和日常管理,根据区应急管理局的动用指令按程序组织调出。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3.与相关部门在安全生产监督管理方面的职责分工。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区应急管理局履行安全生产综合监管职责,具体指导协调和监督检查本级政府负有安全生产监督管理职责的部门及镇办的安全生产工作。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各负有安全生产监督管理职责的部门按照“管行业必须管安全,管业务必须管安全,管生产经营必须管安全”的安全生产责任体系要求,依法具体负责本行业领域的安全生产监督管理工作。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4.与区城乡建设局关于燃气与天然气安全监管职责分工。</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城镇燃气由区城乡建设局负责监管,城市门站以外的天然气管道输送由区应急管理局负责监管。</w:t>
      </w:r>
    </w:p>
    <w:p>
      <w:pPr>
        <w:pStyle w:val="11"/>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kern w:val="2"/>
          <w:sz w:val="32"/>
          <w:szCs w:val="32"/>
        </w:rPr>
        <w:t>关于石油天然气输送管道安全监管的职责分工。区发展改革委负责主管道全区石油天然气管道（城镇燃气管道和炼油、化工等企业内管道除外）保护工作，协调处理全区管道保护的重大问题，指导、监督有关单位履行管道保护义务，依法查处危害管道安全的违法行为。区应急管理局负责石油天然气管道工程建设项目（城镇燃气管道除外）安全设施设计审查和竣工验收的监督核查工作，以及其生产安全事故调查处理和生产安全事故应急救援的综合监督管理工作。公安、国土资源、生态环境、市场监管等部门在各自职责范围内负责管道保护相关监管工作。</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highlight w:val="none"/>
          <w:lang w:eastAsia="zh-CN"/>
        </w:rPr>
        <w:t>应急管理局</w:t>
      </w:r>
      <w:r>
        <w:rPr>
          <w:rFonts w:hint="eastAsia" w:ascii="黑体" w:hAnsi="黑体" w:eastAsia="黑体"/>
          <w:sz w:val="32"/>
          <w:szCs w:val="32"/>
          <w:highlight w:val="none"/>
        </w:rPr>
        <w:t>单位构成</w:t>
      </w:r>
    </w:p>
    <w:p>
      <w:pPr>
        <w:keepNext w:val="0"/>
        <w:keepLines w:val="0"/>
        <w:pageBreakBefore w:val="0"/>
        <w:widowControl w:val="0"/>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新乡市卫滨区应急管理局</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年度部门预算</w:t>
      </w:r>
      <w:r>
        <w:rPr>
          <w:rFonts w:hint="eastAsia" w:ascii="仿宋_GB2312" w:hAnsi="仿宋_GB2312" w:eastAsia="仿宋_GB2312" w:cs="仿宋_GB2312"/>
          <w:sz w:val="32"/>
          <w:szCs w:val="32"/>
          <w:lang w:eastAsia="zh-CN"/>
        </w:rPr>
        <w:t>包括局本级预算和二级机构预算。</w:t>
      </w:r>
    </w:p>
    <w:p>
      <w:pPr>
        <w:keepNext w:val="0"/>
        <w:keepLines w:val="0"/>
        <w:pageBreakBefore w:val="0"/>
        <w:widowControl w:val="0"/>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新乡市卫滨区应急管理</w:t>
      </w:r>
      <w:r>
        <w:rPr>
          <w:rFonts w:hint="eastAsia" w:ascii="仿宋_GB2312" w:hAnsi="仿宋_GB2312" w:eastAsia="仿宋_GB2312" w:cs="仿宋_GB2312"/>
          <w:sz w:val="32"/>
          <w:szCs w:val="32"/>
        </w:rPr>
        <w:t>局</w:t>
      </w:r>
      <w:r>
        <w:rPr>
          <w:rFonts w:hint="eastAsia" w:ascii="仿宋_GB2312" w:hAnsi="仿宋_GB2312" w:eastAsia="仿宋_GB2312" w:cs="仿宋_GB2312"/>
          <w:sz w:val="32"/>
          <w:szCs w:val="32"/>
          <w:lang w:eastAsia="zh-CN"/>
        </w:rPr>
        <w:t>设下列内设机构：</w:t>
      </w:r>
      <w:r>
        <w:rPr>
          <w:rFonts w:hint="eastAsia" w:ascii="仿宋_GB2312" w:hAnsi="仿宋_GB2312" w:eastAsia="仿宋_GB2312" w:cs="仿宋_GB2312"/>
          <w:sz w:val="32"/>
          <w:szCs w:val="32"/>
          <w:lang w:val="en-US" w:eastAsia="zh-CN"/>
        </w:rPr>
        <w:t>综合</w:t>
      </w:r>
      <w:r>
        <w:rPr>
          <w:rFonts w:hint="eastAsia" w:ascii="Times New Roman" w:hAnsi="仿宋_GB2312" w:eastAsia="仿宋_GB2312"/>
          <w:sz w:val="32"/>
          <w:szCs w:val="32"/>
        </w:rPr>
        <w:t>办公室</w:t>
      </w:r>
      <w:r>
        <w:rPr>
          <w:rFonts w:hint="eastAsia" w:ascii="仿宋_GB2312" w:hAnsi="仿宋_GB2312" w:eastAsia="仿宋_GB2312" w:cs="仿宋_GB2312"/>
          <w:sz w:val="32"/>
          <w:szCs w:val="32"/>
          <w:lang w:val="en-US" w:eastAsia="zh-CN"/>
        </w:rPr>
        <w:t>、</w:t>
      </w:r>
      <w:r>
        <w:rPr>
          <w:rFonts w:hint="eastAsia" w:ascii="Times New Roman" w:hAnsi="仿宋_GB2312" w:eastAsia="仿宋_GB2312"/>
          <w:sz w:val="32"/>
          <w:szCs w:val="32"/>
        </w:rPr>
        <w:t>安全监督管理股</w:t>
      </w:r>
      <w:r>
        <w:rPr>
          <w:rFonts w:hint="eastAsia" w:ascii="Times New Roman" w:hAnsi="仿宋_GB2312" w:eastAsia="仿宋_GB2312"/>
          <w:sz w:val="32"/>
          <w:szCs w:val="32"/>
          <w:lang w:eastAsia="zh-CN"/>
        </w:rPr>
        <w:t>、</w:t>
      </w:r>
      <w:r>
        <w:rPr>
          <w:rFonts w:hint="eastAsia" w:ascii="Times New Roman" w:hAnsi="仿宋_GB2312" w:eastAsia="仿宋_GB2312"/>
          <w:sz w:val="32"/>
          <w:szCs w:val="32"/>
        </w:rPr>
        <w:t>应急救援协调股</w:t>
      </w:r>
      <w:r>
        <w:rPr>
          <w:rFonts w:hint="eastAsia" w:ascii="Times New Roman" w:hAnsi="仿宋_GB2312" w:eastAsia="仿宋_GB2312"/>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right="0" w:rightChars="0" w:firstLine="640" w:firstLineChars="200"/>
        <w:jc w:val="left"/>
        <w:textAlignment w:val="auto"/>
        <w:outlineLvl w:val="9"/>
        <w:rPr>
          <w:rFonts w:hint="eastAsia" w:ascii="Times New Roman" w:hAnsi="仿宋_GB2312" w:eastAsia="仿宋_GB2312"/>
          <w:sz w:val="32"/>
          <w:szCs w:val="32"/>
          <w:lang w:eastAsia="zh-CN"/>
        </w:rPr>
      </w:pPr>
      <w:r>
        <w:rPr>
          <w:rFonts w:hint="eastAsia" w:ascii="仿宋_GB2312" w:hAnsi="宋体" w:eastAsia="仿宋_GB2312" w:cs="Courier New"/>
          <w:kern w:val="0"/>
          <w:sz w:val="32"/>
          <w:szCs w:val="32"/>
          <w:lang w:val="en-US" w:eastAsia="zh-CN"/>
        </w:rPr>
        <w:t>新乡市卫滨区应急救援保障中心</w:t>
      </w:r>
      <w:r>
        <w:rPr>
          <w:rFonts w:hint="eastAsia" w:ascii="仿宋_GB2312" w:hAnsi="仿宋_GB2312" w:eastAsia="仿宋_GB2312" w:cs="仿宋_GB2312"/>
          <w:sz w:val="32"/>
          <w:szCs w:val="32"/>
          <w:lang w:eastAsia="zh-CN"/>
        </w:rPr>
        <w:t>设下列内设机构：</w:t>
      </w:r>
      <w:r>
        <w:rPr>
          <w:rFonts w:hint="eastAsia" w:ascii="Times New Roman" w:hAnsi="仿宋_GB2312" w:eastAsia="仿宋_GB2312"/>
          <w:sz w:val="32"/>
          <w:szCs w:val="32"/>
        </w:rPr>
        <w:t>灾害防治指导股、预案管理股</w:t>
      </w:r>
      <w:r>
        <w:rPr>
          <w:rFonts w:hint="eastAsia" w:ascii="Times New Roman" w:hAnsi="仿宋_GB2312" w:eastAsia="仿宋_GB2312"/>
          <w:sz w:val="32"/>
          <w:szCs w:val="32"/>
          <w:lang w:eastAsia="zh-CN"/>
        </w:rPr>
        <w:t>。</w:t>
      </w:r>
    </w:p>
    <w:p>
      <w:pPr>
        <w:keepNext w:val="0"/>
        <w:keepLines w:val="0"/>
        <w:pageBreakBefore w:val="0"/>
        <w:widowControl w:val="0"/>
        <w:wordWrap/>
        <w:topLinePunct w:val="0"/>
        <w:bidi w:val="0"/>
        <w:spacing w:line="360" w:lineRule="auto"/>
        <w:ind w:firstLine="640" w:firstLineChars="200"/>
        <w:jc w:val="left"/>
        <w:textAlignment w:val="auto"/>
        <w:rPr>
          <w:rFonts w:hint="eastAsia" w:ascii="Times New Roman" w:hAnsi="仿宋_GB2312" w:eastAsia="仿宋_GB2312"/>
          <w:sz w:val="32"/>
          <w:szCs w:val="32"/>
          <w:lang w:val="en-US" w:eastAsia="zh-CN"/>
        </w:rPr>
      </w:pPr>
      <w:r>
        <w:rPr>
          <w:rFonts w:hint="eastAsia" w:ascii="仿宋_GB2312" w:hAnsi="宋体" w:eastAsia="仿宋_GB2312" w:cs="Courier New"/>
          <w:kern w:val="0"/>
          <w:sz w:val="32"/>
          <w:szCs w:val="32"/>
          <w:lang w:val="en-US" w:eastAsia="zh-CN"/>
        </w:rPr>
        <w:t>新乡市卫滨区应急监督大队</w:t>
      </w:r>
      <w:r>
        <w:rPr>
          <w:rFonts w:hint="eastAsia" w:ascii="仿宋_GB2312" w:hAnsi="仿宋_GB2312" w:eastAsia="仿宋_GB2312" w:cs="仿宋_GB2312"/>
          <w:sz w:val="32"/>
          <w:szCs w:val="32"/>
          <w:lang w:eastAsia="zh-CN"/>
        </w:rPr>
        <w:t>设下列内设机构：</w:t>
      </w:r>
      <w:r>
        <w:rPr>
          <w:rFonts w:hint="eastAsia" w:ascii="Times New Roman" w:hAnsi="仿宋_GB2312" w:eastAsia="仿宋_GB2312"/>
          <w:sz w:val="32"/>
          <w:szCs w:val="32"/>
          <w:lang w:val="en-US" w:eastAsia="zh-CN"/>
        </w:rPr>
        <w:t>安全生产管理</w:t>
      </w:r>
      <w:r>
        <w:rPr>
          <w:rFonts w:hint="eastAsia" w:ascii="Times New Roman" w:hAnsi="仿宋_GB2312" w:eastAsia="仿宋_GB2312"/>
          <w:sz w:val="32"/>
          <w:szCs w:val="32"/>
        </w:rPr>
        <w:t>股</w:t>
      </w:r>
      <w:r>
        <w:rPr>
          <w:rFonts w:hint="eastAsia" w:ascii="Times New Roman" w:hAnsi="仿宋_GB2312" w:eastAsia="仿宋_GB2312"/>
          <w:sz w:val="32"/>
          <w:szCs w:val="32"/>
          <w:lang w:eastAsia="zh-CN"/>
        </w:rPr>
        <w:t>，</w:t>
      </w:r>
      <w:r>
        <w:rPr>
          <w:rFonts w:hint="eastAsia" w:ascii="Times New Roman" w:hAnsi="仿宋_GB2312" w:eastAsia="仿宋_GB2312"/>
          <w:sz w:val="32"/>
          <w:szCs w:val="32"/>
          <w:lang w:val="en-US" w:eastAsia="zh-CN"/>
        </w:rPr>
        <w:t>法治宣传股。</w:t>
      </w:r>
    </w:p>
    <w:p>
      <w:pPr>
        <w:keepNext w:val="0"/>
        <w:keepLines w:val="0"/>
        <w:pageBreakBefore w:val="0"/>
        <w:widowControl w:val="0"/>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w:t>
      </w:r>
      <w:r>
        <w:rPr>
          <w:rFonts w:hint="eastAsia" w:ascii="仿宋_GB2312" w:hAnsi="仿宋_GB2312" w:eastAsia="仿宋_GB2312" w:cs="仿宋_GB2312"/>
          <w:sz w:val="32"/>
          <w:szCs w:val="32"/>
          <w:lang w:eastAsia="zh-CN"/>
        </w:rPr>
        <w:t>本部门</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年度部门预算编制范围的单位</w:t>
      </w:r>
      <w:r>
        <w:rPr>
          <w:rFonts w:hint="eastAsia" w:ascii="仿宋_GB2312" w:hAnsi="仿宋_GB2312" w:eastAsia="仿宋_GB2312" w:cs="仿宋_GB2312"/>
          <w:sz w:val="32"/>
          <w:szCs w:val="32"/>
          <w:lang w:eastAsia="zh-CN"/>
        </w:rPr>
        <w:t>共</w:t>
      </w:r>
      <w:r>
        <w:rPr>
          <w:rFonts w:hint="eastAsia" w:ascii="仿宋_GB2312" w:hAnsi="仿宋_GB2312" w:eastAsia="仿宋_GB2312" w:cs="仿宋_GB2312"/>
          <w:sz w:val="32"/>
          <w:szCs w:val="32"/>
          <w:lang w:val="en-US" w:eastAsia="zh-CN"/>
        </w:rPr>
        <w:t>3个，其中二级机构2个，具体是</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宋体" w:eastAsia="仿宋_GB2312" w:cs="Courier New"/>
          <w:kern w:val="0"/>
          <w:sz w:val="32"/>
          <w:szCs w:val="32"/>
          <w:lang w:val="en-US" w:eastAsia="zh-CN"/>
        </w:rPr>
        <w:t>新乡市卫滨区应急管理局</w:t>
      </w:r>
      <w:r>
        <w:rPr>
          <w:rFonts w:hint="eastAsia" w:ascii="仿宋_GB2312" w:hAnsi="Times New Roman" w:eastAsia="仿宋_GB2312" w:cs="仿宋_GB2312"/>
          <w:spacing w:val="-1"/>
          <w:kern w:val="0"/>
          <w:sz w:val="32"/>
          <w:szCs w:val="32"/>
        </w:rPr>
        <w:t>机关本级</w:t>
      </w:r>
    </w:p>
    <w:p>
      <w:pPr>
        <w:keepNext w:val="0"/>
        <w:keepLines w:val="0"/>
        <w:pageBreakBefore w:val="0"/>
        <w:widowControl w:val="0"/>
        <w:numPr>
          <w:ilvl w:val="0"/>
          <w:numId w:val="3"/>
        </w:numPr>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w:t>
      </w:r>
      <w:r>
        <w:rPr>
          <w:rFonts w:hint="eastAsia" w:ascii="仿宋_GB2312" w:hAnsi="宋体" w:eastAsia="仿宋_GB2312" w:cs="Courier New"/>
          <w:kern w:val="0"/>
          <w:sz w:val="32"/>
          <w:szCs w:val="32"/>
          <w:lang w:val="en-US" w:eastAsia="zh-CN"/>
        </w:rPr>
        <w:t>乡市卫滨区应急救援保障中心（未独立核算）</w:t>
      </w:r>
    </w:p>
    <w:p>
      <w:pPr>
        <w:keepNext w:val="0"/>
        <w:keepLines w:val="0"/>
        <w:pageBreakBefore w:val="0"/>
        <w:widowControl w:val="0"/>
        <w:numPr>
          <w:ilvl w:val="0"/>
          <w:numId w:val="3"/>
        </w:numPr>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宋体" w:eastAsia="仿宋_GB2312" w:cs="Courier New"/>
          <w:kern w:val="0"/>
          <w:sz w:val="32"/>
          <w:szCs w:val="32"/>
          <w:lang w:val="en-US" w:eastAsia="zh-CN"/>
        </w:rPr>
        <w:t>新乡市卫滨区应急管理综合行政执法大队（未独立核算）</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eastAsia="zh-CN"/>
        </w:rPr>
        <w:t>应急管理局</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部门预算情况说明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仿宋_GB2312" w:eastAsia="仿宋_GB2312" w:cs="仿宋_GB2312"/>
          <w:sz w:val="32"/>
          <w:szCs w:val="32"/>
          <w:lang w:val="en-US" w:eastAsia="zh-CN"/>
        </w:rPr>
        <w:t>新乡市卫滨区应急管理局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229.2</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229.2</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增加</w:t>
      </w:r>
      <w:r>
        <w:rPr>
          <w:rFonts w:hint="default" w:ascii="Times New Roman" w:hAnsi="Times New Roman" w:eastAsia="仿宋_GB2312" w:cs="Times New Roman"/>
          <w:sz w:val="32"/>
          <w:szCs w:val="32"/>
          <w:lang w:val="en-US" w:eastAsia="zh-CN"/>
        </w:rPr>
        <w:t>7</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3.15</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人员经费和社会保障支出费用增加;</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增加</w:t>
      </w:r>
      <w:r>
        <w:rPr>
          <w:rFonts w:hint="default" w:ascii="Times New Roman" w:hAnsi="Times New Roman" w:eastAsia="仿宋_GB2312" w:cs="Times New Roman"/>
          <w:sz w:val="32"/>
          <w:szCs w:val="32"/>
          <w:lang w:val="en-US" w:eastAsia="zh-CN"/>
        </w:rPr>
        <w:t>7</w:t>
      </w:r>
      <w:r>
        <w:rPr>
          <w:rFonts w:hint="eastAsia" w:ascii="仿宋_GB2312" w:hAnsi="仿宋_GB2312" w:eastAsia="仿宋_GB2312" w:cs="仿宋_GB2312"/>
          <w:sz w:val="32"/>
          <w:szCs w:val="32"/>
        </w:rPr>
        <w:t>万元，增长</w:t>
      </w:r>
      <w:r>
        <w:rPr>
          <w:rFonts w:hint="default" w:ascii="Times New Roman" w:hAnsi="Times New Roman" w:eastAsia="仿宋_GB2312" w:cs="Times New Roman"/>
          <w:sz w:val="32"/>
          <w:szCs w:val="32"/>
          <w:lang w:val="en-US" w:eastAsia="zh-CN"/>
        </w:rPr>
        <w:t>3.15</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人员增加</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新乡市卫滨区应急管理局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229.2</w:t>
      </w:r>
      <w:r>
        <w:rPr>
          <w:rFonts w:hint="eastAsia" w:ascii="仿宋_GB2312" w:hAnsi="仿宋_GB2312" w:eastAsia="仿宋_GB2312" w:cs="仿宋_GB2312"/>
          <w:sz w:val="32"/>
          <w:szCs w:val="32"/>
        </w:rPr>
        <w:t>万元，收入预算总计增加</w:t>
      </w:r>
      <w:r>
        <w:rPr>
          <w:rFonts w:hint="default" w:ascii="Times New Roman" w:hAnsi="Times New Roman" w:eastAsia="仿宋_GB2312" w:cs="Times New Roman"/>
          <w:sz w:val="32"/>
          <w:szCs w:val="32"/>
          <w:lang w:val="en-US" w:eastAsia="zh-CN"/>
        </w:rPr>
        <w:t>7</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default" w:ascii="Times New Roman" w:hAnsi="Times New Roman" w:eastAsia="仿宋_GB2312" w:cs="Times New Roman"/>
          <w:color w:val="000000"/>
          <w:sz w:val="32"/>
          <w:szCs w:val="32"/>
          <w:lang w:val="en-US" w:eastAsia="zh-CN"/>
        </w:rPr>
        <w:t>3.15</w:t>
      </w:r>
      <w:r>
        <w:rPr>
          <w:rFonts w:hint="default" w:ascii="Times New Roman" w:hAnsi="Times New Roman" w:eastAsia="仿宋_GB2312" w:cs="Times New Roman"/>
          <w:sz w:val="32"/>
          <w:szCs w:val="32"/>
        </w:rPr>
        <w:t xml:space="preserve"> %</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val="en-US" w:eastAsia="zh-CN"/>
        </w:rPr>
        <w:t>人员经费和社会保障支出费用增加</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229.2</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red"/>
        </w:rPr>
      </w:pPr>
      <w:r>
        <w:rPr>
          <w:rFonts w:hint="eastAsia" w:ascii="仿宋_GB2312" w:hAnsi="仿宋_GB2312" w:eastAsia="仿宋_GB2312" w:cs="仿宋_GB2312"/>
          <w:sz w:val="32"/>
          <w:szCs w:val="32"/>
          <w:lang w:val="en-US" w:eastAsia="zh-CN"/>
        </w:rPr>
        <w:t>新乡市卫滨区应急管理局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229.2</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219.2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95.64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10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4.36</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lang w:val="en-US" w:eastAsia="zh-CN"/>
        </w:rPr>
        <w:t>新乡市卫滨区应急管理局</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sz w:val="32"/>
          <w:szCs w:val="32"/>
          <w:lang w:val="en-US" w:eastAsia="zh-CN"/>
        </w:rPr>
        <w:t>229.2</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万元。与 20</w:t>
      </w:r>
      <w:r>
        <w:rPr>
          <w:rFonts w:hint="eastAsia" w:ascii="仿宋_GB2312" w:hAnsi="仿宋_GB2312" w:eastAsia="仿宋_GB2312" w:cs="仿宋_GB2312"/>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年相比，一般公共预算收支预算增加</w:t>
      </w:r>
      <w:r>
        <w:rPr>
          <w:rFonts w:hint="eastAsia" w:ascii="Times New Roman" w:hAnsi="Times New Roman" w:eastAsia="仿宋_GB2312" w:cs="Times New Roman"/>
          <w:b w:val="0"/>
          <w:bCs w:val="0"/>
          <w:sz w:val="32"/>
          <w:szCs w:val="32"/>
          <w:lang w:val="en-US" w:eastAsia="zh-CN"/>
        </w:rPr>
        <w:t>7</w:t>
      </w:r>
      <w:r>
        <w:rPr>
          <w:rFonts w:hint="eastAsia" w:ascii="仿宋_GB2312" w:hAnsi="仿宋_GB2312" w:eastAsia="仿宋_GB2312" w:cs="仿宋_GB2312"/>
          <w:b w:val="0"/>
          <w:bCs w:val="0"/>
          <w:sz w:val="32"/>
          <w:szCs w:val="32"/>
        </w:rPr>
        <w:t>万元，增长</w:t>
      </w:r>
      <w:r>
        <w:rPr>
          <w:rFonts w:hint="eastAsia" w:ascii="Times New Roman" w:hAnsi="Times New Roman" w:eastAsia="仿宋_GB2312" w:cs="Times New Roman"/>
          <w:b w:val="0"/>
          <w:bCs w:val="0"/>
          <w:sz w:val="32"/>
          <w:szCs w:val="32"/>
          <w:lang w:val="en-US" w:eastAsia="zh-CN"/>
        </w:rPr>
        <w:t>3.15</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仿宋_GB2312" w:hAnsi="仿宋_GB2312" w:eastAsia="仿宋_GB2312" w:cs="仿宋_GB2312"/>
          <w:sz w:val="32"/>
          <w:szCs w:val="32"/>
          <w:lang w:val="en-US" w:eastAsia="zh-CN"/>
        </w:rPr>
        <w:t>人员经费和社会保障支出费用增加</w:t>
      </w:r>
      <w:r>
        <w:rPr>
          <w:rFonts w:hint="eastAsia" w:ascii="仿宋_GB2312" w:hAnsi="仿宋_GB2312" w:eastAsia="仿宋_GB2312" w:cs="仿宋_GB2312"/>
          <w:b w:val="0"/>
          <w:bCs w:val="0"/>
          <w:sz w:val="32"/>
          <w:szCs w:val="32"/>
        </w:rPr>
        <w:t>；政府性基金收支预算增加（减少）</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万元，增长（下降）</w:t>
      </w:r>
      <w:r>
        <w:rPr>
          <w:rFonts w:hint="eastAsia" w:ascii="Times New Roman" w:hAnsi="Times New Roman" w:eastAsia="仿宋_GB2312" w:cs="Times New Roman"/>
          <w:b w:val="0"/>
          <w:bCs w:val="0"/>
          <w:sz w:val="32"/>
          <w:szCs w:val="32"/>
          <w:lang w:val="en-US" w:eastAsia="zh-CN"/>
        </w:rPr>
        <w:t>0</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，主要是</w:t>
      </w:r>
      <w:r>
        <w:rPr>
          <w:rFonts w:hint="eastAsia" w:ascii="仿宋_GB2312" w:hAnsi="仿宋_GB2312" w:eastAsia="仿宋_GB2312" w:cs="仿宋_GB2312"/>
          <w:b w:val="0"/>
          <w:bCs w:val="0"/>
          <w:sz w:val="32"/>
          <w:szCs w:val="32"/>
          <w:lang w:eastAsia="zh-CN"/>
        </w:rPr>
        <w:t>无</w:t>
      </w:r>
      <w:r>
        <w:rPr>
          <w:rFonts w:hint="eastAsia" w:ascii="仿宋_GB2312" w:hAnsi="仿宋_GB2312" w:eastAsia="仿宋_GB2312" w:cs="仿宋_GB2312"/>
          <w:b w:val="0"/>
          <w:bCs w:val="0"/>
          <w:sz w:val="32"/>
          <w:szCs w:val="32"/>
        </w:rPr>
        <w:t>。</w:t>
      </w:r>
    </w:p>
    <w:p>
      <w:pPr>
        <w:keepNext w:val="0"/>
        <w:keepLines w:val="0"/>
        <w:pageBreakBefore w:val="0"/>
        <w:widowControl w:val="0"/>
        <w:shd w:val="clear"/>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shd w:val="clear" w:color="FFFFFF"/>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lang w:val="en-US" w:eastAsia="zh-CN"/>
        </w:rPr>
        <w:t>新乡市卫滨区应急管理局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229.2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219.2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95.64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10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4.36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主要用于以下方面：社会保障和就业（类）支出</w:t>
      </w:r>
      <w:r>
        <w:rPr>
          <w:rFonts w:hint="default" w:ascii="Times New Roman" w:hAnsi="Times New Roman" w:eastAsia="仿宋_GB2312" w:cs="Times New Roman"/>
          <w:sz w:val="32"/>
          <w:szCs w:val="32"/>
          <w:highlight w:val="none"/>
          <w:lang w:val="en-US" w:eastAsia="zh-CN"/>
        </w:rPr>
        <w:t>23.9</w:t>
      </w:r>
      <w:r>
        <w:rPr>
          <w:rFonts w:hint="eastAsia" w:ascii="仿宋_GB2312" w:hAnsi="仿宋_GB2312" w:eastAsia="仿宋_GB2312" w:cs="仿宋_GB2312"/>
          <w:sz w:val="32"/>
          <w:szCs w:val="32"/>
          <w:highlight w:val="none"/>
          <w:lang w:val="en-US" w:eastAsia="zh-CN"/>
        </w:rPr>
        <w:t>万元，占</w:t>
      </w:r>
      <w:r>
        <w:rPr>
          <w:rFonts w:hint="default" w:ascii="Times New Roman" w:hAnsi="Times New Roman" w:eastAsia="仿宋_GB2312" w:cs="Times New Roman"/>
          <w:sz w:val="32"/>
          <w:szCs w:val="32"/>
          <w:highlight w:val="none"/>
          <w:lang w:val="en-US" w:eastAsia="zh-CN"/>
        </w:rPr>
        <w:t>10.43</w:t>
      </w:r>
      <w:r>
        <w:rPr>
          <w:rFonts w:hint="eastAsia" w:ascii="仿宋_GB2312" w:hAnsi="仿宋_GB2312" w:eastAsia="仿宋_GB2312" w:cs="仿宋_GB2312"/>
          <w:sz w:val="32"/>
          <w:szCs w:val="32"/>
          <w:highlight w:val="none"/>
          <w:lang w:val="en-US" w:eastAsia="zh-CN"/>
        </w:rPr>
        <w:t>%；卫生健康（类）支出</w:t>
      </w:r>
      <w:r>
        <w:rPr>
          <w:rFonts w:hint="default" w:ascii="Times New Roman" w:hAnsi="Times New Roman" w:eastAsia="仿宋_GB2312" w:cs="Times New Roman"/>
          <w:sz w:val="32"/>
          <w:szCs w:val="32"/>
          <w:highlight w:val="none"/>
          <w:lang w:val="en-US" w:eastAsia="zh-CN"/>
        </w:rPr>
        <w:t>11.4</w:t>
      </w:r>
      <w:r>
        <w:rPr>
          <w:rFonts w:hint="eastAsia" w:ascii="仿宋_GB2312" w:hAnsi="仿宋_GB2312" w:eastAsia="仿宋_GB2312" w:cs="仿宋_GB2312"/>
          <w:sz w:val="32"/>
          <w:szCs w:val="32"/>
          <w:highlight w:val="none"/>
          <w:lang w:val="en-US" w:eastAsia="zh-CN"/>
        </w:rPr>
        <w:t>万元，占</w:t>
      </w:r>
      <w:r>
        <w:rPr>
          <w:rFonts w:hint="default" w:ascii="Times New Roman" w:hAnsi="Times New Roman" w:eastAsia="仿宋_GB2312" w:cs="Times New Roman"/>
          <w:sz w:val="32"/>
          <w:szCs w:val="32"/>
          <w:highlight w:val="none"/>
          <w:lang w:val="en-US" w:eastAsia="zh-CN"/>
        </w:rPr>
        <w:t>4.97</w:t>
      </w:r>
      <w:r>
        <w:rPr>
          <w:rFonts w:hint="eastAsia" w:ascii="仿宋_GB2312" w:hAnsi="仿宋_GB2312" w:eastAsia="仿宋_GB2312" w:cs="仿宋_GB2312"/>
          <w:sz w:val="32"/>
          <w:szCs w:val="32"/>
          <w:highlight w:val="none"/>
          <w:lang w:val="en-US" w:eastAsia="zh-CN"/>
        </w:rPr>
        <w:t>%；住房保障（类）支出</w:t>
      </w:r>
      <w:r>
        <w:rPr>
          <w:rFonts w:hint="default" w:ascii="Times New Roman" w:hAnsi="Times New Roman" w:eastAsia="仿宋_GB2312" w:cs="Times New Roman"/>
          <w:sz w:val="32"/>
          <w:szCs w:val="32"/>
          <w:highlight w:val="none"/>
          <w:lang w:val="en-US" w:eastAsia="zh-CN"/>
        </w:rPr>
        <w:t>17.9</w:t>
      </w:r>
      <w:r>
        <w:rPr>
          <w:rFonts w:hint="eastAsia" w:ascii="仿宋_GB2312" w:hAnsi="仿宋_GB2312" w:eastAsia="仿宋_GB2312" w:cs="仿宋_GB2312"/>
          <w:sz w:val="32"/>
          <w:szCs w:val="32"/>
          <w:highlight w:val="none"/>
          <w:lang w:val="en-US" w:eastAsia="zh-CN"/>
        </w:rPr>
        <w:t>万元，占</w:t>
      </w:r>
      <w:r>
        <w:rPr>
          <w:rFonts w:hint="default" w:ascii="Times New Roman" w:hAnsi="Times New Roman" w:eastAsia="仿宋_GB2312" w:cs="Times New Roman"/>
          <w:sz w:val="32"/>
          <w:szCs w:val="32"/>
          <w:highlight w:val="none"/>
          <w:lang w:val="en-US" w:eastAsia="zh-CN"/>
        </w:rPr>
        <w:t>7.81</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新乡市卫滨区应急管理局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219.2</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208.8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95.26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10.4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4.74</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10</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10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新乡市卫滨区应急管理局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年政府性基金预算支出年初预算为</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eastAsia="仿宋_GB2312"/>
          <w:sz w:val="32"/>
          <w:szCs w:val="32"/>
          <w:highlight w:val="none"/>
        </w:rPr>
        <w:t>我</w:t>
      </w:r>
      <w:r>
        <w:rPr>
          <w:rFonts w:hint="eastAsia" w:ascii="仿宋_GB2312" w:hAnsi="宋体" w:eastAsia="仿宋_GB2312" w:cs="Courier New"/>
          <w:sz w:val="32"/>
          <w:szCs w:val="32"/>
          <w:highlight w:val="none"/>
          <w:lang w:eastAsia="zh-CN"/>
        </w:rPr>
        <w:t>局</w:t>
      </w:r>
      <w:r>
        <w:rPr>
          <w:rFonts w:hint="eastAsia" w:ascii="仿宋_GB2312" w:hAnsi="宋体" w:eastAsia="仿宋_GB2312" w:cs="Courier New"/>
          <w:sz w:val="32"/>
          <w:szCs w:val="32"/>
          <w:highlight w:val="none"/>
        </w:rPr>
        <w:t>202</w:t>
      </w:r>
      <w:r>
        <w:rPr>
          <w:rFonts w:hint="eastAsia" w:ascii="仿宋_GB2312" w:hAnsi="宋体" w:eastAsia="仿宋_GB2312" w:cs="Courier New"/>
          <w:sz w:val="32"/>
          <w:szCs w:val="32"/>
          <w:highlight w:val="none"/>
          <w:lang w:val="en-US" w:eastAsia="zh-CN"/>
        </w:rPr>
        <w:t>4</w:t>
      </w:r>
      <w:r>
        <w:rPr>
          <w:rFonts w:hint="eastAsia" w:ascii="仿宋_GB2312" w:hAnsi="宋体" w:eastAsia="仿宋_GB2312" w:cs="Courier New"/>
          <w:sz w:val="32"/>
          <w:szCs w:val="32"/>
          <w:highlight w:val="none"/>
        </w:rPr>
        <w:t>年无使用政府性基金预算拨款安排的支出</w:t>
      </w:r>
      <w:r>
        <w:rPr>
          <w:rFonts w:hint="eastAsia" w:ascii="仿宋_GB2312" w:hAnsi="宋体" w:eastAsia="仿宋_GB2312" w:cs="Courier New"/>
          <w:sz w:val="32"/>
          <w:szCs w:val="32"/>
          <w:highlight w:val="none"/>
          <w:lang w:eastAsia="zh-CN"/>
        </w:rPr>
        <w:t>，</w:t>
      </w:r>
      <w:r>
        <w:rPr>
          <w:rFonts w:hint="eastAsia" w:ascii="仿宋_GB2312" w:hAnsi="仿宋_GB2312" w:eastAsia="仿宋_GB2312" w:cs="仿宋_GB2312"/>
          <w:sz w:val="32"/>
          <w:szCs w:val="32"/>
          <w:highlight w:val="none"/>
          <w:lang w:val="en-US" w:eastAsia="zh-CN"/>
        </w:rPr>
        <w:t xml:space="preserve">年初预算为 </w:t>
      </w:r>
      <w:r>
        <w:rPr>
          <w:rFonts w:hint="default"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 xml:space="preserve"> 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lang w:eastAsia="zh-CN"/>
        </w:rPr>
      </w:pPr>
      <w:r>
        <w:rPr>
          <w:rFonts w:hint="eastAsia" w:ascii="黑体" w:hAnsi="Times New Roman" w:eastAsia="黑体" w:cs="黑体"/>
          <w:kern w:val="0"/>
          <w:sz w:val="32"/>
          <w:szCs w:val="32"/>
        </w:rPr>
        <w:t>八、 “三公”经费支出预算情况说明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lang w:val="en-US" w:eastAsia="zh-CN"/>
        </w:rPr>
        <w:t>新乡市卫滨区应急管理局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年增加（减少）</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eastAsia="仿宋_GB2312"/>
          <w:sz w:val="32"/>
          <w:szCs w:val="32"/>
          <w:highlight w:val="none"/>
          <w:lang w:eastAsia="zh-CN"/>
        </w:rPr>
        <w:t>与</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3</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rPr>
        <w:t>保持一致</w:t>
      </w:r>
      <w:r>
        <w:rPr>
          <w:rFonts w:hint="eastAsia" w:ascii="仿宋_GB2312" w:eastAsia="仿宋_GB2312"/>
          <w:sz w:val="32"/>
          <w:szCs w:val="32"/>
          <w:highlight w:val="none"/>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年增加（减少）</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万元。增加（减少）的主要原因是</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。增加（减少）的主要原因是</w:t>
      </w:r>
      <w:r>
        <w:rPr>
          <w:rFonts w:hint="eastAsia" w:ascii="仿宋_GB2312" w:hAnsi="宋体" w:eastAsia="仿宋_GB2312" w:cs="Courier New"/>
          <w:sz w:val="32"/>
          <w:szCs w:val="32"/>
          <w:highlight w:val="none"/>
        </w:rPr>
        <w:t>无</w:t>
      </w:r>
      <w:r>
        <w:rPr>
          <w:rFonts w:hint="eastAsia" w:ascii="仿宋_GB2312" w:hAnsi="宋体" w:eastAsia="仿宋_GB2312" w:cs="Courier New"/>
          <w:sz w:val="32"/>
          <w:szCs w:val="32"/>
        </w:rPr>
        <w:t>。</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left="0" w:leftChars="0" w:right="0" w:rightChars="0" w:firstLine="636" w:firstLineChars="200"/>
        <w:jc w:val="both"/>
        <w:textAlignment w:val="auto"/>
        <w:outlineLvl w:val="9"/>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lang w:eastAsia="zh-CN"/>
        </w:rPr>
        <w:t>（二）</w:t>
      </w:r>
      <w:r>
        <w:rPr>
          <w:rFonts w:hint="eastAsia" w:ascii="华文楷体" w:hAnsi="华文楷体" w:eastAsia="华文楷体" w:cs="仿宋_GB2312"/>
          <w:spacing w:val="-1"/>
          <w:kern w:val="0"/>
          <w:sz w:val="32"/>
          <w:szCs w:val="32"/>
        </w:rPr>
        <w:t>公务用车购置及运行费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 xml:space="preserve"> 年增加（减少）</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万元，主要原因：</w:t>
      </w:r>
      <w:r>
        <w:rPr>
          <w:rFonts w:hint="eastAsia" w:ascii="仿宋_GB2312" w:hAnsi="仿宋_GB2312" w:eastAsia="仿宋_GB2312" w:cs="仿宋_GB2312"/>
          <w:sz w:val="32"/>
          <w:szCs w:val="32"/>
          <w:lang w:eastAsia="zh-CN"/>
        </w:rPr>
        <w:t>无</w:t>
      </w:r>
      <w:r>
        <w:rPr>
          <w:rFonts w:hint="eastAsia" w:ascii="仿宋_GB2312" w:hAnsi="宋体" w:eastAsia="仿宋_GB2312" w:cs="Courier New"/>
          <w:sz w:val="32"/>
          <w:szCs w:val="32"/>
        </w:rPr>
        <w:t xml:space="preserve">。公务用车运行维护费预算数比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hint="eastAsia" w:ascii="仿宋_GB2312" w:hAnsi="宋体" w:eastAsia="仿宋_GB2312" w:cs="Courier New"/>
          <w:sz w:val="32"/>
          <w:szCs w:val="32"/>
        </w:rPr>
        <w:t>年增加（减少）</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万元，增加（减少）的主要原因是</w:t>
      </w:r>
      <w:r>
        <w:rPr>
          <w:rFonts w:hint="eastAsia" w:ascii="仿宋_GB2312" w:hAnsi="仿宋_GB2312" w:eastAsia="仿宋_GB2312" w:cs="仿宋_GB2312"/>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left="0" w:leftChars="0" w:right="0" w:rightChars="0" w:firstLine="636" w:firstLineChars="200"/>
        <w:jc w:val="both"/>
        <w:textAlignment w:val="auto"/>
        <w:outlineLvl w:val="9"/>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年增加（减少）</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万元。增加（减少）的主要原因</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hAnsi="仿宋_GB2312" w:eastAsia="仿宋_GB2312" w:cs="仿宋_GB2312"/>
          <w:sz w:val="32"/>
          <w:szCs w:val="32"/>
          <w:lang w:val="en-US" w:eastAsia="zh-CN"/>
        </w:rPr>
        <w:t>新乡市卫滨区应急管理局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10.4</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ind w:firstLine="640" w:firstLineChars="200"/>
        <w:rPr>
          <w:rFonts w:hint="eastAsia" w:ascii="仿宋_GB2312" w:hAnsi="Times New Roman" w:eastAsia="仿宋_GB2312" w:cs="黑体"/>
          <w:sz w:val="32"/>
          <w:szCs w:val="32"/>
          <w:highlight w:val="none"/>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highlight w:val="none"/>
          <w:lang w:val="en-US" w:eastAsia="zh-CN"/>
        </w:rPr>
        <w:t>我单位</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lang w:val="en-US" w:eastAsia="zh-CN"/>
        </w:rPr>
        <w:t>年未开展重点项目预算的绩效目标。</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1</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15</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1</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10</w:t>
      </w:r>
      <w:r>
        <w:rPr>
          <w:rFonts w:hint="eastAsia" w:ascii="仿宋_GB2312" w:hAnsi="宋体" w:eastAsia="仿宋_GB2312" w:cs="Courier New"/>
          <w:sz w:val="32"/>
          <w:szCs w:val="32"/>
        </w:rPr>
        <w:t>万元</w:t>
      </w: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red"/>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393.97</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Times New Roman" w:hAnsi="Times New Roman" w:eastAsia="仿宋_GB2312" w:cs="Times New Roman"/>
          <w:color w:val="000000"/>
          <w:sz w:val="32"/>
          <w:szCs w:val="32"/>
          <w:lang w:val="en-US" w:eastAsia="zh-CN"/>
        </w:rPr>
        <w:t>23.15</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393.97</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val="en-US" w:eastAsia="zh-CN"/>
        </w:rPr>
        <w:t>应急指挥中心购置设施设备</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仿宋_GB2312" w:eastAsia="仿宋_GB2312" w:cs="仿宋_GB2312"/>
          <w:sz w:val="32"/>
          <w:szCs w:val="32"/>
          <w:lang w:val="en-US" w:eastAsia="zh-CN"/>
        </w:rPr>
        <w:t>新乡市卫滨区应急管理局</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lang w:val="en-US" w:eastAsia="zh-CN"/>
        </w:rPr>
        <w:t>新乡市卫滨区应急管理局</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仿宋_GB2312" w:eastAsia="仿宋_GB2312" w:cs="仿宋_GB2312"/>
          <w:sz w:val="32"/>
          <w:szCs w:val="32"/>
          <w:lang w:val="en-US" w:eastAsia="zh-CN"/>
        </w:rPr>
        <w:t>新乡市卫滨区应急管理局</w:t>
      </w:r>
      <w:r>
        <w:rPr>
          <w:rFonts w:hint="eastAsia" w:ascii="仿宋_GB2312" w:hAnsi="宋体" w:eastAsia="仿宋_GB2312" w:cs="Courier New"/>
          <w:sz w:val="32"/>
          <w:szCs w:val="32"/>
          <w:highlight w:val="none"/>
          <w:lang w:eastAsia="zh-CN"/>
        </w:rPr>
        <w:t xml:space="preserve">《支出经济分类汇总表》从 </w:t>
      </w:r>
      <w:r>
        <w:rPr>
          <w:rFonts w:hint="default" w:ascii="Times New Roman" w:hAnsi="Times New Roman" w:eastAsia="仿宋_GB2312" w:cs="Times New Roman"/>
          <w:sz w:val="32"/>
          <w:szCs w:val="32"/>
          <w:highlight w:val="none"/>
          <w:lang w:eastAsia="zh-CN"/>
        </w:rPr>
        <w:t>2018</w:t>
      </w:r>
      <w:r>
        <w:rPr>
          <w:rFonts w:hint="eastAsia" w:ascii="仿宋_GB2312" w:hAnsi="宋体" w:eastAsia="仿宋_GB2312" w:cs="Courier New"/>
          <w:sz w:val="32"/>
          <w:szCs w:val="32"/>
          <w:highlight w:val="none"/>
          <w:lang w:eastAsia="zh-CN"/>
        </w:rPr>
        <w:t>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numPr>
          <w:ilvl w:val="0"/>
          <w:numId w:val="5"/>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lang w:val="en-US" w:eastAsia="zh-CN"/>
        </w:rPr>
        <w:t>新乡市卫滨区应急管理局</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项，主要是：</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万元等；我</w:t>
      </w:r>
      <w:r>
        <w:rPr>
          <w:rFonts w:hint="eastAsia" w:ascii="仿宋_GB2312" w:hAnsi="宋体" w:eastAsia="仿宋_GB2312" w:cs="Courier New"/>
          <w:sz w:val="32"/>
          <w:szCs w:val="32"/>
          <w:highlight w:val="none"/>
          <w:lang w:val="en-US" w:eastAsia="zh-CN"/>
        </w:rPr>
        <w:t>单位</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黑体" w:eastAsia="黑体"/>
          <w:sz w:val="32"/>
          <w:szCs w:val="32"/>
        </w:rPr>
      </w:pPr>
      <w:bookmarkStart w:id="0" w:name="_GoBack"/>
      <w:bookmarkEnd w:id="0"/>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val="en-US" w:eastAsia="zh-CN"/>
        </w:rPr>
        <w:t>应急管理局</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5"/>
        <w:tblW w:w="9240" w:type="dxa"/>
        <w:tblInd w:w="93" w:type="dxa"/>
        <w:tblLayout w:type="fixed"/>
        <w:tblCellMar>
          <w:top w:w="0" w:type="dxa"/>
          <w:left w:w="108" w:type="dxa"/>
          <w:bottom w:w="0" w:type="dxa"/>
          <w:right w:w="108" w:type="dxa"/>
        </w:tblCellMar>
      </w:tblPr>
      <w:tblGrid>
        <w:gridCol w:w="3080"/>
        <w:gridCol w:w="1540"/>
        <w:gridCol w:w="3080"/>
        <w:gridCol w:w="1540"/>
      </w:tblGrid>
      <w:tr>
        <w:tblPrEx>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年部门收支预算表</w:t>
            </w:r>
          </w:p>
        </w:tc>
      </w:tr>
      <w:tr>
        <w:tblPrEx>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eastAsia="宋体" w:cs="宋体"/>
                <w:i w:val="0"/>
                <w:iCs w:val="0"/>
                <w:color w:val="000000"/>
                <w:kern w:val="0"/>
                <w:sz w:val="18"/>
                <w:szCs w:val="18"/>
                <w:u w:val="none"/>
                <w:lang w:val="en-US" w:eastAsia="zh-CN" w:bidi="ar"/>
              </w:rPr>
              <w:t>新乡市卫滨区应急管理局</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229.2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wordWrap w:val="0"/>
              <w:jc w:val="righ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229.2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23.9</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11.4</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17.9</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176.1</w:t>
            </w: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229.2</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229.2</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229.2</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229.2</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5"/>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年部门收入预算表</w:t>
            </w:r>
          </w:p>
        </w:tc>
      </w:tr>
      <w:tr>
        <w:tblPrEx>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部门名称： </w:t>
            </w:r>
            <w:r>
              <w:rPr>
                <w:rFonts w:hint="eastAsia" w:ascii="宋体" w:hAnsi="宋体" w:eastAsia="宋体" w:cs="宋体"/>
                <w:i w:val="0"/>
                <w:iCs w:val="0"/>
                <w:color w:val="000000"/>
                <w:kern w:val="0"/>
                <w:sz w:val="18"/>
                <w:szCs w:val="18"/>
                <w:u w:val="none"/>
                <w:lang w:val="en-US" w:eastAsia="zh-CN" w:bidi="ar"/>
              </w:rPr>
              <w:t>新乡市卫滨区应急管理局</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CellMar>
            <w:top w:w="0" w:type="dxa"/>
            <w:left w:w="108" w:type="dxa"/>
            <w:bottom w:w="0" w:type="dxa"/>
            <w:right w:w="108" w:type="dxa"/>
          </w:tblCellMar>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205001</w:t>
            </w: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新乡市卫滨区应急管理局</w:t>
            </w:r>
            <w:r>
              <w:rPr>
                <w:rFonts w:hint="eastAsia" w:ascii="宋体" w:hAnsi="宋体" w:cs="宋体"/>
                <w:kern w:val="0"/>
                <w:sz w:val="18"/>
                <w:szCs w:val="18"/>
                <w:highlight w:val="none"/>
              </w:rPr>
              <w:t xml:space="preserve"> </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229.2</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229.2</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229.2</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229.2</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1134"/>
        <w:gridCol w:w="1134"/>
      </w:tblGrid>
      <w:tr>
        <w:tblPrEx>
          <w:tblCellMar>
            <w:top w:w="0" w:type="dxa"/>
            <w:left w:w="108" w:type="dxa"/>
            <w:bottom w:w="0" w:type="dxa"/>
            <w:right w:w="108" w:type="dxa"/>
          </w:tblCellMar>
        </w:tblPrEx>
        <w:trPr>
          <w:trHeight w:val="285" w:hRule="atLeast"/>
        </w:trPr>
        <w:tc>
          <w:tcPr>
            <w:tcW w:w="15041"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CellMar>
            <w:top w:w="0" w:type="dxa"/>
            <w:left w:w="108" w:type="dxa"/>
            <w:bottom w:w="0" w:type="dxa"/>
            <w:right w:w="108" w:type="dxa"/>
          </w:tblCellMar>
        </w:tblPrEx>
        <w:trPr>
          <w:trHeight w:val="570" w:hRule="atLeast"/>
        </w:trPr>
        <w:tc>
          <w:tcPr>
            <w:tcW w:w="15041" w:type="dxa"/>
            <w:gridSpan w:val="14"/>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年部门支出预算表</w:t>
            </w:r>
          </w:p>
          <w:p>
            <w:pPr>
              <w:widowControl/>
              <w:jc w:val="left"/>
              <w:rPr>
                <w:rFonts w:hint="eastAsia" w:ascii="宋体" w:hAnsi="宋体" w:cs="宋体"/>
                <w:b/>
                <w:bCs/>
                <w:kern w:val="0"/>
                <w:sz w:val="38"/>
                <w:szCs w:val="38"/>
                <w:highlight w:val="none"/>
              </w:rPr>
            </w:pPr>
            <w:r>
              <w:rPr>
                <w:rFonts w:hint="eastAsia" w:ascii="宋体" w:hAnsi="宋体" w:cs="宋体"/>
                <w:kern w:val="0"/>
                <w:sz w:val="18"/>
                <w:szCs w:val="18"/>
                <w:highlight w:val="none"/>
              </w:rPr>
              <w:t xml:space="preserve">部门名称： </w:t>
            </w:r>
            <w:r>
              <w:rPr>
                <w:rFonts w:hint="eastAsia" w:ascii="宋体" w:hAnsi="宋体" w:eastAsia="宋体" w:cs="宋体"/>
                <w:i w:val="0"/>
                <w:iCs w:val="0"/>
                <w:color w:val="000000"/>
                <w:kern w:val="0"/>
                <w:sz w:val="18"/>
                <w:szCs w:val="18"/>
                <w:u w:val="none"/>
                <w:lang w:val="en-US" w:eastAsia="zh-CN" w:bidi="ar"/>
              </w:rPr>
              <w:t>新乡市卫滨区应急管理局</w:t>
            </w:r>
            <w:r>
              <w:rPr>
                <w:rFonts w:hint="eastAsia" w:ascii="宋体" w:hAnsi="宋体" w:cs="宋体"/>
                <w:i w:val="0"/>
                <w:iCs w:val="0"/>
                <w:color w:val="000000"/>
                <w:kern w:val="0"/>
                <w:sz w:val="18"/>
                <w:szCs w:val="18"/>
                <w:u w:val="none"/>
                <w:lang w:val="en-US" w:eastAsia="zh-CN" w:bidi="ar"/>
              </w:rPr>
              <w:t xml:space="preserve">                                                                                                                         单位：万元</w:t>
            </w:r>
          </w:p>
        </w:tc>
      </w:tr>
      <w:tr>
        <w:tblPrEx>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229.2</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219.2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205.8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10.4</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205001</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新乡市卫滨区应急管理局</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229.2</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219.2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205.8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10.4</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23.9</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行政单位医疗</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11.4</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住房公积金</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17.9</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224</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行政运行</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176.1</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166.1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152.6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10.4</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5"/>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p>
            <w:pPr>
              <w:widowControl/>
              <w:jc w:val="left"/>
              <w:rPr>
                <w:rFonts w:hint="eastAsia" w:ascii="宋体" w:hAnsi="宋体" w:cs="宋体"/>
                <w:b/>
                <w:bCs/>
                <w:kern w:val="0"/>
                <w:sz w:val="38"/>
                <w:szCs w:val="38"/>
                <w:highlight w:val="none"/>
              </w:rPr>
            </w:pPr>
            <w:r>
              <w:rPr>
                <w:rFonts w:hint="eastAsia" w:ascii="宋体" w:hAnsi="宋体" w:cs="宋体"/>
                <w:kern w:val="0"/>
                <w:sz w:val="18"/>
                <w:szCs w:val="18"/>
                <w:highlight w:val="none"/>
              </w:rPr>
              <w:t xml:space="preserve">部门名称： </w:t>
            </w:r>
            <w:r>
              <w:rPr>
                <w:rFonts w:hint="eastAsia" w:ascii="宋体" w:hAnsi="宋体" w:eastAsia="宋体" w:cs="宋体"/>
                <w:i w:val="0"/>
                <w:iCs w:val="0"/>
                <w:color w:val="000000"/>
                <w:kern w:val="0"/>
                <w:sz w:val="18"/>
                <w:szCs w:val="18"/>
                <w:u w:val="none"/>
                <w:lang w:val="en-US" w:eastAsia="zh-CN" w:bidi="ar"/>
              </w:rPr>
              <w:t>新乡市卫滨区应急管理局</w:t>
            </w:r>
            <w:r>
              <w:rPr>
                <w:rFonts w:hint="eastAsia" w:ascii="宋体" w:hAnsi="宋体" w:cs="宋体"/>
                <w:i w:val="0"/>
                <w:iCs w:val="0"/>
                <w:color w:val="000000"/>
                <w:kern w:val="0"/>
                <w:sz w:val="18"/>
                <w:szCs w:val="18"/>
                <w:u w:val="none"/>
                <w:lang w:val="en-US" w:eastAsia="zh-CN" w:bidi="ar"/>
              </w:rPr>
              <w:t xml:space="preserve">                                                                      单位：万元</w:t>
            </w:r>
          </w:p>
        </w:tc>
      </w:tr>
      <w:tr>
        <w:tblPrEx>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CellMar>
            <w:top w:w="0" w:type="dxa"/>
            <w:left w:w="108" w:type="dxa"/>
            <w:bottom w:w="0" w:type="dxa"/>
            <w:right w:w="108" w:type="dxa"/>
          </w:tblCellMar>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229.2</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229.2</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229.2</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23.9</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23.9</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23.9</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11.4</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11.4</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11.4</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17.9</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17.9</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17.9</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r>
              <w:rPr>
                <w:rFonts w:hint="eastAsia" w:ascii="宋体" w:hAnsi="宋体" w:cs="宋体"/>
                <w:kern w:val="0"/>
                <w:sz w:val="15"/>
                <w:szCs w:val="15"/>
                <w:highlight w:val="none"/>
                <w:lang w:val="en-US" w:eastAsia="zh-CN"/>
              </w:rPr>
              <w:t>176.1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r>
              <w:rPr>
                <w:rFonts w:hint="eastAsia" w:ascii="宋体" w:hAnsi="宋体" w:cs="宋体"/>
                <w:kern w:val="0"/>
                <w:sz w:val="15"/>
                <w:szCs w:val="15"/>
                <w:highlight w:val="none"/>
                <w:lang w:val="en-US" w:eastAsia="zh-CN"/>
              </w:rPr>
              <w:t>176.1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r>
              <w:rPr>
                <w:rFonts w:hint="eastAsia" w:ascii="宋体" w:hAnsi="宋体" w:cs="宋体"/>
                <w:kern w:val="0"/>
                <w:sz w:val="15"/>
                <w:szCs w:val="15"/>
                <w:highlight w:val="none"/>
                <w:lang w:val="en-US" w:eastAsia="zh-CN"/>
              </w:rPr>
              <w:t>176.1</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229.2</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229.2</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229.2</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年一般公共预算支出预算表</w:t>
            </w:r>
          </w:p>
          <w:p>
            <w:pPr>
              <w:widowControl/>
              <w:jc w:val="left"/>
              <w:rPr>
                <w:rFonts w:hint="eastAsia" w:ascii="宋体" w:hAnsi="宋体" w:cs="宋体"/>
                <w:b/>
                <w:bCs/>
                <w:kern w:val="0"/>
                <w:sz w:val="38"/>
                <w:szCs w:val="38"/>
                <w:highlight w:val="none"/>
              </w:rPr>
            </w:pPr>
            <w:r>
              <w:rPr>
                <w:rFonts w:hint="eastAsia" w:ascii="宋体" w:hAnsi="宋体" w:cs="宋体"/>
                <w:kern w:val="0"/>
                <w:sz w:val="18"/>
                <w:szCs w:val="18"/>
                <w:highlight w:val="none"/>
              </w:rPr>
              <w:t xml:space="preserve">部门名称： </w:t>
            </w:r>
            <w:r>
              <w:rPr>
                <w:rFonts w:hint="eastAsia" w:ascii="宋体" w:hAnsi="宋体" w:eastAsia="宋体" w:cs="宋体"/>
                <w:i w:val="0"/>
                <w:iCs w:val="0"/>
                <w:color w:val="000000"/>
                <w:kern w:val="0"/>
                <w:sz w:val="18"/>
                <w:szCs w:val="18"/>
                <w:u w:val="none"/>
                <w:lang w:val="en-US" w:eastAsia="zh-CN" w:bidi="ar"/>
              </w:rPr>
              <w:t>新乡市卫滨区应急管理局</w:t>
            </w:r>
            <w:r>
              <w:rPr>
                <w:rFonts w:hint="eastAsia" w:ascii="宋体" w:hAnsi="宋体" w:cs="宋体"/>
                <w:i w:val="0"/>
                <w:iCs w:val="0"/>
                <w:color w:val="000000"/>
                <w:kern w:val="0"/>
                <w:sz w:val="18"/>
                <w:szCs w:val="18"/>
                <w:u w:val="none"/>
                <w:lang w:val="en-US" w:eastAsia="zh-CN" w:bidi="ar"/>
              </w:rPr>
              <w:t xml:space="preserve">                                                                                                                             单位：万元</w:t>
            </w:r>
          </w:p>
        </w:tc>
      </w:tr>
      <w:tr>
        <w:tblPrEx>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219.2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205.8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205001</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新乡市卫滨区应急管理局</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219.2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205.8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行政单位医疗</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住房公积金</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224</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行政运行</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176.1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176.1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176.1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5920" w:type="dxa"/>
        <w:tblInd w:w="93" w:type="dxa"/>
        <w:tblLayout w:type="fixed"/>
        <w:tblCellMar>
          <w:top w:w="0" w:type="dxa"/>
          <w:left w:w="108" w:type="dxa"/>
          <w:bottom w:w="0" w:type="dxa"/>
          <w:right w:w="108" w:type="dxa"/>
        </w:tblCellMar>
      </w:tblPr>
      <w:tblGrid>
        <w:gridCol w:w="500"/>
        <w:gridCol w:w="224"/>
        <w:gridCol w:w="276"/>
        <w:gridCol w:w="1425"/>
        <w:gridCol w:w="1393"/>
        <w:gridCol w:w="525"/>
        <w:gridCol w:w="480"/>
        <w:gridCol w:w="295"/>
        <w:gridCol w:w="1418"/>
        <w:gridCol w:w="12"/>
        <w:gridCol w:w="720"/>
        <w:gridCol w:w="915"/>
        <w:gridCol w:w="763"/>
        <w:gridCol w:w="47"/>
        <w:gridCol w:w="540"/>
        <w:gridCol w:w="240"/>
        <w:gridCol w:w="840"/>
        <w:gridCol w:w="459"/>
        <w:gridCol w:w="261"/>
        <w:gridCol w:w="1110"/>
        <w:gridCol w:w="472"/>
        <w:gridCol w:w="68"/>
        <w:gridCol w:w="690"/>
        <w:gridCol w:w="855"/>
        <w:gridCol w:w="513"/>
        <w:gridCol w:w="207"/>
        <w:gridCol w:w="672"/>
      </w:tblGrid>
      <w:tr>
        <w:tblPrEx>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3"/>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3"/>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lang w:val="en-US" w:eastAsia="zh-CN"/>
              </w:rPr>
            </w:pPr>
            <w:r>
              <w:rPr>
                <w:rFonts w:hint="eastAsia" w:ascii="宋体" w:hAnsi="宋体" w:cs="宋体"/>
                <w:b/>
                <w:bCs/>
                <w:kern w:val="0"/>
                <w:sz w:val="38"/>
                <w:szCs w:val="38"/>
                <w:highlight w:val="none"/>
              </w:rPr>
              <w:t>一般公共预算基本支出表</w:t>
            </w:r>
            <w:r>
              <w:rPr>
                <w:rFonts w:hint="eastAsia" w:ascii="宋体" w:hAnsi="宋体" w:cs="宋体"/>
                <w:b/>
                <w:bCs/>
                <w:kern w:val="0"/>
                <w:sz w:val="38"/>
                <w:szCs w:val="38"/>
                <w:highlight w:val="none"/>
                <w:lang w:val="en-US" w:eastAsia="zh-CN"/>
              </w:rPr>
              <w:t xml:space="preserve"> </w:t>
            </w:r>
          </w:p>
          <w:p>
            <w:pPr>
              <w:widowControl/>
              <w:jc w:val="left"/>
              <w:rPr>
                <w:rFonts w:hint="eastAsia" w:ascii="宋体" w:hAnsi="宋体" w:cs="宋体"/>
                <w:b/>
                <w:bCs/>
                <w:kern w:val="0"/>
                <w:sz w:val="38"/>
                <w:szCs w:val="38"/>
                <w:highlight w:val="none"/>
                <w:lang w:val="en-US" w:eastAsia="zh-CN"/>
              </w:rPr>
            </w:pPr>
            <w:r>
              <w:rPr>
                <w:rFonts w:hint="eastAsia" w:ascii="宋体" w:hAnsi="宋体" w:cs="宋体"/>
                <w:kern w:val="0"/>
                <w:sz w:val="18"/>
                <w:szCs w:val="18"/>
                <w:highlight w:val="none"/>
              </w:rPr>
              <w:t xml:space="preserve">部门名称： </w:t>
            </w:r>
            <w:r>
              <w:rPr>
                <w:rFonts w:hint="eastAsia" w:ascii="宋体" w:hAnsi="宋体" w:eastAsia="宋体" w:cs="宋体"/>
                <w:i w:val="0"/>
                <w:iCs w:val="0"/>
                <w:color w:val="000000"/>
                <w:kern w:val="0"/>
                <w:sz w:val="18"/>
                <w:szCs w:val="18"/>
                <w:u w:val="none"/>
                <w:lang w:val="en-US" w:eastAsia="zh-CN" w:bidi="ar"/>
              </w:rPr>
              <w:t>新乡市卫滨区应急管理局</w:t>
            </w:r>
            <w:r>
              <w:rPr>
                <w:rFonts w:hint="eastAsia" w:ascii="宋体" w:hAnsi="宋体" w:cs="宋体"/>
                <w:i w:val="0"/>
                <w:iCs w:val="0"/>
                <w:color w:val="000000"/>
                <w:kern w:val="0"/>
                <w:sz w:val="18"/>
                <w:szCs w:val="18"/>
                <w:u w:val="none"/>
                <w:lang w:val="en-US" w:eastAsia="zh-CN" w:bidi="ar"/>
              </w:rPr>
              <w:t xml:space="preserve">                                                                                                                 单位：万元</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219.2</w:t>
            </w: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205.8</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13.4</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30101</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基本工资</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80</w:t>
            </w: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80</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30102</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津贴补贴</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26.4</w:t>
            </w: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26.4</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30103</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奖金</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8.1</w:t>
            </w: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8.1</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30107</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绩效工资</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38.1</w:t>
            </w: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38.1</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30108</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机关事业单位基本养老保险缴费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23.9</w:t>
            </w: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23.9</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30110</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职工基本医疗保险缴费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11.4</w:t>
            </w: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11.4</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30113</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住房公积金</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50103</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住房公积金</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17.9</w:t>
            </w: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17.9</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30201</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办公费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4.4</w:t>
            </w: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4.4</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30228</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工会经费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2</w:t>
            </w: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30239</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其他交通费用</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3.9</w:t>
            </w: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3.9</w:t>
            </w:r>
          </w:p>
        </w:tc>
      </w:tr>
      <w:tr>
        <w:tblPrEx>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30299</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其他商品和服务支出</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50299</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其他商品和服务支出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0.1</w:t>
            </w: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u w:val="none"/>
                <w:lang w:val="en-US" w:eastAsia="zh-CN" w:bidi="ar"/>
              </w:rPr>
              <w:t>30302</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退休费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50905</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3</w:t>
            </w: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07" w:hRule="atLeast"/>
        </w:trPr>
        <w:tc>
          <w:tcPr>
            <w:tcW w:w="15920" w:type="dxa"/>
            <w:gridSpan w:val="27"/>
            <w:tcBorders>
              <w:top w:val="nil"/>
              <w:left w:val="nil"/>
              <w:bottom w:val="nil"/>
              <w:right w:val="nil"/>
            </w:tcBorders>
            <w:shd w:val="clear" w:color="auto" w:fill="auto"/>
            <w:vAlign w:val="center"/>
          </w:tcPr>
          <w:p>
            <w:pPr>
              <w:widowControl/>
              <w:jc w:val="both"/>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CellMar>
            <w:top w:w="0" w:type="dxa"/>
            <w:left w:w="108" w:type="dxa"/>
            <w:bottom w:w="0" w:type="dxa"/>
            <w:right w:w="108" w:type="dxa"/>
          </w:tblCellMar>
        </w:tblPrEx>
        <w:trPr>
          <w:trHeight w:val="570" w:hRule="atLeast"/>
        </w:trPr>
        <w:tc>
          <w:tcPr>
            <w:tcW w:w="15920" w:type="dxa"/>
            <w:gridSpan w:val="27"/>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p>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CellMar>
            <w:top w:w="0" w:type="dxa"/>
            <w:left w:w="108" w:type="dxa"/>
            <w:bottom w:w="0" w:type="dxa"/>
            <w:right w:w="108" w:type="dxa"/>
          </w:tblCellMar>
        </w:tblPrEx>
        <w:trPr>
          <w:trHeight w:val="325" w:hRule="atLeast"/>
        </w:trPr>
        <w:tc>
          <w:tcPr>
            <w:tcW w:w="3818" w:type="dxa"/>
            <w:gridSpan w:val="5"/>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8"/>
                <w:szCs w:val="18"/>
                <w:highlight w:val="none"/>
              </w:rPr>
              <w:t>部门名称：</w:t>
            </w:r>
            <w:r>
              <w:rPr>
                <w:rFonts w:hint="eastAsia" w:ascii="宋体" w:hAnsi="宋体" w:cs="宋体"/>
                <w:kern w:val="0"/>
                <w:sz w:val="15"/>
                <w:szCs w:val="15"/>
                <w:highlight w:val="none"/>
              </w:rPr>
              <w:t xml:space="preserve"> </w:t>
            </w:r>
            <w:r>
              <w:rPr>
                <w:rFonts w:hint="eastAsia" w:ascii="宋体" w:hAnsi="宋体" w:eastAsia="宋体" w:cs="宋体"/>
                <w:i w:val="0"/>
                <w:iCs w:val="0"/>
                <w:color w:val="000000"/>
                <w:kern w:val="0"/>
                <w:sz w:val="18"/>
                <w:szCs w:val="18"/>
                <w:u w:val="none"/>
                <w:lang w:val="en-US" w:eastAsia="zh-CN" w:bidi="ar"/>
              </w:rPr>
              <w:t>新乡市卫滨区应急管理局</w:t>
            </w:r>
          </w:p>
        </w:tc>
        <w:tc>
          <w:tcPr>
            <w:tcW w:w="5715" w:type="dxa"/>
            <w:gridSpan w:val="10"/>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p>
        </w:tc>
        <w:tc>
          <w:tcPr>
            <w:tcW w:w="6387" w:type="dxa"/>
            <w:gridSpan w:val="12"/>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38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73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725"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7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8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11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229.2</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229.2</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229.2</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01</w:t>
            </w:r>
          </w:p>
        </w:tc>
        <w:tc>
          <w:tcPr>
            <w:tcW w:w="2818" w:type="dxa"/>
            <w:gridSpan w:val="2"/>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基本工资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80</w:t>
            </w:r>
          </w:p>
        </w:tc>
        <w:tc>
          <w:tcPr>
            <w:tcW w:w="91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80</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80</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7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02</w:t>
            </w:r>
          </w:p>
        </w:tc>
        <w:tc>
          <w:tcPr>
            <w:tcW w:w="2818" w:type="dxa"/>
            <w:gridSpan w:val="2"/>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津贴补贴</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26.4</w:t>
            </w:r>
          </w:p>
        </w:tc>
        <w:tc>
          <w:tcPr>
            <w:tcW w:w="91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26.4</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26.4</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3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03</w:t>
            </w:r>
          </w:p>
        </w:tc>
        <w:tc>
          <w:tcPr>
            <w:tcW w:w="2818" w:type="dxa"/>
            <w:gridSpan w:val="2"/>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奖金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8.1</w:t>
            </w:r>
          </w:p>
        </w:tc>
        <w:tc>
          <w:tcPr>
            <w:tcW w:w="91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8.1</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8.1</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07</w:t>
            </w:r>
          </w:p>
        </w:tc>
        <w:tc>
          <w:tcPr>
            <w:tcW w:w="2818" w:type="dxa"/>
            <w:gridSpan w:val="2"/>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绩效工资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工资福利支出</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38.1</w:t>
            </w:r>
          </w:p>
        </w:tc>
        <w:tc>
          <w:tcPr>
            <w:tcW w:w="91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38.1</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38.1</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08</w:t>
            </w:r>
          </w:p>
        </w:tc>
        <w:tc>
          <w:tcPr>
            <w:tcW w:w="2818" w:type="dxa"/>
            <w:gridSpan w:val="2"/>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02</w:t>
            </w:r>
          </w:p>
        </w:tc>
        <w:tc>
          <w:tcPr>
            <w:tcW w:w="1725" w:type="dxa"/>
            <w:gridSpan w:val="3"/>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社会保障缴费</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23.9</w:t>
            </w:r>
          </w:p>
        </w:tc>
        <w:tc>
          <w:tcPr>
            <w:tcW w:w="91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23.9</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23.9</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10</w:t>
            </w:r>
          </w:p>
        </w:tc>
        <w:tc>
          <w:tcPr>
            <w:tcW w:w="2818" w:type="dxa"/>
            <w:gridSpan w:val="2"/>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02</w:t>
            </w:r>
          </w:p>
        </w:tc>
        <w:tc>
          <w:tcPr>
            <w:tcW w:w="1725" w:type="dxa"/>
            <w:gridSpan w:val="3"/>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社会保障缴费</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11.4</w:t>
            </w:r>
          </w:p>
        </w:tc>
        <w:tc>
          <w:tcPr>
            <w:tcW w:w="91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11.4</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11.4</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13</w:t>
            </w:r>
          </w:p>
        </w:tc>
        <w:tc>
          <w:tcPr>
            <w:tcW w:w="2818" w:type="dxa"/>
            <w:gridSpan w:val="2"/>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住房公积金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03</w:t>
            </w:r>
          </w:p>
        </w:tc>
        <w:tc>
          <w:tcPr>
            <w:tcW w:w="1725" w:type="dxa"/>
            <w:gridSpan w:val="3"/>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住房公积金</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17.9</w:t>
            </w:r>
          </w:p>
        </w:tc>
        <w:tc>
          <w:tcPr>
            <w:tcW w:w="91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17.9</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17.9</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7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01</w:t>
            </w:r>
          </w:p>
        </w:tc>
        <w:tc>
          <w:tcPr>
            <w:tcW w:w="2818" w:type="dxa"/>
            <w:gridSpan w:val="2"/>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办公费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办公经费</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14.4</w:t>
            </w:r>
          </w:p>
        </w:tc>
        <w:tc>
          <w:tcPr>
            <w:tcW w:w="91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14.4</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14.4</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28</w:t>
            </w:r>
          </w:p>
        </w:tc>
        <w:tc>
          <w:tcPr>
            <w:tcW w:w="2818" w:type="dxa"/>
            <w:gridSpan w:val="2"/>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工会经费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办公经费</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2</w:t>
            </w:r>
          </w:p>
        </w:tc>
        <w:tc>
          <w:tcPr>
            <w:tcW w:w="91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2</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2</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39</w:t>
            </w:r>
          </w:p>
        </w:tc>
        <w:tc>
          <w:tcPr>
            <w:tcW w:w="2818" w:type="dxa"/>
            <w:gridSpan w:val="2"/>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其他交通费用</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办公经费</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3.9</w:t>
            </w:r>
          </w:p>
        </w:tc>
        <w:tc>
          <w:tcPr>
            <w:tcW w:w="91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3.9</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3.9</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53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99</w:t>
            </w:r>
          </w:p>
        </w:tc>
        <w:tc>
          <w:tcPr>
            <w:tcW w:w="2818" w:type="dxa"/>
            <w:gridSpan w:val="2"/>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99</w:t>
            </w:r>
          </w:p>
        </w:tc>
        <w:tc>
          <w:tcPr>
            <w:tcW w:w="1725" w:type="dxa"/>
            <w:gridSpan w:val="3"/>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其他商品和服务支出</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0.1</w:t>
            </w:r>
          </w:p>
        </w:tc>
        <w:tc>
          <w:tcPr>
            <w:tcW w:w="91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0.1</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0.1</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02</w:t>
            </w:r>
          </w:p>
        </w:tc>
        <w:tc>
          <w:tcPr>
            <w:tcW w:w="2818" w:type="dxa"/>
            <w:gridSpan w:val="2"/>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退休费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509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8"/>
                <w:szCs w:val="18"/>
                <w:lang w:val="en-US" w:eastAsia="zh-CN"/>
              </w:rPr>
              <w:t>05</w:t>
            </w:r>
          </w:p>
        </w:tc>
        <w:tc>
          <w:tcPr>
            <w:tcW w:w="1725" w:type="dxa"/>
            <w:gridSpan w:val="3"/>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r>
              <w:rPr>
                <w:rFonts w:hint="eastAsia" w:ascii="宋体" w:hAnsi="宋体" w:eastAsia="宋体" w:cs="宋体"/>
                <w:i w:val="0"/>
                <w:iCs w:val="0"/>
                <w:color w:val="000000"/>
                <w:sz w:val="18"/>
                <w:szCs w:val="18"/>
                <w:u w:val="none"/>
                <w:lang w:val="en-US" w:eastAsia="zh-CN"/>
              </w:rPr>
              <w:t>离退休费</w:t>
            </w:r>
          </w:p>
        </w:tc>
        <w:tc>
          <w:tcPr>
            <w:tcW w:w="72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3</w:t>
            </w:r>
          </w:p>
        </w:tc>
        <w:tc>
          <w:tcPr>
            <w:tcW w:w="91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3</w:t>
            </w:r>
          </w:p>
        </w:tc>
        <w:tc>
          <w:tcPr>
            <w:tcW w:w="810"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5"/>
                <w:szCs w:val="15"/>
                <w:highlight w:val="none"/>
              </w:rPr>
            </w:pPr>
            <w:r>
              <w:rPr>
                <w:rFonts w:hint="eastAsia" w:ascii="宋体" w:hAnsi="宋体" w:cs="宋体"/>
                <w:kern w:val="0"/>
                <w:sz w:val="18"/>
                <w:szCs w:val="18"/>
                <w:highlight w:val="none"/>
                <w:lang w:val="en-US" w:eastAsia="zh-CN"/>
              </w:rPr>
              <w:t>3</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年一般公共预算“三公”经费预算表</w:t>
            </w:r>
          </w:p>
          <w:p>
            <w:pPr>
              <w:widowControl/>
              <w:jc w:val="left"/>
              <w:rPr>
                <w:rFonts w:hint="eastAsia" w:ascii="宋体" w:hAnsi="宋体" w:cs="宋体"/>
                <w:b/>
                <w:bCs/>
                <w:kern w:val="0"/>
                <w:sz w:val="38"/>
                <w:szCs w:val="38"/>
                <w:highlight w:val="none"/>
              </w:rPr>
            </w:pPr>
            <w:r>
              <w:rPr>
                <w:rFonts w:hint="eastAsia" w:ascii="宋体" w:hAnsi="宋体" w:cs="宋体"/>
                <w:kern w:val="0"/>
                <w:sz w:val="18"/>
                <w:szCs w:val="18"/>
                <w:highlight w:val="none"/>
              </w:rPr>
              <w:t xml:space="preserve">部门名称： </w:t>
            </w:r>
            <w:r>
              <w:rPr>
                <w:rFonts w:hint="eastAsia" w:ascii="宋体" w:hAnsi="宋体" w:eastAsia="宋体" w:cs="宋体"/>
                <w:i w:val="0"/>
                <w:iCs w:val="0"/>
                <w:color w:val="000000"/>
                <w:kern w:val="0"/>
                <w:sz w:val="18"/>
                <w:szCs w:val="18"/>
                <w:u w:val="none"/>
                <w:lang w:val="en-US" w:eastAsia="zh-CN" w:bidi="ar"/>
              </w:rPr>
              <w:t>新乡市卫滨区应急管理局</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p>
        </w:tc>
      </w:tr>
      <w:tr>
        <w:tblPrEx>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r>
              <w:rPr>
                <w:rFonts w:hint="eastAsia" w:ascii="宋体" w:hAnsi="宋体" w:cs="宋体"/>
                <w:kern w:val="0"/>
                <w:sz w:val="18"/>
                <w:szCs w:val="18"/>
                <w:highlight w:val="none"/>
                <w:lang w:eastAsia="zh-CN"/>
              </w:rPr>
              <w:t>说明：</w:t>
            </w:r>
            <w:r>
              <w:rPr>
                <w:rFonts w:hint="eastAsia" w:asciiTheme="majorEastAsia" w:hAnsiTheme="majorEastAsia" w:eastAsiaTheme="majorEastAsia" w:cstheme="majorEastAsia"/>
                <w:kern w:val="2"/>
                <w:sz w:val="18"/>
                <w:szCs w:val="18"/>
                <w:highlight w:val="none"/>
                <w:lang w:val="en-US" w:eastAsia="zh-CN" w:bidi="ar-SA"/>
              </w:rPr>
              <w:t>我们单位没有此项收入或支出，故此表无数据。</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kern w:val="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年政府性基金支出预算表</w:t>
            </w:r>
          </w:p>
          <w:p>
            <w:pPr>
              <w:widowControl/>
              <w:jc w:val="left"/>
              <w:textAlignment w:val="center"/>
              <w:rPr>
                <w:rFonts w:ascii="宋体" w:hAnsi="宋体" w:cs="宋体"/>
                <w:b/>
                <w:bCs/>
                <w:color w:val="000000"/>
                <w:kern w:val="0"/>
                <w:sz w:val="38"/>
                <w:szCs w:val="38"/>
                <w:highlight w:val="none"/>
              </w:rPr>
            </w:pPr>
            <w:r>
              <w:rPr>
                <w:rFonts w:hint="eastAsia" w:ascii="宋体" w:hAnsi="宋体" w:cs="宋体"/>
                <w:kern w:val="0"/>
                <w:sz w:val="18"/>
                <w:szCs w:val="18"/>
                <w:highlight w:val="none"/>
              </w:rPr>
              <w:t xml:space="preserve">部门名称： </w:t>
            </w:r>
            <w:r>
              <w:rPr>
                <w:rFonts w:hint="eastAsia" w:ascii="宋体" w:hAnsi="宋体" w:eastAsia="宋体" w:cs="宋体"/>
                <w:i w:val="0"/>
                <w:iCs w:val="0"/>
                <w:color w:val="000000"/>
                <w:kern w:val="0"/>
                <w:sz w:val="18"/>
                <w:szCs w:val="18"/>
                <w:u w:val="none"/>
                <w:lang w:val="en-US" w:eastAsia="zh-CN" w:bidi="ar"/>
              </w:rPr>
              <w:t>新乡市卫滨区应急管理局</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r>
              <w:rPr>
                <w:rFonts w:hint="eastAsia" w:ascii="宋体" w:hAnsi="宋体" w:eastAsia="宋体" w:cs="宋体"/>
                <w:i w:val="0"/>
                <w:iCs w:val="0"/>
                <w:color w:val="000000"/>
                <w:sz w:val="18"/>
                <w:szCs w:val="18"/>
                <w:u w:val="none"/>
                <w:lang w:val="en-US" w:eastAsia="zh-CN"/>
              </w:rPr>
              <w:t>0</w:t>
            </w: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360" w:lineRule="auto"/>
        <w:ind w:right="51"/>
        <w:jc w:val="left"/>
        <w:rPr>
          <w:rFonts w:hint="eastAsia" w:asciiTheme="majorEastAsia" w:hAnsiTheme="majorEastAsia" w:eastAsiaTheme="majorEastAsia" w:cstheme="majorEastAsia"/>
          <w:sz w:val="18"/>
          <w:szCs w:val="18"/>
          <w:highlight w:val="none"/>
        </w:rPr>
      </w:pPr>
      <w:r>
        <w:rPr>
          <w:rFonts w:hint="eastAsia" w:ascii="宋体" w:hAnsi="宋体" w:cs="宋体"/>
          <w:kern w:val="0"/>
          <w:sz w:val="18"/>
          <w:szCs w:val="18"/>
          <w:highlight w:val="none"/>
          <w:lang w:eastAsia="zh-CN"/>
        </w:rPr>
        <w:t>说明：</w:t>
      </w:r>
      <w:r>
        <w:rPr>
          <w:rFonts w:hint="eastAsia" w:asciiTheme="majorEastAsia" w:hAnsiTheme="majorEastAsia" w:eastAsiaTheme="majorEastAsia" w:cstheme="majorEastAsia"/>
          <w:kern w:val="2"/>
          <w:sz w:val="18"/>
          <w:szCs w:val="18"/>
          <w:highlight w:val="none"/>
          <w:lang w:val="en-US" w:eastAsia="zh-CN" w:bidi="ar-SA"/>
        </w:rPr>
        <w:t>我们单位没有政府性基金收入，也没有使用政府性基金安排支出，故此表无数据。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4097" w:type="dxa"/>
        <w:tblInd w:w="1037" w:type="dxa"/>
        <w:tblLayout w:type="fixed"/>
        <w:tblCellMar>
          <w:top w:w="0" w:type="dxa"/>
          <w:left w:w="108" w:type="dxa"/>
          <w:bottom w:w="0" w:type="dxa"/>
          <w:right w:w="108" w:type="dxa"/>
        </w:tblCellMar>
      </w:tblPr>
      <w:tblGrid>
        <w:gridCol w:w="1198"/>
        <w:gridCol w:w="1275"/>
        <w:gridCol w:w="1701"/>
        <w:gridCol w:w="993"/>
        <w:gridCol w:w="1134"/>
        <w:gridCol w:w="992"/>
        <w:gridCol w:w="1134"/>
        <w:gridCol w:w="1134"/>
        <w:gridCol w:w="1134"/>
        <w:gridCol w:w="1134"/>
        <w:gridCol w:w="1134"/>
        <w:gridCol w:w="1134"/>
      </w:tblGrid>
      <w:tr>
        <w:tblPrEx>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项目支出预算表</w:t>
            </w:r>
          </w:p>
          <w:p>
            <w:pPr>
              <w:widowControl/>
              <w:jc w:val="left"/>
              <w:rPr>
                <w:rFonts w:hint="eastAsia" w:ascii="宋体" w:hAnsi="宋体" w:cs="宋体"/>
                <w:b/>
                <w:bCs/>
                <w:kern w:val="0"/>
                <w:sz w:val="38"/>
                <w:szCs w:val="38"/>
                <w:highlight w:val="none"/>
              </w:rPr>
            </w:pPr>
            <w:r>
              <w:rPr>
                <w:rFonts w:hint="eastAsia" w:ascii="宋体" w:hAnsi="宋体" w:cs="宋体"/>
                <w:kern w:val="0"/>
                <w:sz w:val="18"/>
                <w:szCs w:val="18"/>
                <w:highlight w:val="none"/>
              </w:rPr>
              <w:t xml:space="preserve">部门名称： </w:t>
            </w:r>
            <w:r>
              <w:rPr>
                <w:rFonts w:hint="eastAsia" w:ascii="宋体" w:hAnsi="宋体" w:eastAsia="宋体" w:cs="宋体"/>
                <w:i w:val="0"/>
                <w:iCs w:val="0"/>
                <w:color w:val="000000"/>
                <w:kern w:val="0"/>
                <w:sz w:val="18"/>
                <w:szCs w:val="18"/>
                <w:u w:val="none"/>
                <w:lang w:val="en-US" w:eastAsia="zh-CN" w:bidi="ar"/>
              </w:rPr>
              <w:t>新乡市卫滨区应急管理局</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其他运转类</w:t>
            </w:r>
          </w:p>
        </w:tc>
        <w:tc>
          <w:tcPr>
            <w:tcW w:w="127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应急管理局办公经费</w:t>
            </w:r>
          </w:p>
        </w:tc>
        <w:tc>
          <w:tcPr>
            <w:tcW w:w="170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卫滨区应急管理局</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hint="eastAsia" w:ascii="宋体" w:hAnsi="宋体" w:cs="宋体"/>
                <w:i w:val="0"/>
                <w:iCs w:val="0"/>
                <w:color w:val="000000"/>
                <w:sz w:val="18"/>
                <w:szCs w:val="18"/>
                <w:u w:val="none"/>
                <w:lang w:val="en-US" w:eastAsia="zh-CN"/>
              </w:rPr>
              <w:t>10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eastAsia="宋体" w:cs="宋体"/>
                <w:i w:val="0"/>
                <w:iCs w:val="0"/>
                <w:color w:val="000000"/>
                <w:sz w:val="18"/>
                <w:szCs w:val="18"/>
                <w:u w:val="none"/>
                <w:lang w:val="en-US" w:eastAsia="zh-CN"/>
              </w:rPr>
              <w:t>0</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9440" w:type="dxa"/>
        <w:tblInd w:w="93" w:type="dxa"/>
        <w:tblLayout w:type="fixed"/>
        <w:tblCellMar>
          <w:top w:w="0" w:type="dxa"/>
          <w:left w:w="108" w:type="dxa"/>
          <w:bottom w:w="0" w:type="dxa"/>
          <w:right w:w="108" w:type="dxa"/>
        </w:tblCellMar>
      </w:tblPr>
      <w:tblGrid>
        <w:gridCol w:w="1360"/>
        <w:gridCol w:w="1460"/>
        <w:gridCol w:w="2200"/>
        <w:gridCol w:w="1180"/>
        <w:gridCol w:w="3240"/>
      </w:tblGrid>
      <w:tr>
        <w:tblPrEx>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CellMar>
            <w:top w:w="0" w:type="dxa"/>
            <w:left w:w="108" w:type="dxa"/>
            <w:bottom w:w="0" w:type="dxa"/>
            <w:right w:w="108" w:type="dxa"/>
          </w:tblCellMar>
        </w:tblPrEx>
        <w:trPr>
          <w:trHeight w:val="570"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center"/>
              <w:rPr>
                <w:rFonts w:hint="eastAsia"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p>
            <w:pPr>
              <w:widowControl/>
              <w:jc w:val="left"/>
              <w:rPr>
                <w:rFonts w:ascii="宋体" w:hAnsi="宋体" w:cs="宋体"/>
                <w:b/>
                <w:bCs/>
                <w:kern w:val="0"/>
                <w:sz w:val="24"/>
                <w:szCs w:val="24"/>
                <w:highlight w:val="none"/>
              </w:rPr>
            </w:pPr>
            <w:r>
              <w:rPr>
                <w:rFonts w:hint="eastAsia" w:ascii="宋体" w:hAnsi="宋体" w:cs="宋体"/>
                <w:b/>
                <w:bCs/>
                <w:kern w:val="0"/>
                <w:sz w:val="24"/>
                <w:szCs w:val="24"/>
                <w:highlight w:val="none"/>
              </w:rPr>
              <w:t xml:space="preserve"> </w:t>
            </w:r>
            <w:r>
              <w:rPr>
                <w:rFonts w:hint="eastAsia" w:ascii="宋体" w:hAnsi="宋体" w:cs="宋体"/>
                <w:kern w:val="0"/>
                <w:sz w:val="18"/>
                <w:szCs w:val="18"/>
                <w:highlight w:val="none"/>
              </w:rPr>
              <w:t xml:space="preserve">部门名称： </w:t>
            </w:r>
            <w:r>
              <w:rPr>
                <w:rFonts w:hint="eastAsia" w:ascii="宋体" w:hAnsi="宋体" w:eastAsia="宋体" w:cs="宋体"/>
                <w:i w:val="0"/>
                <w:iCs w:val="0"/>
                <w:color w:val="000000"/>
                <w:kern w:val="0"/>
                <w:sz w:val="18"/>
                <w:szCs w:val="18"/>
                <w:u w:val="none"/>
                <w:lang w:val="en-US" w:eastAsia="zh-CN" w:bidi="ar"/>
              </w:rPr>
              <w:t>新乡市卫滨区应急管理局</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855" w:hRule="atLeast"/>
        </w:trPr>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0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olor w:val="000000"/>
                <w:sz w:val="18"/>
                <w:szCs w:val="18"/>
                <w:u w:val="none"/>
              </w:rPr>
              <w:t>加强、优化、统筹全区应急能力建设，构建统一领导、责权一致、权威高效的应急能力体系，推动形成统一指挥、专常兼备、反应灵敏、上下联动、平战结合的应急管理体制。坚持以防为主、防抗救结合，提高本区应急管理水平和防灾减灾救灾能力，防范化解较大以上安全风险。坚持以人为本，把确保人民群众生命安全放在首位，切实减少人员伤亡和财产损失。树立安全发展理念，坚持生命至上、安全第一，完善安全生产责任制，坚决遏制较大安全事故。</w:t>
            </w:r>
          </w:p>
        </w:tc>
      </w:tr>
      <w:tr>
        <w:tblPrEx>
          <w:tblCellMar>
            <w:top w:w="0" w:type="dxa"/>
            <w:left w:w="108" w:type="dxa"/>
            <w:bottom w:w="0" w:type="dxa"/>
            <w:right w:w="108" w:type="dxa"/>
          </w:tblCellMar>
        </w:tblPrEx>
        <w:trPr>
          <w:trHeight w:val="285" w:hRule="atLeas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任务名称</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主要内容</w:t>
            </w:r>
          </w:p>
        </w:tc>
      </w:tr>
      <w:tr>
        <w:tblPrEx>
          <w:tblCellMar>
            <w:top w:w="0" w:type="dxa"/>
            <w:left w:w="108" w:type="dxa"/>
            <w:bottom w:w="0" w:type="dxa"/>
            <w:right w:w="108" w:type="dxa"/>
          </w:tblCellMar>
        </w:tblPrEx>
        <w:trPr>
          <w:trHeight w:val="45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应急能力建设</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贯彻落实党中央关于应急管理工作的方针政策和决策部署，落实省委、市委、区委工作要求，负责本区应急管理工作，指导全区各部门应对安全生产类、自然灾害类等突发事件和综合防灾减灾救灾工作。负责安全生产综合监督管理和工矿商贸行业安全生产监督管理工作。</w:t>
            </w:r>
          </w:p>
        </w:tc>
      </w:tr>
      <w:tr>
        <w:tblPrEx>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229.2</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229.2</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219.2</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r>
      <w:tr>
        <w:tblPrEx>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22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3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CellMar>
            <w:top w:w="0" w:type="dxa"/>
            <w:left w:w="108" w:type="dxa"/>
            <w:bottom w:w="0" w:type="dxa"/>
            <w:right w:w="108" w:type="dxa"/>
          </w:tblCellMar>
        </w:tblPrEx>
        <w:trPr>
          <w:trHeight w:val="1808"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年度履职目标相关性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相关</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工作任务科学性</w:t>
            </w:r>
          </w:p>
        </w:tc>
        <w:tc>
          <w:tcPr>
            <w:tcW w:w="118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科学</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118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合理</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预算编制完整性</w:t>
            </w:r>
          </w:p>
        </w:tc>
        <w:tc>
          <w:tcPr>
            <w:tcW w:w="118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完整</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1.部门所有收入是否全部纳入部门预算；2.部门支出预算是否统筹各类资金来源，全部纳入部门预算管理。</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专项资金细化率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i w:val="0"/>
                <w:caps w:val="0"/>
                <w:color w:val="000000"/>
                <w:spacing w:val="0"/>
                <w:sz w:val="21"/>
                <w:szCs w:val="21"/>
                <w:shd w:val="clear" w:fill="FFFFFF"/>
                <w:lang w:eastAsia="zh-CN"/>
              </w:rPr>
              <w:t>≥</w:t>
            </w:r>
            <w:r>
              <w:rPr>
                <w:rFonts w:hint="eastAsia" w:ascii="宋体" w:hAnsi="宋体" w:eastAsia="宋体" w:cs="宋体"/>
                <w:i w:val="0"/>
                <w:caps w:val="0"/>
                <w:color w:val="000000"/>
                <w:spacing w:val="0"/>
                <w:sz w:val="21"/>
                <w:szCs w:val="21"/>
                <w:shd w:val="clear" w:fill="FFFFFF"/>
              </w:rPr>
              <w:t>98</w:t>
            </w:r>
            <w:r>
              <w:rPr>
                <w:rFonts w:hint="eastAsia" w:ascii="宋体" w:hAnsi="宋体" w:cs="宋体"/>
                <w:i w:val="0"/>
                <w:caps w:val="0"/>
                <w:color w:val="000000"/>
                <w:spacing w:val="0"/>
                <w:sz w:val="21"/>
                <w:szCs w:val="21"/>
                <w:shd w:val="clear" w:fill="FFFFFF"/>
                <w:lang w:val="en-US" w:eastAsia="zh-CN"/>
              </w:rPr>
              <w:t>%</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专项资金细化率=（已细化到具体市县和承担单位的资金数/部门参与分配资金总数）×100%。</w:t>
            </w:r>
          </w:p>
        </w:tc>
      </w:tr>
      <w:tr>
        <w:tblPrEx>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预算执行率</w:t>
            </w:r>
          </w:p>
        </w:tc>
        <w:tc>
          <w:tcPr>
            <w:tcW w:w="118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color w:val="000000"/>
                <w:sz w:val="18"/>
                <w:szCs w:val="18"/>
                <w:u w:val="none"/>
              </w:rPr>
              <w:t>≥95%</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预算执行率=（预算完成数/预算数）×100%。预算完成数指部门实际执行的预算数；预算数指财政部门批复的本年度部门的（调整）预算数。</w:t>
            </w: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预算调整率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10%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结转结余率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2%</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结转结余率=结转结余总额/预算数*100%。结转结余总额是指部门本年度的结转结余资金之和。预算数是指财政部门批复的本年度部门的（调整）预算数。</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“三公经费”控制率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“三公经费”控制率=本年度“三公经费”实际支出数/“三公经费”预算数*100%</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政府采购执行率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i w:val="0"/>
                <w:color w:val="000000"/>
                <w:sz w:val="18"/>
                <w:szCs w:val="18"/>
                <w:u w:val="none"/>
                <w:lang w:val="en-US" w:eastAsia="zh-CN"/>
              </w:rPr>
              <w:t>100</w:t>
            </w:r>
            <w:r>
              <w:rPr>
                <w:rFonts w:hint="eastAsia" w:ascii="宋体" w:hAnsi="宋体" w:eastAsia="宋体" w:cs="宋体"/>
                <w:i w:val="0"/>
                <w:color w:val="000000"/>
                <w:sz w:val="18"/>
                <w:szCs w:val="18"/>
                <w:u w:val="none"/>
              </w:rPr>
              <w:t>%</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政府采购执行率=（实际政府采购金额/政府采购预算数）×100%。政府采购预算：采购机关根据事业发展计划和行政任务编制的、并经过规定程序批准的年度政府采购计划。</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决算真实性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真实</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反映本部门决算工作情况。决算编制数据是否账表一致，即决算报表数据与会计账簿数据是否一致。</w:t>
            </w:r>
          </w:p>
        </w:tc>
      </w:tr>
      <w:tr>
        <w:tblPrEx>
          <w:tblCellMar>
            <w:top w:w="0" w:type="dxa"/>
            <w:left w:w="108" w:type="dxa"/>
            <w:bottom w:w="0" w:type="dxa"/>
            <w:right w:w="108" w:type="dxa"/>
          </w:tblCellMar>
        </w:tblPrEx>
        <w:trPr>
          <w:trHeight w:val="9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资金使用合规性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合规</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管理制度健全性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健全</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预决算信息公开性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公开</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资产管理规范性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规范</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2200" w:type="dxa"/>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绩效监控完成率</w:t>
            </w:r>
          </w:p>
        </w:tc>
        <w:tc>
          <w:tcPr>
            <w:tcW w:w="11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部门（单位）按要求编制绩效目标的项目数量占应编制绩效目标项目总数的比重。部门目标编制完成率=已完成绩效目标编制项目数量/部门应编制绩效目标项目总数*100%</w:t>
            </w:r>
          </w:p>
        </w:tc>
      </w:tr>
      <w:tr>
        <w:tblPrEx>
          <w:tblCellMar>
            <w:top w:w="0" w:type="dxa"/>
            <w:left w:w="108" w:type="dxa"/>
            <w:bottom w:w="0" w:type="dxa"/>
            <w:right w:w="108" w:type="dxa"/>
          </w:tblCellMar>
        </w:tblPrEx>
        <w:trPr>
          <w:trHeight w:val="85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绩效目标编制完成率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部门（单位）按要求实施绩效监控的项目数量占应实施绩效监控项目总数的比重。部门绩效监控完成率=已完成绩效监控项目数量/部门项目总数*100%</w:t>
            </w:r>
          </w:p>
        </w:tc>
      </w:tr>
      <w:tr>
        <w:tblPrEx>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绩效自评完成率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部门（单位）按要求实施绩效自评的项目数量占应实施绩效自评项目总数的比重。部门绩效自评完成率=已完成评价项目数量/部门项目总数*100%</w:t>
            </w:r>
          </w:p>
        </w:tc>
      </w:tr>
      <w:tr>
        <w:tblPrEx>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部门绩效评价完成率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部门重点绩效评价项目评价完成情况。部门绩效评价完成率=已完成评价项目数量/部门重点绩效评价项目数*100%</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评价结果应用率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绩效监控、单位自评、部门绩效评价、财政重点绩效评价结果应用情况。评价结果应用率=评价提出的意见建议采纳数/提出的意见建议总数*100%</w:t>
            </w:r>
          </w:p>
        </w:tc>
      </w:tr>
      <w:tr>
        <w:tblPrEx>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595959"/>
                <w:spacing w:val="0"/>
                <w:sz w:val="21"/>
                <w:szCs w:val="21"/>
                <w:shd w:val="clear" w:fill="FFFFFF"/>
              </w:rPr>
              <w:t>安全生产任务工作完成率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安全生产任务工作</w:t>
            </w:r>
          </w:p>
        </w:tc>
      </w:tr>
      <w:tr>
        <w:tblPrEx>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制较大安全事故发生率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明显减少</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防范化解较大以上安全风险</w:t>
            </w:r>
          </w:p>
        </w:tc>
      </w:tr>
      <w:tr>
        <w:tblPrEx>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履职效益</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切实减少人员伤亡和财产损失</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明显减少</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树立安全发展理念，坚持生命至上、安全第一，完善安全生产责任制，坚决遏制较大安全事故。</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辖区人民群众满意度</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90%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eastAsia="宋体" w:cs="宋体"/>
                <w:i w:val="0"/>
                <w:caps w:val="0"/>
                <w:color w:val="000000"/>
                <w:spacing w:val="0"/>
                <w:sz w:val="21"/>
                <w:szCs w:val="21"/>
                <w:shd w:val="clear" w:fill="FFFFFF"/>
              </w:rPr>
              <w:t>坚持以人为本，把确保人民群众生命安全放在首位</w:t>
            </w:r>
          </w:p>
        </w:tc>
      </w:tr>
      <w:tr>
        <w:tblPrEx>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5"/>
        <w:tblW w:w="15451" w:type="dxa"/>
        <w:tblInd w:w="108" w:type="dxa"/>
        <w:tblLayout w:type="fixed"/>
        <w:tblCellMar>
          <w:top w:w="0" w:type="dxa"/>
          <w:left w:w="108" w:type="dxa"/>
          <w:bottom w:w="0" w:type="dxa"/>
          <w:right w:w="108" w:type="dxa"/>
        </w:tblCellMar>
      </w:tblPr>
      <w:tblGrid>
        <w:gridCol w:w="2106"/>
        <w:gridCol w:w="1230"/>
        <w:gridCol w:w="739"/>
        <w:gridCol w:w="778"/>
        <w:gridCol w:w="637"/>
        <w:gridCol w:w="538"/>
        <w:gridCol w:w="1189"/>
        <w:gridCol w:w="1005"/>
        <w:gridCol w:w="1276"/>
        <w:gridCol w:w="1417"/>
        <w:gridCol w:w="1276"/>
        <w:gridCol w:w="992"/>
        <w:gridCol w:w="1418"/>
        <w:gridCol w:w="850"/>
      </w:tblGrid>
      <w:tr>
        <w:tblPrEx>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年度部门预算项目绩效目标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p>
            <w:pPr>
              <w:widowControl/>
              <w:jc w:val="left"/>
              <w:rPr>
                <w:rFonts w:hint="eastAsia" w:ascii="宋体" w:hAnsi="宋体" w:cs="宋体"/>
                <w:b/>
                <w:bCs/>
                <w:kern w:val="0"/>
                <w:sz w:val="38"/>
                <w:szCs w:val="38"/>
                <w:highlight w:val="none"/>
              </w:rPr>
            </w:pPr>
            <w:r>
              <w:rPr>
                <w:rFonts w:hint="eastAsia" w:ascii="宋体" w:hAnsi="宋体" w:cs="宋体"/>
                <w:kern w:val="0"/>
                <w:sz w:val="18"/>
                <w:szCs w:val="18"/>
                <w:highlight w:val="none"/>
              </w:rPr>
              <w:t xml:space="preserve">部门名称： </w:t>
            </w:r>
            <w:r>
              <w:rPr>
                <w:rFonts w:hint="eastAsia" w:ascii="宋体" w:hAnsi="宋体" w:eastAsia="宋体" w:cs="宋体"/>
                <w:i w:val="0"/>
                <w:iCs w:val="0"/>
                <w:color w:val="000000"/>
                <w:kern w:val="0"/>
                <w:sz w:val="18"/>
                <w:szCs w:val="18"/>
                <w:u w:val="none"/>
                <w:lang w:val="en-US" w:eastAsia="zh-CN" w:bidi="ar"/>
              </w:rPr>
              <w:t>新乡市卫滨区应急管理局</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cs="宋体"/>
                <w:kern w:val="0"/>
                <w:sz w:val="18"/>
                <w:szCs w:val="18"/>
                <w:highlight w:val="none"/>
              </w:rPr>
              <w:t>单位：万元</w:t>
            </w:r>
            <w:r>
              <w:rPr>
                <w:rFonts w:hint="eastAsia" w:ascii="宋体" w:hAnsi="宋体" w:cs="宋体"/>
                <w:i w:val="0"/>
                <w:iCs w:val="0"/>
                <w:color w:val="000000"/>
                <w:kern w:val="0"/>
                <w:sz w:val="18"/>
                <w:szCs w:val="18"/>
                <w:u w:val="none"/>
                <w:lang w:val="en-US" w:eastAsia="zh-CN" w:bidi="ar"/>
              </w:rPr>
              <w:t xml:space="preserve">                    </w:t>
            </w:r>
          </w:p>
        </w:tc>
      </w:tr>
      <w:tr>
        <w:tblPrEx>
          <w:tblCellMar>
            <w:top w:w="0" w:type="dxa"/>
            <w:left w:w="108" w:type="dxa"/>
            <w:bottom w:w="0" w:type="dxa"/>
            <w:right w:w="108" w:type="dxa"/>
          </w:tblCellMar>
        </w:tblPrEx>
        <w:trPr>
          <w:trHeight w:val="285"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单位编码（项目编码）</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项目单位 （项目名称）</w:t>
            </w:r>
          </w:p>
        </w:tc>
        <w:tc>
          <w:tcPr>
            <w:tcW w:w="269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项目金额（万元）</w:t>
            </w:r>
          </w:p>
        </w:tc>
        <w:tc>
          <w:tcPr>
            <w:tcW w:w="9423"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绩效目标</w:t>
            </w:r>
          </w:p>
        </w:tc>
      </w:tr>
      <w:tr>
        <w:tblPrEx>
          <w:tblCellMar>
            <w:top w:w="0" w:type="dxa"/>
            <w:left w:w="108" w:type="dxa"/>
            <w:bottom w:w="0" w:type="dxa"/>
            <w:right w:w="108" w:type="dxa"/>
          </w:tblCellMar>
        </w:tblPrEx>
        <w:trPr>
          <w:trHeight w:val="338"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692"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9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成本指标  </w:t>
            </w:r>
          </w:p>
        </w:tc>
        <w:tc>
          <w:tcPr>
            <w:tcW w:w="269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满意度指标  </w:t>
            </w:r>
          </w:p>
        </w:tc>
      </w:tr>
      <w:tr>
        <w:tblPrEx>
          <w:tblCellMar>
            <w:top w:w="0" w:type="dxa"/>
            <w:left w:w="108" w:type="dxa"/>
            <w:bottom w:w="0" w:type="dxa"/>
            <w:right w:w="108" w:type="dxa"/>
          </w:tblCellMar>
        </w:tblPrEx>
        <w:trPr>
          <w:trHeight w:val="702"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资金总额</w:t>
            </w:r>
          </w:p>
        </w:tc>
        <w:tc>
          <w:tcPr>
            <w:tcW w:w="77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政府预算资金</w:t>
            </w:r>
          </w:p>
        </w:tc>
        <w:tc>
          <w:tcPr>
            <w:tcW w:w="637"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53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单位资金</w:t>
            </w:r>
          </w:p>
        </w:tc>
        <w:tc>
          <w:tcPr>
            <w:tcW w:w="118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00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417"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r>
      <w:tr>
        <w:tblPrEx>
          <w:tblCellMar>
            <w:top w:w="0" w:type="dxa"/>
            <w:left w:w="108" w:type="dxa"/>
            <w:bottom w:w="0" w:type="dxa"/>
            <w:right w:w="108" w:type="dxa"/>
          </w:tblCellMar>
        </w:tblPrEx>
        <w:trPr>
          <w:trHeight w:val="192" w:hRule="atLeast"/>
        </w:trPr>
        <w:tc>
          <w:tcPr>
            <w:tcW w:w="2106"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eastAsia="宋体" w:cs="宋体"/>
                <w:i w:val="0"/>
                <w:color w:val="000000"/>
                <w:sz w:val="18"/>
                <w:szCs w:val="18"/>
                <w:u w:val="none"/>
              </w:rPr>
              <w:t>205001</w:t>
            </w:r>
          </w:p>
        </w:tc>
        <w:tc>
          <w:tcPr>
            <w:tcW w:w="123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8"/>
                <w:szCs w:val="18"/>
                <w:highlight w:val="none"/>
              </w:rPr>
            </w:pPr>
            <w:r>
              <w:rPr>
                <w:rFonts w:hint="eastAsia" w:ascii="宋体" w:hAnsi="宋体" w:eastAsia="宋体" w:cs="宋体"/>
                <w:i w:val="0"/>
                <w:color w:val="000000"/>
                <w:sz w:val="18"/>
                <w:szCs w:val="18"/>
                <w:u w:val="none"/>
              </w:rPr>
              <w:t>应急局办公经费</w:t>
            </w:r>
          </w:p>
        </w:tc>
        <w:tc>
          <w:tcPr>
            <w:tcW w:w="73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r>
              <w:rPr>
                <w:rFonts w:hint="eastAsia" w:ascii="宋体" w:hAnsi="宋体" w:cs="宋体"/>
                <w:i w:val="0"/>
                <w:color w:val="000000"/>
                <w:sz w:val="18"/>
                <w:szCs w:val="18"/>
                <w:u w:val="none"/>
                <w:lang w:val="en-US" w:eastAsia="zh-CN"/>
              </w:rPr>
              <w:t>10</w:t>
            </w: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r>
              <w:rPr>
                <w:rFonts w:hint="eastAsia" w:ascii="宋体" w:hAnsi="宋体" w:eastAsia="宋体" w:cs="宋体"/>
                <w:i w:val="0"/>
                <w:color w:val="000000"/>
                <w:sz w:val="18"/>
                <w:szCs w:val="18"/>
                <w:u w:val="none"/>
                <w:lang w:val="en-US" w:eastAsia="zh-CN"/>
              </w:rPr>
              <w:t>0</w:t>
            </w:r>
          </w:p>
        </w:tc>
        <w:tc>
          <w:tcPr>
            <w:tcW w:w="6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r>
              <w:rPr>
                <w:rFonts w:hint="eastAsia" w:ascii="宋体" w:hAnsi="宋体" w:eastAsia="宋体" w:cs="宋体"/>
                <w:i w:val="0"/>
                <w:color w:val="000000"/>
                <w:sz w:val="18"/>
                <w:szCs w:val="18"/>
                <w:u w:val="none"/>
                <w:lang w:val="en-US" w:eastAsia="zh-CN"/>
              </w:rPr>
              <w:t>0</w:t>
            </w:r>
          </w:p>
        </w:tc>
        <w:tc>
          <w:tcPr>
            <w:tcW w:w="53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r>
              <w:rPr>
                <w:rFonts w:hint="eastAsia" w:ascii="宋体" w:hAnsi="宋体" w:eastAsia="宋体" w:cs="宋体"/>
                <w:i w:val="0"/>
                <w:color w:val="000000"/>
                <w:sz w:val="18"/>
                <w:szCs w:val="18"/>
                <w:u w:val="none"/>
                <w:lang w:val="en-US" w:eastAsia="zh-CN"/>
              </w:rPr>
              <w:t>0</w:t>
            </w: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r>
              <w:rPr>
                <w:rFonts w:hint="eastAsia" w:ascii="宋体" w:hAnsi="宋体" w:eastAsia="宋体" w:cs="宋体"/>
                <w:i w:val="0"/>
                <w:color w:val="000000"/>
                <w:sz w:val="18"/>
                <w:szCs w:val="18"/>
                <w:u w:val="none"/>
              </w:rPr>
              <w:t>应急局办公经费总成本</w:t>
            </w: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r>
              <w:rPr>
                <w:rFonts w:hint="eastAsia" w:ascii="宋体" w:hAnsi="宋体" w:cs="宋体"/>
                <w:i w:val="0"/>
                <w:color w:val="000000"/>
                <w:sz w:val="18"/>
                <w:szCs w:val="18"/>
                <w:u w:val="none"/>
                <w:lang w:val="en-US" w:eastAsia="zh-CN"/>
              </w:rPr>
              <w:t>10</w:t>
            </w:r>
            <w:r>
              <w:rPr>
                <w:rFonts w:hint="eastAsia" w:ascii="宋体" w:hAnsi="宋体" w:eastAsia="宋体" w:cs="宋体"/>
                <w:i w:val="0"/>
                <w:color w:val="000000"/>
                <w:sz w:val="18"/>
                <w:szCs w:val="18"/>
                <w:u w:val="none"/>
              </w:rPr>
              <w:t>万元</w:t>
            </w:r>
          </w:p>
        </w:tc>
        <w:tc>
          <w:tcPr>
            <w:tcW w:w="12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r>
              <w:rPr>
                <w:rFonts w:hint="eastAsia" w:ascii="宋体" w:hAnsi="宋体" w:eastAsia="宋体" w:cs="宋体"/>
                <w:i w:val="0"/>
                <w:color w:val="000000"/>
                <w:sz w:val="18"/>
                <w:szCs w:val="18"/>
                <w:u w:val="none"/>
              </w:rPr>
              <w:t>办公耗材采购、安全、教育宣传、专家费用、维修维护费用、预案编制费用</w:t>
            </w:r>
          </w:p>
        </w:tc>
        <w:tc>
          <w:tcPr>
            <w:tcW w:w="141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r>
              <w:rPr>
                <w:rFonts w:hint="eastAsia" w:ascii="宋体" w:hAnsi="宋体" w:eastAsia="宋体" w:cs="宋体"/>
                <w:i w:val="0"/>
                <w:color w:val="000000"/>
                <w:sz w:val="18"/>
                <w:szCs w:val="18"/>
                <w:u w:val="none"/>
              </w:rPr>
              <w:t>5项</w:t>
            </w:r>
          </w:p>
        </w:tc>
        <w:tc>
          <w:tcPr>
            <w:tcW w:w="12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r>
              <w:rPr>
                <w:rFonts w:hint="eastAsia" w:ascii="宋体" w:hAnsi="宋体" w:eastAsia="宋体" w:cs="宋体"/>
                <w:i w:val="0"/>
                <w:color w:val="000000"/>
                <w:sz w:val="18"/>
                <w:szCs w:val="18"/>
                <w:u w:val="none"/>
              </w:rPr>
              <w:t>提高我区应急管理水平</w:t>
            </w:r>
          </w:p>
        </w:tc>
        <w:tc>
          <w:tcPr>
            <w:tcW w:w="99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r>
              <w:rPr>
                <w:rFonts w:hint="eastAsia" w:ascii="宋体" w:hAnsi="宋体" w:eastAsia="宋体" w:cs="宋体"/>
                <w:i w:val="0"/>
                <w:color w:val="000000"/>
                <w:sz w:val="18"/>
                <w:szCs w:val="18"/>
                <w:u w:val="none"/>
              </w:rPr>
              <w:t>提高</w:t>
            </w:r>
          </w:p>
        </w:tc>
        <w:tc>
          <w:tcPr>
            <w:tcW w:w="141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r>
              <w:rPr>
                <w:rFonts w:hint="eastAsia" w:ascii="宋体" w:hAnsi="宋体" w:eastAsia="宋体" w:cs="宋体"/>
                <w:i w:val="0"/>
                <w:color w:val="000000"/>
                <w:sz w:val="18"/>
                <w:szCs w:val="18"/>
                <w:u w:val="none"/>
              </w:rPr>
              <w:t>服务对象满意度</w:t>
            </w: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r>
              <w:rPr>
                <w:rFonts w:hint="eastAsia" w:ascii="宋体" w:hAnsi="宋体" w:eastAsia="宋体" w:cs="宋体"/>
                <w:i w:val="0"/>
                <w:color w:val="000000"/>
                <w:sz w:val="18"/>
                <w:szCs w:val="18"/>
                <w:u w:val="none"/>
              </w:rPr>
              <w:t>≥90</w:t>
            </w:r>
            <w:r>
              <w:rPr>
                <w:rFonts w:hint="eastAsia" w:ascii="宋体" w:hAnsi="宋体" w:eastAsia="宋体" w:cs="宋体"/>
                <w:i w:val="0"/>
                <w:color w:val="000000"/>
                <w:sz w:val="18"/>
                <w:szCs w:val="18"/>
                <w:u w:val="none"/>
                <w:lang w:val="en-US" w:eastAsia="zh-CN"/>
              </w:rPr>
              <w:t>%</w:t>
            </w:r>
          </w:p>
        </w:tc>
      </w:tr>
      <w:tr>
        <w:tblPrEx>
          <w:tblCellMar>
            <w:top w:w="0" w:type="dxa"/>
            <w:left w:w="108" w:type="dxa"/>
            <w:bottom w:w="0" w:type="dxa"/>
            <w:right w:w="108" w:type="dxa"/>
          </w:tblCellMar>
        </w:tblPrEx>
        <w:trPr>
          <w:trHeight w:val="762" w:hRule="atLeast"/>
        </w:trPr>
        <w:tc>
          <w:tcPr>
            <w:tcW w:w="2106"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p>
        </w:tc>
        <w:tc>
          <w:tcPr>
            <w:tcW w:w="123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p>
        </w:tc>
        <w:tc>
          <w:tcPr>
            <w:tcW w:w="739"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778"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637"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38"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p>
        </w:tc>
        <w:tc>
          <w:tcPr>
            <w:tcW w:w="123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p>
        </w:tc>
        <w:tc>
          <w:tcPr>
            <w:tcW w:w="73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77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63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3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522" w:hRule="atLeast"/>
        </w:trPr>
        <w:tc>
          <w:tcPr>
            <w:tcW w:w="210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522" w:hRule="atLeast"/>
        </w:trPr>
        <w:tc>
          <w:tcPr>
            <w:tcW w:w="210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abstractNum w:abstractNumId="4">
    <w:nsid w:val="5971C2CF"/>
    <w:multiLevelType w:val="singleLevel"/>
    <w:tmpl w:val="5971C2CF"/>
    <w:lvl w:ilvl="0" w:tentative="0">
      <w:start w:val="1"/>
      <w:numFmt w:val="decimal"/>
      <w:suff w:val="nothing"/>
      <w:lvlText w:val="%1．"/>
      <w:lvlJc w:val="left"/>
      <w:pPr>
        <w:ind w:left="167" w:firstLine="400"/>
      </w:pPr>
      <w:rPr>
        <w:rFont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B709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9575B"/>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0532"/>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97AE6"/>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25D16DF"/>
    <w:rsid w:val="02E4257B"/>
    <w:rsid w:val="03774A25"/>
    <w:rsid w:val="03D84045"/>
    <w:rsid w:val="043879BA"/>
    <w:rsid w:val="04435FB3"/>
    <w:rsid w:val="04E82E5D"/>
    <w:rsid w:val="04EB0D09"/>
    <w:rsid w:val="05882015"/>
    <w:rsid w:val="05A72DEF"/>
    <w:rsid w:val="064D179C"/>
    <w:rsid w:val="06C47767"/>
    <w:rsid w:val="0752792E"/>
    <w:rsid w:val="07E22B21"/>
    <w:rsid w:val="08EE5446"/>
    <w:rsid w:val="09565EF1"/>
    <w:rsid w:val="096607AE"/>
    <w:rsid w:val="096F781B"/>
    <w:rsid w:val="09E907EB"/>
    <w:rsid w:val="0A624064"/>
    <w:rsid w:val="0B1B5D46"/>
    <w:rsid w:val="0B8A4489"/>
    <w:rsid w:val="0BE52D19"/>
    <w:rsid w:val="0C6C4B79"/>
    <w:rsid w:val="0CE75AD6"/>
    <w:rsid w:val="0CEF2B00"/>
    <w:rsid w:val="0D672D8A"/>
    <w:rsid w:val="0EAD28D3"/>
    <w:rsid w:val="0F294D72"/>
    <w:rsid w:val="0F464CF2"/>
    <w:rsid w:val="0FA90872"/>
    <w:rsid w:val="0FBF2C8E"/>
    <w:rsid w:val="0FF90A28"/>
    <w:rsid w:val="10762981"/>
    <w:rsid w:val="11A825AE"/>
    <w:rsid w:val="123705B9"/>
    <w:rsid w:val="127075CF"/>
    <w:rsid w:val="12ED45FE"/>
    <w:rsid w:val="13910C45"/>
    <w:rsid w:val="13A1388A"/>
    <w:rsid w:val="13BB12D3"/>
    <w:rsid w:val="14A40B43"/>
    <w:rsid w:val="14ED4A35"/>
    <w:rsid w:val="15243E0E"/>
    <w:rsid w:val="15B925CF"/>
    <w:rsid w:val="160B66DC"/>
    <w:rsid w:val="169267C0"/>
    <w:rsid w:val="174A7CD5"/>
    <w:rsid w:val="175F3CA6"/>
    <w:rsid w:val="17767D2A"/>
    <w:rsid w:val="18524488"/>
    <w:rsid w:val="18731CCA"/>
    <w:rsid w:val="19214EFB"/>
    <w:rsid w:val="193577CC"/>
    <w:rsid w:val="19FB7D8E"/>
    <w:rsid w:val="1A5B6391"/>
    <w:rsid w:val="1A5F441B"/>
    <w:rsid w:val="1A87563E"/>
    <w:rsid w:val="1AAD26D0"/>
    <w:rsid w:val="1B9430C3"/>
    <w:rsid w:val="1BD11A17"/>
    <w:rsid w:val="1C7012F4"/>
    <w:rsid w:val="1CD4242B"/>
    <w:rsid w:val="1D01101E"/>
    <w:rsid w:val="1D7558FA"/>
    <w:rsid w:val="1E8376DF"/>
    <w:rsid w:val="1EBE14F5"/>
    <w:rsid w:val="1F5A39F7"/>
    <w:rsid w:val="1FD64912"/>
    <w:rsid w:val="200930BC"/>
    <w:rsid w:val="20640ACA"/>
    <w:rsid w:val="209B625B"/>
    <w:rsid w:val="20CF2805"/>
    <w:rsid w:val="20EF4EF8"/>
    <w:rsid w:val="21105279"/>
    <w:rsid w:val="219D5072"/>
    <w:rsid w:val="22086C0C"/>
    <w:rsid w:val="221D378B"/>
    <w:rsid w:val="22624A32"/>
    <w:rsid w:val="23775425"/>
    <w:rsid w:val="23852ACF"/>
    <w:rsid w:val="23915564"/>
    <w:rsid w:val="23EB0066"/>
    <w:rsid w:val="24F53C96"/>
    <w:rsid w:val="25E2722C"/>
    <w:rsid w:val="26D023A3"/>
    <w:rsid w:val="275309D9"/>
    <w:rsid w:val="27FB1620"/>
    <w:rsid w:val="28907911"/>
    <w:rsid w:val="28F81B01"/>
    <w:rsid w:val="297F7822"/>
    <w:rsid w:val="29880186"/>
    <w:rsid w:val="29CC31ED"/>
    <w:rsid w:val="2A37305D"/>
    <w:rsid w:val="2A465C67"/>
    <w:rsid w:val="2AD76DF3"/>
    <w:rsid w:val="2C1A4849"/>
    <w:rsid w:val="2CB5436C"/>
    <w:rsid w:val="2F8525D9"/>
    <w:rsid w:val="2FFB3494"/>
    <w:rsid w:val="30174349"/>
    <w:rsid w:val="315F5538"/>
    <w:rsid w:val="31A0275B"/>
    <w:rsid w:val="32084F56"/>
    <w:rsid w:val="32BB3966"/>
    <w:rsid w:val="33ED7470"/>
    <w:rsid w:val="343D3BEB"/>
    <w:rsid w:val="352B3ACA"/>
    <w:rsid w:val="365B3B1A"/>
    <w:rsid w:val="368469FD"/>
    <w:rsid w:val="385A3B6F"/>
    <w:rsid w:val="39063762"/>
    <w:rsid w:val="393246BC"/>
    <w:rsid w:val="399C7E17"/>
    <w:rsid w:val="39D92970"/>
    <w:rsid w:val="3A517C7B"/>
    <w:rsid w:val="3BD07B55"/>
    <w:rsid w:val="3C285C35"/>
    <w:rsid w:val="3D113F07"/>
    <w:rsid w:val="3D440195"/>
    <w:rsid w:val="3F8B1199"/>
    <w:rsid w:val="3F902D4A"/>
    <w:rsid w:val="3FAE2155"/>
    <w:rsid w:val="40286F4B"/>
    <w:rsid w:val="42731175"/>
    <w:rsid w:val="437331B5"/>
    <w:rsid w:val="439A185A"/>
    <w:rsid w:val="43F00FB8"/>
    <w:rsid w:val="440F5980"/>
    <w:rsid w:val="44AA6189"/>
    <w:rsid w:val="44C214B4"/>
    <w:rsid w:val="462778C1"/>
    <w:rsid w:val="47D755C8"/>
    <w:rsid w:val="480E1D32"/>
    <w:rsid w:val="48E930BF"/>
    <w:rsid w:val="49457267"/>
    <w:rsid w:val="4B386377"/>
    <w:rsid w:val="4BAC1AC0"/>
    <w:rsid w:val="4C5C517C"/>
    <w:rsid w:val="4C7813AD"/>
    <w:rsid w:val="4C890D0A"/>
    <w:rsid w:val="4CDA2801"/>
    <w:rsid w:val="4CF030BF"/>
    <w:rsid w:val="4D2152E4"/>
    <w:rsid w:val="4D962547"/>
    <w:rsid w:val="4F146F21"/>
    <w:rsid w:val="4F1A35AD"/>
    <w:rsid w:val="4F1B65B9"/>
    <w:rsid w:val="4F917FC6"/>
    <w:rsid w:val="501B68C6"/>
    <w:rsid w:val="508D27A6"/>
    <w:rsid w:val="509E790D"/>
    <w:rsid w:val="51025340"/>
    <w:rsid w:val="510D0E91"/>
    <w:rsid w:val="5115798C"/>
    <w:rsid w:val="518453EC"/>
    <w:rsid w:val="51B47F6E"/>
    <w:rsid w:val="51C51D65"/>
    <w:rsid w:val="521C6121"/>
    <w:rsid w:val="522B2735"/>
    <w:rsid w:val="5236524B"/>
    <w:rsid w:val="523A5041"/>
    <w:rsid w:val="52C44AE8"/>
    <w:rsid w:val="530A4438"/>
    <w:rsid w:val="538865E4"/>
    <w:rsid w:val="549F10D6"/>
    <w:rsid w:val="55164DDB"/>
    <w:rsid w:val="55381AB4"/>
    <w:rsid w:val="5579435C"/>
    <w:rsid w:val="55F1259E"/>
    <w:rsid w:val="562F062E"/>
    <w:rsid w:val="57386980"/>
    <w:rsid w:val="579D29FC"/>
    <w:rsid w:val="57C60097"/>
    <w:rsid w:val="57F06410"/>
    <w:rsid w:val="58FE7FD4"/>
    <w:rsid w:val="59156B87"/>
    <w:rsid w:val="59642F2F"/>
    <w:rsid w:val="599C3E12"/>
    <w:rsid w:val="59AA14E0"/>
    <w:rsid w:val="59E52906"/>
    <w:rsid w:val="5A9A680F"/>
    <w:rsid w:val="5AF554D4"/>
    <w:rsid w:val="5B7C7110"/>
    <w:rsid w:val="5BA00274"/>
    <w:rsid w:val="5C2F77C1"/>
    <w:rsid w:val="5CB70498"/>
    <w:rsid w:val="5D1412C6"/>
    <w:rsid w:val="5E211941"/>
    <w:rsid w:val="5E572080"/>
    <w:rsid w:val="5ED512CA"/>
    <w:rsid w:val="5F043A2E"/>
    <w:rsid w:val="5F5D37A0"/>
    <w:rsid w:val="5FF606C4"/>
    <w:rsid w:val="600E40C9"/>
    <w:rsid w:val="604E3D2F"/>
    <w:rsid w:val="616D143C"/>
    <w:rsid w:val="6186758E"/>
    <w:rsid w:val="61BD3635"/>
    <w:rsid w:val="61C169CC"/>
    <w:rsid w:val="62200402"/>
    <w:rsid w:val="624C2120"/>
    <w:rsid w:val="62A55CA5"/>
    <w:rsid w:val="63023E82"/>
    <w:rsid w:val="63F12BC9"/>
    <w:rsid w:val="643B6D37"/>
    <w:rsid w:val="6468013A"/>
    <w:rsid w:val="649C46F2"/>
    <w:rsid w:val="64B408F1"/>
    <w:rsid w:val="64F10F5C"/>
    <w:rsid w:val="66233F58"/>
    <w:rsid w:val="6643017F"/>
    <w:rsid w:val="66AE5F17"/>
    <w:rsid w:val="66FB1F67"/>
    <w:rsid w:val="688E5A2D"/>
    <w:rsid w:val="68BE51E8"/>
    <w:rsid w:val="68DC172B"/>
    <w:rsid w:val="6AFF269B"/>
    <w:rsid w:val="6B14138E"/>
    <w:rsid w:val="6C64640A"/>
    <w:rsid w:val="6D4F2BB0"/>
    <w:rsid w:val="6E95217E"/>
    <w:rsid w:val="6F3B7272"/>
    <w:rsid w:val="70776D2C"/>
    <w:rsid w:val="70D96799"/>
    <w:rsid w:val="70E268F0"/>
    <w:rsid w:val="71A9298B"/>
    <w:rsid w:val="71F10447"/>
    <w:rsid w:val="72BD29C0"/>
    <w:rsid w:val="730C71C4"/>
    <w:rsid w:val="735C1748"/>
    <w:rsid w:val="73836880"/>
    <w:rsid w:val="73CB561A"/>
    <w:rsid w:val="748B06D6"/>
    <w:rsid w:val="762A388D"/>
    <w:rsid w:val="766273DA"/>
    <w:rsid w:val="77305A66"/>
    <w:rsid w:val="774547FB"/>
    <w:rsid w:val="7789230E"/>
    <w:rsid w:val="779C1699"/>
    <w:rsid w:val="78E864F3"/>
    <w:rsid w:val="79770E9B"/>
    <w:rsid w:val="797F6F0E"/>
    <w:rsid w:val="79DC6ADA"/>
    <w:rsid w:val="7A240BF4"/>
    <w:rsid w:val="7B0E49A9"/>
    <w:rsid w:val="7B314ED5"/>
    <w:rsid w:val="7BC22C39"/>
    <w:rsid w:val="7D1D18E6"/>
    <w:rsid w:val="7DC47EB1"/>
    <w:rsid w:val="7DD16B3F"/>
    <w:rsid w:val="7DD505F2"/>
    <w:rsid w:val="7E1B7BE3"/>
    <w:rsid w:val="7E6B2B27"/>
    <w:rsid w:val="7E6F6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6"/>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6"/>
    <w:link w:val="3"/>
    <w:qFormat/>
    <w:uiPriority w:val="0"/>
    <w:rPr>
      <w:rFonts w:ascii="Calibri" w:hAnsi="Calibri"/>
      <w:kern w:val="2"/>
      <w:sz w:val="18"/>
      <w:szCs w:val="18"/>
    </w:rPr>
  </w:style>
  <w:style w:type="character" w:customStyle="1" w:styleId="10">
    <w:name w:val="页眉 字符"/>
    <w:basedOn w:val="6"/>
    <w:link w:val="4"/>
    <w:qFormat/>
    <w:uiPriority w:val="0"/>
    <w:rPr>
      <w:rFonts w:ascii="Calibri" w:hAnsi="Calibri"/>
      <w:kern w:val="2"/>
      <w:sz w:val="18"/>
      <w:szCs w:val="18"/>
    </w:rPr>
  </w:style>
  <w:style w:type="paragraph" w:customStyle="1" w:styleId="11">
    <w:name w:val="p0"/>
    <w:basedOn w:val="1"/>
    <w:qFormat/>
    <w:uiPriority w:val="0"/>
    <w:pPr>
      <w:widowControl/>
    </w:pPr>
    <w:rPr>
      <w:rFonts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1</TotalTime>
  <ScaleCrop>false</ScaleCrop>
  <LinksUpToDate>false</LinksUpToDate>
  <CharactersWithSpaces>14413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2024-03-21T02:39:31Z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C6D45140CB9C40BA8885CAA2EB2A15FF</vt:lpwstr>
  </property>
</Properties>
</file>