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宋体" w:hAnsi="宋体"/>
          <w:sz w:val="84"/>
          <w:szCs w:val="84"/>
        </w:rPr>
      </w:pPr>
      <w:r>
        <w:rPr>
          <w:rFonts w:hint="eastAsia" w:ascii="方正小标宋简体" w:hAnsi="方正小标宋简体" w:eastAsia="方正小标宋简体" w:cs="方正小标宋简体"/>
          <w:sz w:val="44"/>
          <w:szCs w:val="44"/>
        </w:rPr>
        <w:t>新乡市卫滨区就业创业服务中心2024年度单位预算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新乡市卫滨区就业创业服务中心概况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卫滨区就业创业服务中心</w:t>
      </w:r>
      <w:r>
        <w:rPr>
          <w:rFonts w:hint="eastAsia" w:ascii="Times New Roman" w:hAnsi="Times New Roman" w:eastAsia="仿宋_GB2312" w:cs="Times New Roman"/>
          <w:kern w:val="2"/>
          <w:sz w:val="32"/>
          <w:szCs w:val="32"/>
          <w:lang w:val="en-US" w:eastAsia="zh-CN" w:bidi="ar-SA"/>
        </w:rPr>
        <w:t>2024</w:t>
      </w:r>
      <w:r>
        <w:rPr>
          <w:rFonts w:hint="eastAsia" w:ascii="黑体" w:hAnsi="Times New Roman" w:eastAsia="黑体" w:cs="黑体"/>
          <w:sz w:val="32"/>
          <w:szCs w:val="32"/>
        </w:rPr>
        <w:t>年度单位预算情况说明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rPr>
        <w:t>就业创业服务中心</w:t>
      </w:r>
      <w:r>
        <w:rPr>
          <w:rFonts w:hint="eastAsia" w:ascii="Times New Roman" w:hAnsi="Times New Roman" w:eastAsia="仿宋_GB2312" w:cs="Times New Roman"/>
          <w:kern w:val="2"/>
          <w:sz w:val="32"/>
          <w:szCs w:val="32"/>
          <w:lang w:val="en-US" w:eastAsia="zh-CN" w:bidi="ar-SA"/>
        </w:rPr>
        <w:t>2024</w:t>
      </w:r>
      <w:r>
        <w:rPr>
          <w:rFonts w:hint="eastAsia" w:ascii="黑体" w:hAnsi="Times New Roman" w:eastAsia="黑体" w:cs="黑体"/>
          <w:sz w:val="32"/>
          <w:szCs w:val="32"/>
        </w:rPr>
        <w:t>年度单位预算表</w:t>
      </w:r>
    </w:p>
    <w:p>
      <w:pPr>
        <w:kinsoku w:val="0"/>
        <w:overflowPunct w:val="0"/>
        <w:adjustRightInd w:val="0"/>
        <w:snapToGrid w:val="0"/>
        <w:spacing w:line="360" w:lineRule="auto"/>
        <w:ind w:firstLine="640"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一、2024年单位收支预算表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二、2024年单位收入预算表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三、2024年单位支出预算表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adjustRightInd w:val="0"/>
        <w:snapToGrid w:val="0"/>
        <w:spacing w:line="360" w:lineRule="auto"/>
        <w:jc w:val="center"/>
        <w:rPr>
          <w:rFonts w:ascii="方正小标宋简体" w:hAnsi="方正小标宋简体" w:eastAsia="方正小标宋简体" w:cs="方正小标宋简体"/>
          <w:sz w:val="36"/>
          <w:szCs w:val="36"/>
        </w:rPr>
      </w:pPr>
    </w:p>
    <w:p>
      <w:pP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br w:type="page"/>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新乡市卫滨区就业创业服务中心概况</w:t>
      </w:r>
    </w:p>
    <w:p>
      <w:pPr>
        <w:adjustRightInd w:val="0"/>
        <w:snapToGrid w:val="0"/>
        <w:spacing w:line="360" w:lineRule="auto"/>
        <w:jc w:val="center"/>
        <w:rPr>
          <w:rFonts w:ascii="黑体" w:hAnsi="黑体" w:eastAsia="黑体"/>
          <w:sz w:val="32"/>
          <w:szCs w:val="32"/>
        </w:rPr>
      </w:pP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卫滨区就业创业服务中心</w:t>
      </w:r>
      <w:r>
        <w:rPr>
          <w:rFonts w:hint="eastAsia" w:ascii="黑体" w:hAnsi="黑体" w:eastAsia="黑体"/>
          <w:sz w:val="32"/>
          <w:szCs w:val="32"/>
        </w:rPr>
        <w:t>主要职责</w:t>
      </w:r>
    </w:p>
    <w:p>
      <w:pPr>
        <w:pStyle w:val="9"/>
        <w:spacing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贯彻落实就业创业、养老保险方针政策；统筹做好城镇新增劳动力和失业人员就业再就业工作；负责社保、岗位和培训等就业补助资金支出的审核工作；开发公益性就业岗位，对就业困难人员实施就业援助；负责就业失业登记、职业介绍、农村富余劳动力转移管理和协调工作；开展免费农村劳动力、失业人员再就业技能培训工作；开展职业资格登记评定，培养初、中、高级技术人才工作；为创业人员提供创业贷款担保、创业项目扶持等服务；负责养老保险基金统筹、基金管理、个人账户管理、养老金发放、参保宣传等工作；完成上级交办的其他任务。</w:t>
      </w:r>
    </w:p>
    <w:p>
      <w:pPr>
        <w:pStyle w:val="9"/>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卫滨区就业创业服务中心</w:t>
      </w:r>
      <w:r>
        <w:rPr>
          <w:rFonts w:hint="eastAsia" w:ascii="黑体" w:hAnsi="黑体" w:eastAsia="黑体"/>
          <w:sz w:val="32"/>
          <w:szCs w:val="32"/>
        </w:rPr>
        <w:t>单位构成</w:t>
      </w:r>
    </w:p>
    <w:p>
      <w:pPr>
        <w:pStyle w:val="13"/>
        <w:numPr>
          <w:ilvl w:val="0"/>
          <w:numId w:val="3"/>
        </w:numPr>
        <w:spacing w:line="560" w:lineRule="exact"/>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新乡市卫滨区就业创业服务中心纳入</w:t>
      </w:r>
      <w:r>
        <w:rPr>
          <w:rFonts w:hint="eastAsia" w:ascii="Times New Roman" w:hAnsi="Times New Roman" w:eastAsia="仿宋_GB2312" w:cs="Times New Roman"/>
          <w:kern w:val="2"/>
          <w:sz w:val="32"/>
          <w:szCs w:val="32"/>
          <w:lang w:val="en-US" w:eastAsia="zh-CN" w:bidi="ar-SA"/>
        </w:rPr>
        <w:t>2024</w:t>
      </w:r>
      <w:r>
        <w:rPr>
          <w:rFonts w:hint="eastAsia" w:ascii="仿宋_GB2312" w:hAnsi="仿宋_GB2312" w:eastAsia="仿宋_GB2312" w:cs="仿宋_GB2312"/>
          <w:sz w:val="32"/>
          <w:szCs w:val="32"/>
        </w:rPr>
        <w:t>年度单位预算编制范围的单位共1个，具体是：</w:t>
      </w:r>
    </w:p>
    <w:p>
      <w:pPr>
        <w:pStyle w:val="13"/>
        <w:numPr>
          <w:ilvl w:val="0"/>
          <w:numId w:val="3"/>
        </w:numPr>
        <w:spacing w:line="560" w:lineRule="exact"/>
        <w:ind w:firstLineChars="0"/>
        <w:jc w:val="left"/>
        <w:rPr>
          <w:rFonts w:ascii="仿宋_GB2312" w:hAnsi="仿宋_GB2312" w:eastAsia="仿宋_GB2312" w:cs="仿宋_GB2312"/>
          <w:sz w:val="32"/>
          <w:szCs w:val="32"/>
        </w:rPr>
      </w:pPr>
      <w:r>
        <w:rPr>
          <w:rFonts w:hint="eastAsia" w:ascii="Times New Roman" w:hAnsi="Times New Roman" w:eastAsia="仿宋_GB2312" w:cs="Times New Roman"/>
          <w:kern w:val="2"/>
          <w:sz w:val="32"/>
          <w:szCs w:val="32"/>
          <w:lang w:val="en-US" w:eastAsia="zh-CN" w:bidi="ar-SA"/>
        </w:rPr>
        <w:t>2024</w:t>
      </w:r>
      <w:r>
        <w:rPr>
          <w:rFonts w:hint="eastAsia" w:ascii="仿宋_GB2312" w:hAnsi="仿宋_GB2312" w:eastAsia="仿宋_GB2312" w:cs="仿宋_GB2312"/>
          <w:sz w:val="32"/>
          <w:szCs w:val="32"/>
        </w:rPr>
        <w:t>年度单位预算是新乡市卫滨区人力资源和社会保障局二级机构。</w:t>
      </w:r>
    </w:p>
    <w:p>
      <w:pPr>
        <w:pStyle w:val="13"/>
        <w:numPr>
          <w:ilvl w:val="0"/>
          <w:numId w:val="3"/>
        </w:numPr>
        <w:spacing w:line="560" w:lineRule="exact"/>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新乡市卫滨区就业创业服务中心所设下列内设机构:办公室、财务室、就业科、培训科、贷款科。</w:t>
      </w: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新乡市卫滨区就业创业服务中心2024年度单位预算情况说明</w:t>
      </w: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rPr>
        <w:t>1069.22</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rPr>
        <w:t>1069.22</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w:t>
      </w:r>
      <w:r>
        <w:rPr>
          <w:rFonts w:hint="eastAsia" w:ascii="Times New Roman" w:hAnsi="Times New Roman" w:eastAsia="仿宋_GB2312"/>
          <w:sz w:val="32"/>
          <w:szCs w:val="32"/>
        </w:rPr>
        <w:t>286.22</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36.56%</w:t>
      </w:r>
      <w:r>
        <w:rPr>
          <w:rFonts w:hint="eastAsia" w:ascii="仿宋_GB2312" w:hAnsi="仿宋_GB2312" w:eastAsia="仿宋_GB2312" w:cs="仿宋_GB2312"/>
          <w:sz w:val="32"/>
          <w:szCs w:val="32"/>
        </w:rPr>
        <w:t>。主要原因是单位合并，人员增加;支出增加</w:t>
      </w:r>
      <w:r>
        <w:rPr>
          <w:rFonts w:hint="eastAsia" w:ascii="Times New Roman" w:hAnsi="Times New Roman" w:eastAsia="仿宋_GB2312"/>
          <w:sz w:val="32"/>
          <w:szCs w:val="32"/>
        </w:rPr>
        <w:t>286.22</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36.56%</w:t>
      </w:r>
      <w:r>
        <w:rPr>
          <w:rFonts w:hint="eastAsia" w:ascii="仿宋_GB2312" w:hAnsi="仿宋_GB2312" w:eastAsia="仿宋_GB2312" w:cs="仿宋_GB2312"/>
          <w:sz w:val="32"/>
          <w:szCs w:val="32"/>
        </w:rPr>
        <w:t>。主要原因是单位合并，人员增加</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1069.22</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sz w:val="32"/>
          <w:szCs w:val="32"/>
        </w:rPr>
        <w:t>286.22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sz w:val="32"/>
          <w:szCs w:val="32"/>
        </w:rPr>
        <w:t>36.56</w:t>
      </w:r>
      <w:r>
        <w:rPr>
          <w:rFonts w:ascii="Times New Roman" w:hAnsi="Times New Roman" w:eastAsia="仿宋_GB2312"/>
          <w:sz w:val="32"/>
          <w:szCs w:val="32"/>
        </w:rPr>
        <w:t>%</w:t>
      </w:r>
      <w:r>
        <w:rPr>
          <w:rFonts w:hint="eastAsia" w:ascii="仿宋_GB2312" w:hAnsi="仿宋_GB2312" w:eastAsia="仿宋_GB2312" w:cs="仿宋_GB2312"/>
          <w:sz w:val="32"/>
          <w:szCs w:val="32"/>
        </w:rPr>
        <w:t>，原因为单位合并，人员增加。其中：一般公共预算</w:t>
      </w:r>
      <w:r>
        <w:rPr>
          <w:rFonts w:hint="eastAsia" w:ascii="Times New Roman" w:hAnsi="Times New Roman" w:eastAsia="仿宋_GB2312"/>
          <w:sz w:val="32"/>
          <w:szCs w:val="32"/>
        </w:rPr>
        <w:t>1069.22</w:t>
      </w:r>
      <w:r>
        <w:rPr>
          <w:rFonts w:hint="eastAsia" w:ascii="仿宋_GB2312" w:hAnsi="仿宋_GB2312" w:eastAsia="仿宋_GB2312" w:cs="仿宋_GB2312"/>
          <w:sz w:val="32"/>
          <w:szCs w:val="32"/>
        </w:rPr>
        <w:t>万元;政府性基金收入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highlight w:val="red"/>
        </w:rPr>
      </w:pPr>
      <w:r>
        <w:rPr>
          <w:rFonts w:hint="eastAsia" w:ascii="仿宋_GB2312" w:hAnsi="仿宋_GB2312" w:eastAsia="仿宋_GB2312" w:cs="仿宋_GB2312"/>
          <w:sz w:val="32"/>
          <w:szCs w:val="32"/>
          <w:lang w:val="en-US" w:eastAsia="zh-CN"/>
        </w:rPr>
        <w:t>新乡市</w:t>
      </w:r>
      <w:r>
        <w:rPr>
          <w:rFonts w:hint="eastAsia" w:ascii="仿宋_GB2312" w:hAnsi="仿宋_GB2312" w:eastAsia="仿宋_GB2312" w:cs="仿宋_GB2312"/>
          <w:sz w:val="32"/>
          <w:szCs w:val="32"/>
        </w:rPr>
        <w:t>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1069.22</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187.88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17.57</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881.34</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82.43</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w:t>
      </w:r>
      <w:r>
        <w:rPr>
          <w:rFonts w:hint="eastAsia" w:ascii="仿宋_GB2312" w:hAnsi="仿宋_GB2312" w:eastAsia="仿宋_GB2312" w:cs="仿宋_GB2312"/>
          <w:sz w:val="32"/>
          <w:szCs w:val="32"/>
        </w:rPr>
        <w:t>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rPr>
        <w:t>1069.22</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w:t>
      </w:r>
      <w:r>
        <w:rPr>
          <w:rFonts w:hint="eastAsia" w:ascii="Times New Roman" w:hAnsi="Times New Roman" w:eastAsia="仿宋_GB2312"/>
          <w:sz w:val="32"/>
          <w:szCs w:val="32"/>
        </w:rPr>
        <w:t>2023</w:t>
      </w:r>
      <w:r>
        <w:rPr>
          <w:rFonts w:hint="eastAsia" w:ascii="仿宋_GB2312" w:hAnsi="仿宋_GB2312" w:eastAsia="仿宋_GB2312" w:cs="仿宋_GB2312"/>
          <w:sz w:val="32"/>
          <w:szCs w:val="32"/>
        </w:rPr>
        <w:t>年相比，一般公共预算收支预算增加</w:t>
      </w:r>
      <w:r>
        <w:rPr>
          <w:rFonts w:hint="eastAsia" w:ascii="Times New Roman" w:hAnsi="Times New Roman" w:eastAsia="仿宋_GB2312"/>
          <w:sz w:val="32"/>
          <w:szCs w:val="32"/>
        </w:rPr>
        <w:t>286.22</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36.56</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，主要原因是单位合并，人员增加；政府性基金收支预算增加</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仿宋_GB2312" w:eastAsia="仿宋_GB2312" w:cs="仿宋_GB2312"/>
          <w:sz w:val="32"/>
          <w:szCs w:val="32"/>
        </w:rPr>
        <w:t>，主要是无。</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仿宋_GB2312" w:eastAsia="仿宋_GB2312" w:cs="仿宋_GB2312"/>
          <w:sz w:val="32"/>
          <w:szCs w:val="32"/>
          <w:lang w:val="en-US" w:eastAsia="zh-CN"/>
        </w:rPr>
        <w:t>新乡市</w:t>
      </w:r>
      <w:r>
        <w:rPr>
          <w:rFonts w:hint="eastAsia" w:ascii="仿宋_GB2312" w:hAnsi="仿宋_GB2312" w:eastAsia="仿宋_GB2312" w:cs="仿宋_GB2312"/>
          <w:sz w:val="32"/>
          <w:szCs w:val="32"/>
        </w:rPr>
        <w:t>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rPr>
        <w:t>1069.22</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187.88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17.57</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881.34</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82.43</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w:t>
      </w:r>
      <w:r>
        <w:rPr>
          <w:rFonts w:hint="eastAsia" w:ascii="Times New Roman" w:hAnsi="Times New Roman" w:eastAsia="仿宋_GB2312"/>
          <w:sz w:val="32"/>
          <w:szCs w:val="32"/>
        </w:rPr>
        <w:t>1044.49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97.69%</w:t>
      </w:r>
      <w:r>
        <w:rPr>
          <w:rFonts w:hint="eastAsia" w:ascii="仿宋_GB2312" w:hAnsi="仿宋_GB2312" w:eastAsia="仿宋_GB2312" w:cs="仿宋_GB2312"/>
          <w:sz w:val="32"/>
          <w:szCs w:val="32"/>
        </w:rPr>
        <w:t>；卫生健康（类）支出</w:t>
      </w:r>
      <w:r>
        <w:rPr>
          <w:rFonts w:hint="eastAsia" w:ascii="Times New Roman" w:hAnsi="Times New Roman" w:eastAsia="仿宋_GB2312"/>
          <w:sz w:val="32"/>
          <w:szCs w:val="32"/>
        </w:rPr>
        <w:t>10.32</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0.97%</w:t>
      </w:r>
      <w:r>
        <w:rPr>
          <w:rFonts w:hint="eastAsia" w:ascii="仿宋_GB2312" w:hAnsi="仿宋_GB2312" w:eastAsia="仿宋_GB2312" w:cs="仿宋_GB2312"/>
          <w:sz w:val="32"/>
          <w:szCs w:val="32"/>
        </w:rPr>
        <w:t>；住房保障（类）支出</w:t>
      </w:r>
      <w:r>
        <w:rPr>
          <w:rFonts w:hint="eastAsia" w:ascii="Times New Roman" w:hAnsi="Times New Roman" w:eastAsia="仿宋_GB2312"/>
          <w:sz w:val="32"/>
          <w:szCs w:val="32"/>
        </w:rPr>
        <w:t>14.41</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1.34%</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w:t>
      </w:r>
      <w:r>
        <w:rPr>
          <w:rFonts w:hint="eastAsia" w:ascii="仿宋_GB2312" w:hAnsi="仿宋_GB2312" w:eastAsia="仿宋_GB2312" w:cs="仿宋_GB2312"/>
          <w:sz w:val="32"/>
          <w:szCs w:val="32"/>
        </w:rPr>
        <w:t>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187.88</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180.19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95.90</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7.69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4.10</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881.34</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15.80</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865.54</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我</w:t>
      </w:r>
      <w:r>
        <w:rPr>
          <w:rFonts w:hint="eastAsia" w:ascii="仿宋_GB2312" w:hAnsi="宋体" w:eastAsia="仿宋_GB2312" w:cs="Courier New"/>
          <w:sz w:val="32"/>
          <w:szCs w:val="32"/>
        </w:rPr>
        <w:t>单位</w:t>
      </w:r>
      <w:r>
        <w:rPr>
          <w:rFonts w:hint="eastAsia" w:ascii="Times New Roman" w:hAnsi="Times New Roman" w:eastAsia="仿宋_GB2312"/>
          <w:sz w:val="32"/>
          <w:szCs w:val="32"/>
        </w:rPr>
        <w:t>2024</w:t>
      </w:r>
      <w:r>
        <w:rPr>
          <w:rFonts w:hint="eastAsia" w:ascii="仿宋_GB2312" w:hAnsi="宋体" w:eastAsia="仿宋_GB2312" w:cs="Courier New"/>
          <w:sz w:val="32"/>
          <w:szCs w:val="32"/>
        </w:rPr>
        <w:t>年无使用政府性基金预算拨款安排的支出，</w:t>
      </w:r>
      <w:r>
        <w:rPr>
          <w:rFonts w:hint="eastAsia" w:ascii="仿宋_GB2312" w:hAnsi="仿宋_GB2312" w:eastAsia="仿宋_GB2312" w:cs="仿宋_GB2312"/>
          <w:sz w:val="32"/>
          <w:szCs w:val="32"/>
        </w:rPr>
        <w:t>年初预算为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八、“三公”经费支出预算情况说明</w:t>
      </w:r>
    </w:p>
    <w:p>
      <w:pPr>
        <w:spacing w:line="360" w:lineRule="auto"/>
        <w:ind w:firstLine="640" w:firstLineChars="200"/>
        <w:rPr>
          <w:rFonts w:ascii="仿宋_GB2312" w:eastAsia="仿宋_GB2312"/>
          <w:sz w:val="32"/>
          <w:szCs w:val="32"/>
        </w:rPr>
      </w:pPr>
      <w:r>
        <w:rPr>
          <w:rFonts w:hint="eastAsia" w:ascii="仿宋_GB2312" w:hAnsi="宋体" w:eastAsia="仿宋_GB2312" w:cs="Courier New"/>
          <w:sz w:val="32"/>
          <w:szCs w:val="32"/>
          <w:lang w:val="en-US" w:eastAsia="zh-CN"/>
        </w:rPr>
        <w:t>新乡市</w:t>
      </w:r>
      <w:r>
        <w:rPr>
          <w:rFonts w:hint="eastAsia" w:ascii="仿宋_GB2312" w:hAnsi="宋体" w:eastAsia="仿宋_GB2312" w:cs="Courier New"/>
          <w:sz w:val="32"/>
          <w:szCs w:val="32"/>
        </w:rPr>
        <w:t>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1.10</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年“三公”经费支出预算数比</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w:t>
      </w:r>
      <w:r>
        <w:rPr>
          <w:rFonts w:hint="eastAsia" w:ascii="黑体" w:hAnsi="黑体" w:eastAsia="黑体" w:cs="黑体"/>
          <w:sz w:val="32"/>
          <w:szCs w:val="32"/>
        </w:rPr>
        <w:t>0.2</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w:t>
      </w:r>
      <w:r>
        <w:rPr>
          <w:rFonts w:hint="eastAsia" w:ascii="Times New Roman" w:hAnsi="Times New Roman" w:eastAsia="黑体"/>
          <w:sz w:val="32"/>
          <w:szCs w:val="32"/>
        </w:rPr>
        <w:t>2023</w:t>
      </w:r>
      <w:r>
        <w:rPr>
          <w:rFonts w:hint="eastAsia" w:ascii="仿宋_GB2312" w:hAnsi="宋体" w:eastAsia="仿宋_GB2312" w:cs="Courier New"/>
          <w:sz w:val="32"/>
          <w:szCs w:val="32"/>
        </w:rPr>
        <w:t>年增加</w:t>
      </w:r>
      <w:r>
        <w:rPr>
          <w:rFonts w:hint="eastAsia" w:ascii="Times New Roman" w:hAnsi="Times New Roman" w:eastAsia="黑体"/>
          <w:sz w:val="32"/>
          <w:szCs w:val="32"/>
        </w:rPr>
        <w:t>0</w:t>
      </w:r>
      <w:r>
        <w:rPr>
          <w:rFonts w:hint="eastAsia" w:ascii="仿宋_GB2312" w:hAnsi="宋体" w:eastAsia="仿宋_GB2312" w:cs="Courier New"/>
          <w:sz w:val="32"/>
          <w:szCs w:val="32"/>
        </w:rPr>
        <w:t>万元。增加的主要原因是无。</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1.10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1.10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w:t>
      </w:r>
      <w:r>
        <w:rPr>
          <w:rFonts w:hint="eastAsia" w:ascii="Times New Roman" w:hAnsi="Times New Roman" w:eastAsia="仿宋_GB2312"/>
          <w:sz w:val="32"/>
          <w:szCs w:val="32"/>
        </w:rPr>
        <w:t>0</w:t>
      </w:r>
      <w:r>
        <w:rPr>
          <w:rFonts w:hint="eastAsia" w:ascii="仿宋_GB2312" w:hAnsi="宋体" w:eastAsia="仿宋_GB2312" w:cs="Courier New"/>
          <w:sz w:val="32"/>
          <w:szCs w:val="32"/>
        </w:rPr>
        <w:t>万元，主要原因：无。公务用车运行维护费预算数比</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w:t>
      </w:r>
      <w:r>
        <w:rPr>
          <w:rFonts w:hint="eastAsia" w:ascii="Times New Roman" w:hAnsi="Times New Roman" w:eastAsia="仿宋_GB2312"/>
          <w:sz w:val="32"/>
          <w:szCs w:val="32"/>
        </w:rPr>
        <w:t>0.2</w:t>
      </w:r>
      <w:r>
        <w:rPr>
          <w:rFonts w:hint="eastAsia" w:ascii="仿宋_GB2312" w:hAnsi="宋体" w:eastAsia="仿宋_GB2312" w:cs="Courier New"/>
          <w:sz w:val="32"/>
          <w:szCs w:val="32"/>
        </w:rPr>
        <w:t>万元，减少的主要原因是财政预算标准降低。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年增加0万元。增加的主要原因无。</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eastAsia="仿宋_GB2312"/>
          <w:sz w:val="32"/>
          <w:szCs w:val="32"/>
          <w:lang w:val="en-US" w:eastAsia="zh-CN"/>
        </w:rPr>
        <w:t>新乡市</w:t>
      </w:r>
      <w:r>
        <w:rPr>
          <w:rFonts w:hint="eastAsia" w:ascii="仿宋_GB2312" w:eastAsia="仿宋_GB2312"/>
          <w:sz w:val="32"/>
          <w:szCs w:val="32"/>
        </w:rPr>
        <w:t>卫滨区就业创业服务中心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7.69</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
          <w:kern w:val="0"/>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numPr>
          <w:ilvl w:val="0"/>
          <w:numId w:val="4"/>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4"/>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w:t>
      </w:r>
      <w:r>
        <w:rPr>
          <w:rFonts w:hint="eastAsia" w:ascii="Times New Roman" w:hAnsi="Times New Roman" w:eastAsia="仿宋_GB2312"/>
          <w:sz w:val="32"/>
          <w:szCs w:val="32"/>
        </w:rPr>
        <w:t>2024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rPr>
        <w:t>我单位</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年未开展重点项目预算的绩效目标。</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yellow"/>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6</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653.5</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8</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rPr>
        <w:t>881.34</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red"/>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36.76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olor w:val="000000"/>
          <w:sz w:val="32"/>
          <w:szCs w:val="32"/>
        </w:rPr>
        <w:t>20.70</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36.76</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主要原因：固定资产计提折旧。</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仿宋_GB2312" w:hAnsi="黑体" w:eastAsia="仿宋_GB2312" w:cs="黑体"/>
          <w:sz w:val="32"/>
          <w:szCs w:val="32"/>
        </w:rPr>
        <w:t>新乡市卫滨区就业创业服务中心</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1</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1</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黑体" w:hAnsi="黑体" w:eastAsia="黑体"/>
          <w:sz w:val="32"/>
          <w:szCs w:val="32"/>
        </w:rPr>
      </w:pPr>
      <w:r>
        <w:rPr>
          <w:rFonts w:hint="eastAsia" w:ascii="仿宋_GB2312" w:hAnsi="黑体" w:eastAsia="仿宋_GB2312" w:cs="黑体"/>
          <w:sz w:val="32"/>
          <w:szCs w:val="32"/>
        </w:rPr>
        <w:t>新乡市卫滨区就业创业服务中心</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黑体" w:eastAsia="仿宋_GB2312" w:cs="黑体"/>
          <w:sz w:val="32"/>
          <w:szCs w:val="32"/>
        </w:rPr>
        <w:t>新乡市卫滨区就业创业服务中心</w:t>
      </w:r>
      <w:r>
        <w:rPr>
          <w:rFonts w:hint="eastAsia" w:ascii="仿宋_GB2312" w:hAnsi="宋体" w:eastAsia="仿宋_GB2312" w:cs="Courier New"/>
          <w:sz w:val="32"/>
          <w:szCs w:val="32"/>
        </w:rPr>
        <w:t>《支出经济分类汇总表》从2018年起从仅反映一般公共预算基本支出经济分类科目预算调整为按两套经济分类科目分别反映不同资金来源的全部预算支出。</w:t>
      </w:r>
    </w:p>
    <w:p>
      <w:pPr>
        <w:rPr>
          <w:rFonts w:ascii="黑体" w:hAnsi="黑体" w:eastAsia="黑体"/>
          <w:sz w:val="32"/>
          <w:szCs w:val="32"/>
        </w:rPr>
      </w:pPr>
      <w:r>
        <w:rPr>
          <w:rFonts w:hint="eastAsia" w:ascii="黑体" w:hAnsi="黑体" w:eastAsia="黑体"/>
          <w:sz w:val="32"/>
          <w:szCs w:val="32"/>
        </w:rPr>
        <w:br w:type="page"/>
      </w:r>
    </w:p>
    <w:p>
      <w:pP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卫滨区就业创业服务中心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年度单位预算表</w:t>
      </w:r>
    </w:p>
    <w:p>
      <w:pPr>
        <w:kinsoku w:val="0"/>
        <w:overflowPunct w:val="0"/>
        <w:adjustRightInd w:val="0"/>
        <w:snapToGrid w:val="0"/>
        <w:spacing w:line="560" w:lineRule="exact"/>
        <w:jc w:val="center"/>
        <w:rPr>
          <w:rFonts w:hint="eastAsia" w:ascii="黑体" w:hAnsi="Times New Roman" w:eastAsia="黑体" w:cs="黑体"/>
          <w:sz w:val="32"/>
          <w:szCs w:val="32"/>
        </w:rPr>
      </w:pPr>
    </w:p>
    <w:p>
      <w:pPr>
        <w:kinsoku w:val="0"/>
        <w:overflowPunct w:val="0"/>
        <w:adjustRightInd w:val="0"/>
        <w:snapToGrid w:val="0"/>
        <w:spacing w:line="560" w:lineRule="exact"/>
        <w:jc w:val="center"/>
        <w:rPr>
          <w:rFonts w:hint="eastAsia" w:ascii="黑体" w:hAnsi="Times New Roman" w:eastAsia="黑体" w:cs="黑体"/>
          <w:sz w:val="32"/>
          <w:szCs w:val="32"/>
        </w:rPr>
      </w:pPr>
    </w:p>
    <w:p>
      <w:pPr>
        <w:kinsoku w:val="0"/>
        <w:overflowPunct w:val="0"/>
        <w:adjustRightInd w:val="0"/>
        <w:snapToGrid w:val="0"/>
        <w:spacing w:line="560" w:lineRule="exact"/>
        <w:jc w:val="center"/>
        <w:rPr>
          <w:rFonts w:hint="eastAsia" w:ascii="黑体" w:hAnsi="Times New Roman" w:eastAsia="黑体" w:cs="黑体"/>
          <w:sz w:val="32"/>
          <w:szCs w:val="32"/>
        </w:rPr>
      </w:pPr>
    </w:p>
    <w:p>
      <w:pPr>
        <w:kinsoku w:val="0"/>
        <w:overflowPunct w:val="0"/>
        <w:adjustRightInd w:val="0"/>
        <w:snapToGrid w:val="0"/>
        <w:spacing w:line="560" w:lineRule="exact"/>
        <w:jc w:val="center"/>
        <w:rPr>
          <w:rFonts w:hint="eastAsia" w:ascii="黑体" w:hAnsi="Times New Roman" w:eastAsia="黑体" w:cs="黑体"/>
          <w:sz w:val="32"/>
          <w:szCs w:val="32"/>
        </w:rPr>
      </w:pPr>
    </w:p>
    <w:p>
      <w:pPr>
        <w:kinsoku w:val="0"/>
        <w:overflowPunct w:val="0"/>
        <w:adjustRightInd w:val="0"/>
        <w:snapToGrid w:val="0"/>
        <w:spacing w:line="560" w:lineRule="exact"/>
        <w:jc w:val="center"/>
        <w:rPr>
          <w:rFonts w:hint="eastAsia" w:ascii="黑体" w:hAnsi="Times New Roman" w:eastAsia="黑体" w:cs="黑体"/>
          <w:sz w:val="32"/>
          <w:szCs w:val="32"/>
        </w:rPr>
      </w:pPr>
    </w:p>
    <w:p>
      <w:pPr>
        <w:kinsoku w:val="0"/>
        <w:overflowPunct w:val="0"/>
        <w:adjustRightInd w:val="0"/>
        <w:snapToGrid w:val="0"/>
        <w:spacing w:line="560" w:lineRule="exact"/>
        <w:jc w:val="center"/>
        <w:rPr>
          <w:rFonts w:hint="eastAsia" w:ascii="黑体" w:hAnsi="Times New Roman" w:eastAsia="黑体" w:cs="黑体"/>
          <w:sz w:val="32"/>
          <w:szCs w:val="32"/>
        </w:rPr>
      </w:pPr>
    </w:p>
    <w:p>
      <w:pPr>
        <w:kinsoku w:val="0"/>
        <w:overflowPunct w:val="0"/>
        <w:adjustRightInd w:val="0"/>
        <w:snapToGrid w:val="0"/>
        <w:spacing w:line="560" w:lineRule="exact"/>
        <w:jc w:val="center"/>
        <w:rPr>
          <w:rFonts w:hint="eastAsia" w:ascii="黑体" w:hAnsi="Times New Roman" w:eastAsia="黑体" w:cs="黑体"/>
          <w:sz w:val="32"/>
          <w:szCs w:val="32"/>
        </w:rPr>
      </w:pPr>
    </w:p>
    <w:p>
      <w:pPr>
        <w:kinsoku w:val="0"/>
        <w:overflowPunct w:val="0"/>
        <w:adjustRightInd w:val="0"/>
        <w:snapToGrid w:val="0"/>
        <w:spacing w:line="560" w:lineRule="exact"/>
        <w:jc w:val="center"/>
        <w:rPr>
          <w:rFonts w:hint="eastAsia" w:ascii="黑体" w:hAnsi="Times New Roman" w:eastAsia="黑体" w:cs="黑体"/>
          <w:sz w:val="32"/>
          <w:szCs w:val="32"/>
        </w:rPr>
      </w:pPr>
      <w:bookmarkStart w:id="0" w:name="_GoBack"/>
      <w:bookmarkEnd w:id="0"/>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2024年单位收支预算表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rPr>
                <w:rFonts w:ascii="宋体" w:hAnsi="宋体" w:cs="宋体"/>
                <w:kern w:val="0"/>
                <w:sz w:val="18"/>
                <w:szCs w:val="18"/>
              </w:rPr>
            </w:pPr>
            <w:r>
              <w:rPr>
                <w:rFonts w:hint="eastAsia" w:ascii="宋体" w:hAnsi="宋体" w:cs="宋体"/>
                <w:kern w:val="0"/>
                <w:sz w:val="18"/>
                <w:szCs w:val="18"/>
              </w:rPr>
              <w:t>单位名称：新乡市卫滨区就业创业服务中心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ascii="宋体" w:hAnsi="宋体" w:cs="宋体"/>
                <w:kern w:val="0"/>
                <w:sz w:val="18"/>
                <w:szCs w:val="18"/>
              </w:rPr>
            </w:pPr>
            <w:r>
              <w:rPr>
                <w:rFonts w:hint="eastAsia" w:ascii="宋体" w:hAnsi="宋体" w:cs="宋体"/>
                <w:kern w:val="0"/>
                <w:sz w:val="18"/>
                <w:szCs w:val="18"/>
              </w:rPr>
              <w:t>424.22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1044.49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032"/>
        <w:gridCol w:w="1418"/>
        <w:gridCol w:w="850"/>
        <w:gridCol w:w="851"/>
        <w:gridCol w:w="850"/>
        <w:gridCol w:w="439"/>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2024年单位收入预算表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单位名称：新乡市卫滨区就业创业服务中心                                                                                                               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14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05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0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43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4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4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424.22</w:t>
            </w:r>
          </w:p>
        </w:tc>
        <w:tc>
          <w:tcPr>
            <w:tcW w:w="43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304002</w:t>
            </w:r>
          </w:p>
        </w:tc>
        <w:tc>
          <w:tcPr>
            <w:tcW w:w="20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新乡市卫滨区就业创业服务中心</w:t>
            </w:r>
          </w:p>
        </w:tc>
        <w:tc>
          <w:tcPr>
            <w:tcW w:w="14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424.22</w:t>
            </w:r>
          </w:p>
        </w:tc>
        <w:tc>
          <w:tcPr>
            <w:tcW w:w="43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0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43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8"/>
        <w:tblpPr w:leftFromText="180" w:rightFromText="180" w:vertAnchor="text" w:horzAnchor="page" w:tblpX="1013" w:tblpY="538"/>
        <w:tblOverlap w:val="never"/>
        <w:tblW w:w="15041" w:type="dxa"/>
        <w:tblInd w:w="0" w:type="dxa"/>
        <w:tblLayout w:type="fixed"/>
        <w:tblCellMar>
          <w:top w:w="0" w:type="dxa"/>
          <w:left w:w="108" w:type="dxa"/>
          <w:bottom w:w="0" w:type="dxa"/>
          <w:right w:w="108" w:type="dxa"/>
        </w:tblCellMar>
      </w:tblPr>
      <w:tblGrid>
        <w:gridCol w:w="500"/>
        <w:gridCol w:w="500"/>
        <w:gridCol w:w="500"/>
        <w:gridCol w:w="783"/>
        <w:gridCol w:w="2552"/>
        <w:gridCol w:w="992"/>
        <w:gridCol w:w="1033"/>
        <w:gridCol w:w="1180"/>
        <w:gridCol w:w="1180"/>
        <w:gridCol w:w="1427"/>
        <w:gridCol w:w="992"/>
        <w:gridCol w:w="501"/>
        <w:gridCol w:w="633"/>
        <w:gridCol w:w="1134"/>
        <w:gridCol w:w="1082"/>
        <w:gridCol w:w="52"/>
      </w:tblGrid>
      <w:tr>
        <w:tblPrEx>
          <w:tblLayout w:type="fixed"/>
          <w:tblCellMar>
            <w:top w:w="0" w:type="dxa"/>
            <w:left w:w="108" w:type="dxa"/>
            <w:bottom w:w="0" w:type="dxa"/>
            <w:right w:w="108" w:type="dxa"/>
          </w:tblCellMar>
        </w:tblPrEx>
        <w:trPr>
          <w:trHeight w:val="285" w:hRule="atLeast"/>
        </w:trPr>
        <w:tc>
          <w:tcPr>
            <w:tcW w:w="15041" w:type="dxa"/>
            <w:gridSpan w:val="1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41" w:type="dxa"/>
            <w:gridSpan w:val="1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2024年单位支出预算表</w:t>
            </w:r>
          </w:p>
        </w:tc>
      </w:tr>
      <w:tr>
        <w:tblPrEx>
          <w:tblLayout w:type="fixed"/>
          <w:tblCellMar>
            <w:top w:w="0" w:type="dxa"/>
            <w:left w:w="108" w:type="dxa"/>
            <w:bottom w:w="0" w:type="dxa"/>
            <w:right w:w="108" w:type="dxa"/>
          </w:tblCellMar>
        </w:tblPrEx>
        <w:trPr>
          <w:gridAfter w:val="1"/>
          <w:wAfter w:w="52" w:type="dxa"/>
          <w:trHeight w:val="285" w:hRule="atLeast"/>
        </w:trPr>
        <w:tc>
          <w:tcPr>
            <w:tcW w:w="12140" w:type="dxa"/>
            <w:gridSpan w:val="12"/>
            <w:tcBorders>
              <w:top w:val="nil"/>
              <w:left w:val="nil"/>
              <w:bottom w:val="nil"/>
              <w:right w:val="nil"/>
            </w:tcBorders>
            <w:shd w:val="clear" w:color="auto" w:fill="auto"/>
            <w:vAlign w:val="center"/>
          </w:tcPr>
          <w:p>
            <w:pPr>
              <w:rPr>
                <w:rFonts w:ascii="宋体" w:hAnsi="宋体" w:cs="宋体"/>
                <w:kern w:val="0"/>
                <w:sz w:val="18"/>
                <w:szCs w:val="18"/>
              </w:rPr>
            </w:pPr>
            <w:r>
              <w:rPr>
                <w:rFonts w:hint="eastAsia" w:ascii="宋体" w:hAnsi="宋体" w:cs="宋体"/>
                <w:kern w:val="0"/>
                <w:sz w:val="18"/>
                <w:szCs w:val="18"/>
              </w:rPr>
              <w:t xml:space="preserve">单位名称：新乡市卫滨区就业创业服务中心                                                                                  </w:t>
            </w:r>
          </w:p>
        </w:tc>
        <w:tc>
          <w:tcPr>
            <w:tcW w:w="2849" w:type="dxa"/>
            <w:gridSpan w:val="3"/>
            <w:tcBorders>
              <w:top w:val="nil"/>
              <w:left w:val="nil"/>
              <w:bottom w:val="nil"/>
              <w:right w:val="nil"/>
            </w:tcBorders>
            <w:shd w:val="clear" w:color="auto" w:fill="auto"/>
            <w:vAlign w:val="center"/>
          </w:tcPr>
          <w:p>
            <w:pPr>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8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8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187.88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174.40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15.80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865.54</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78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304002</w:t>
            </w:r>
          </w:p>
        </w:tc>
        <w:tc>
          <w:tcPr>
            <w:tcW w:w="255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新乡市卫滨区就业创业服务中心</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187.88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174.40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15.80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865.54</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行政运行</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143.94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143.94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130.46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其他人力资源和社会保障管理事务支出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20.34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20.34</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15.80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4.54</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07</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其他就业补助支出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26</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财政对城乡居民基本养老保险基金的补助</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财政代缴城乡居民基本养老保险费支出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单位名称：新乡市卫滨区就业创业服务中心                                                                                          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1069.22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1069.22</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1069.22</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424.22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1069.22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424.22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1044.49</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1044.49</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399.49</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10.32</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10.32</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10.32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14.41</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14.41</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14.41</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1069.22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1069.22</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1069.22</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right"/>
              <w:rPr>
                <w:rFonts w:ascii="宋体" w:hAnsi="宋体" w:cs="宋体"/>
                <w:kern w:val="0"/>
                <w:sz w:val="15"/>
                <w:szCs w:val="15"/>
              </w:rPr>
            </w:pPr>
            <w:r>
              <w:rPr>
                <w:rFonts w:hint="eastAsia" w:ascii="宋体" w:hAnsi="宋体" w:cs="宋体"/>
                <w:kern w:val="0"/>
                <w:sz w:val="15"/>
                <w:szCs w:val="15"/>
              </w:rPr>
              <w:t>424.22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83"/>
        <w:gridCol w:w="2417"/>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单位名称：新乡市卫滨区就业创业服务中心</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8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8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8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41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187.88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174.40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7.69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15.80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865.54</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304002</w:t>
            </w: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新乡市卫滨区就业创业服务中心</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1069.22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187.88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174.40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7.69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15.80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865.54</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行政运行</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143.94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143.94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130.46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7.69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其他人力资源和社会保障管理事务支出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15.80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4.54</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07</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其他就业补助支出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26</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财政对城乡居民基本养老保险基金的补助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财政代缴城乡居民基本养老保险费支出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8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8"/>
        <w:tblW w:w="14317" w:type="dxa"/>
        <w:tblInd w:w="817" w:type="dxa"/>
        <w:tblLayout w:type="fixed"/>
        <w:tblCellMar>
          <w:top w:w="0" w:type="dxa"/>
          <w:left w:w="108" w:type="dxa"/>
          <w:bottom w:w="0" w:type="dxa"/>
          <w:right w:w="108" w:type="dxa"/>
        </w:tblCellMar>
      </w:tblPr>
      <w:tblGrid>
        <w:gridCol w:w="1701"/>
        <w:gridCol w:w="2693"/>
        <w:gridCol w:w="1418"/>
        <w:gridCol w:w="2410"/>
        <w:gridCol w:w="2126"/>
        <w:gridCol w:w="1208"/>
        <w:gridCol w:w="635"/>
        <w:gridCol w:w="2126"/>
      </w:tblGrid>
      <w:tr>
        <w:tblPrEx>
          <w:tblLayout w:type="fixed"/>
          <w:tblCellMar>
            <w:top w:w="0" w:type="dxa"/>
            <w:left w:w="108" w:type="dxa"/>
            <w:bottom w:w="0" w:type="dxa"/>
            <w:right w:w="108" w:type="dxa"/>
          </w:tblCellMar>
        </w:tblPrEx>
        <w:trPr>
          <w:trHeight w:val="285" w:hRule="atLeast"/>
        </w:trPr>
        <w:tc>
          <w:tcPr>
            <w:tcW w:w="14317"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trHeight w:val="570" w:hRule="atLeast"/>
        </w:trPr>
        <w:tc>
          <w:tcPr>
            <w:tcW w:w="14317"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trHeight w:val="285" w:hRule="atLeast"/>
        </w:trPr>
        <w:tc>
          <w:tcPr>
            <w:tcW w:w="11556"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单位名称：新乡市卫滨区就业创业服务中心</w:t>
            </w:r>
          </w:p>
        </w:tc>
        <w:tc>
          <w:tcPr>
            <w:tcW w:w="2761" w:type="dxa"/>
            <w:gridSpan w:val="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4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82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69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1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187.88</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180.19</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7.69</w:t>
            </w: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30101</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基本工资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72.56</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72.56</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30302</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退休费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50905</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离退休费</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30103</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奖金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7.20</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7.20</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30107</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37.73</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37.73</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30102</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津贴补贴</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12.97</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12.97</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30201</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1.34</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1.34</w:t>
            </w: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30207</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邮电费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w:t>
            </w: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30205</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0.50</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0.50</w:t>
            </w: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30228</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工会经费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1.57</w:t>
            </w: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30299</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0.18</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0.18</w:t>
            </w:r>
          </w:p>
        </w:tc>
      </w:tr>
      <w:tr>
        <w:tblPrEx>
          <w:tblLayout w:type="fixed"/>
          <w:tblCellMar>
            <w:top w:w="0" w:type="dxa"/>
            <w:left w:w="108" w:type="dxa"/>
            <w:bottom w:w="0" w:type="dxa"/>
            <w:right w:w="108" w:type="dxa"/>
          </w:tblCellMar>
        </w:tblPrEx>
        <w:trPr>
          <w:trHeight w:val="284"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30231</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公务用车运行维护费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r>
      <w:tr>
        <w:tblPrEx>
          <w:tblLayout w:type="fixed"/>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30206</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电费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50502</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1.50</w:t>
            </w: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30108</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19.21</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30110</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10.32</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30113</w:t>
            </w:r>
          </w:p>
        </w:tc>
        <w:tc>
          <w:tcPr>
            <w:tcW w:w="269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14.41</w:t>
            </w:r>
          </w:p>
        </w:tc>
        <w:tc>
          <w:tcPr>
            <w:tcW w:w="21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r>
        <w:br w:type="page"/>
      </w:r>
    </w:p>
    <w:tbl>
      <w:tblPr>
        <w:tblStyle w:val="8"/>
        <w:tblW w:w="15920" w:type="dxa"/>
        <w:tblInd w:w="93" w:type="dxa"/>
        <w:tblLayout w:type="fixed"/>
        <w:tblCellMar>
          <w:top w:w="0" w:type="dxa"/>
          <w:left w:w="108" w:type="dxa"/>
          <w:bottom w:w="0" w:type="dxa"/>
          <w:right w:w="108" w:type="dxa"/>
        </w:tblCellMar>
      </w:tblPr>
      <w:tblGrid>
        <w:gridCol w:w="500"/>
        <w:gridCol w:w="500"/>
        <w:gridCol w:w="2818"/>
        <w:gridCol w:w="525"/>
        <w:gridCol w:w="480"/>
        <w:gridCol w:w="1996"/>
        <w:gridCol w:w="851"/>
        <w:gridCol w:w="850"/>
        <w:gridCol w:w="851"/>
        <w:gridCol w:w="162"/>
        <w:gridCol w:w="405"/>
        <w:gridCol w:w="850"/>
        <w:gridCol w:w="545"/>
        <w:gridCol w:w="1110"/>
        <w:gridCol w:w="540"/>
        <w:gridCol w:w="690"/>
        <w:gridCol w:w="855"/>
        <w:gridCol w:w="720"/>
        <w:gridCol w:w="672"/>
      </w:tblGrid>
      <w:tr>
        <w:tblPrEx>
          <w:tblLayout w:type="fixed"/>
          <w:tblCellMar>
            <w:top w:w="0" w:type="dxa"/>
            <w:left w:w="108" w:type="dxa"/>
            <w:bottom w:w="0" w:type="dxa"/>
            <w:right w:w="108" w:type="dxa"/>
          </w:tblCellMar>
        </w:tblPrEx>
        <w:trPr>
          <w:trHeight w:val="285" w:hRule="atLeast"/>
        </w:trPr>
        <w:tc>
          <w:tcPr>
            <w:tcW w:w="15920" w:type="dxa"/>
            <w:gridSpan w:val="19"/>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570" w:hRule="atLeast"/>
        </w:trPr>
        <w:tc>
          <w:tcPr>
            <w:tcW w:w="15920" w:type="dxa"/>
            <w:gridSpan w:val="19"/>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3"/>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5"/>
                <w:szCs w:val="15"/>
              </w:rPr>
              <w:t>单位名称：新乡市卫滨区就业创业服务中心</w:t>
            </w:r>
          </w:p>
        </w:tc>
        <w:tc>
          <w:tcPr>
            <w:tcW w:w="5715" w:type="dxa"/>
            <w:gridSpan w:val="7"/>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p>
        </w:tc>
        <w:tc>
          <w:tcPr>
            <w:tcW w:w="6387" w:type="dxa"/>
            <w:gridSpan w:val="9"/>
            <w:tcBorders>
              <w:top w:val="nil"/>
              <w:left w:val="nil"/>
              <w:bottom w:val="nil"/>
              <w:right w:val="nil"/>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285" w:hRule="atLeast"/>
        </w:trPr>
        <w:tc>
          <w:tcPr>
            <w:tcW w:w="3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3001"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701"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5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56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111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4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Layout w:type="fixed"/>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合计</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1069.22</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1069.22</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424.22</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304002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新乡市卫滨区就业创业服务中心</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1069.22</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1069.22</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424.22</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基本工资</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72.56</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72.56</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72.56</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303</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退休费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509</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05</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离退休费</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5.79</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5.79</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ascii="宋体" w:hAnsi="宋体" w:cs="宋体"/>
                <w:kern w:val="0"/>
                <w:sz w:val="15"/>
                <w:szCs w:val="15"/>
              </w:rPr>
              <w:t>5.79</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03</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奖金</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7.20</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7.20</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7.20</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07</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绩效工资</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37.73</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37.73</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37.73</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津贴补贴</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12.97</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12.97</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12.97</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办公费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1.34</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1.34</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1.34</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07</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邮电费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1.50</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1.50</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1.50</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05</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水费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0.50</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0.50</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0.50</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28</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工会经费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1.57</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1.57</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1.57</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99</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4.26</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4.26</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4.26</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31</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公务用车运行维护费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1.10</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1.10</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1.10</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06</w:t>
            </w:r>
          </w:p>
        </w:tc>
        <w:tc>
          <w:tcPr>
            <w:tcW w:w="281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电费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1.50</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1.50</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1.50</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303</w:t>
            </w:r>
          </w:p>
        </w:tc>
        <w:tc>
          <w:tcPr>
            <w:tcW w:w="500"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99</w:t>
            </w:r>
          </w:p>
        </w:tc>
        <w:tc>
          <w:tcPr>
            <w:tcW w:w="2818"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其他对个人和家庭的补助</w:t>
            </w:r>
          </w:p>
        </w:tc>
        <w:tc>
          <w:tcPr>
            <w:tcW w:w="525"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509</w:t>
            </w:r>
          </w:p>
        </w:tc>
        <w:tc>
          <w:tcPr>
            <w:tcW w:w="480"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99</w:t>
            </w:r>
          </w:p>
        </w:tc>
        <w:tc>
          <w:tcPr>
            <w:tcW w:w="1996"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其他对个人和家庭的补助</w:t>
            </w:r>
          </w:p>
        </w:tc>
        <w:tc>
          <w:tcPr>
            <w:tcW w:w="851" w:type="dxa"/>
            <w:tcBorders>
              <w:top w:val="nil"/>
              <w:left w:val="nil"/>
              <w:bottom w:val="single" w:color="auto"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661.26</w:t>
            </w:r>
          </w:p>
        </w:tc>
        <w:tc>
          <w:tcPr>
            <w:tcW w:w="850" w:type="dxa"/>
            <w:tcBorders>
              <w:top w:val="nil"/>
              <w:left w:val="nil"/>
              <w:bottom w:val="single" w:color="auto"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661.26</w:t>
            </w:r>
          </w:p>
        </w:tc>
        <w:tc>
          <w:tcPr>
            <w:tcW w:w="851" w:type="dxa"/>
            <w:tcBorders>
              <w:top w:val="nil"/>
              <w:left w:val="nil"/>
              <w:bottom w:val="single" w:color="auto" w:sz="4" w:space="0"/>
              <w:right w:val="single" w:color="000000"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16.26</w:t>
            </w:r>
          </w:p>
        </w:tc>
        <w:tc>
          <w:tcPr>
            <w:tcW w:w="567" w:type="dxa"/>
            <w:gridSpan w:val="2"/>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w:t>
            </w:r>
          </w:p>
        </w:tc>
        <w:tc>
          <w:tcPr>
            <w:tcW w:w="28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机关事业单位基本养老保险缴费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19.21</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19.21</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19.21</w:t>
            </w:r>
          </w:p>
        </w:tc>
        <w:tc>
          <w:tcPr>
            <w:tcW w:w="5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313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28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对社会保险基金补助</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510</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9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对社会保险基金补助</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206.00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206.00</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206.00</w:t>
            </w:r>
          </w:p>
        </w:tc>
        <w:tc>
          <w:tcPr>
            <w:tcW w:w="5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w:t>
            </w:r>
          </w:p>
        </w:tc>
        <w:tc>
          <w:tcPr>
            <w:tcW w:w="28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代缴社会保险费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509</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社会福利和救助</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10.00</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10.00</w:t>
            </w:r>
          </w:p>
        </w:tc>
        <w:tc>
          <w:tcPr>
            <w:tcW w:w="5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w:t>
            </w:r>
          </w:p>
        </w:tc>
        <w:tc>
          <w:tcPr>
            <w:tcW w:w="28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职工基本医疗保险缴费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10.32</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10.32</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10.32</w:t>
            </w:r>
          </w:p>
        </w:tc>
        <w:tc>
          <w:tcPr>
            <w:tcW w:w="5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w:t>
            </w:r>
          </w:p>
        </w:tc>
        <w:tc>
          <w:tcPr>
            <w:tcW w:w="28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住房公积金</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9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工资福利支出</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14.41</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14.41</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right"/>
              <w:rPr>
                <w:rFonts w:ascii="宋体" w:hAnsi="宋体" w:cs="宋体"/>
                <w:kern w:val="0"/>
                <w:sz w:val="15"/>
                <w:szCs w:val="15"/>
              </w:rPr>
            </w:pPr>
            <w:r>
              <w:rPr>
                <w:rFonts w:hint="eastAsia" w:ascii="宋体" w:hAnsi="宋体" w:cs="宋体"/>
                <w:kern w:val="0"/>
                <w:sz w:val="15"/>
                <w:szCs w:val="15"/>
              </w:rPr>
              <w:t>14.41</w:t>
            </w:r>
          </w:p>
        </w:tc>
        <w:tc>
          <w:tcPr>
            <w:tcW w:w="5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8"/>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单位名称:新乡市卫滨区就业创业服务中心</w:t>
            </w:r>
          </w:p>
        </w:tc>
        <w:tc>
          <w:tcPr>
            <w:tcW w:w="2340"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widowControl/>
        <w:jc w:val="left"/>
        <w:rPr>
          <w:rFonts w:ascii="黑体" w:hAnsi="Times New Roman" w:eastAsia="黑体" w:cs="黑体"/>
          <w:sz w:val="32"/>
          <w:szCs w:val="32"/>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817"/>
        <w:gridCol w:w="2378"/>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w:t>
            </w:r>
            <w:r>
              <w:rPr>
                <w:rFonts w:ascii="宋体" w:hAnsi="宋体" w:cs="宋体"/>
                <w:color w:val="000000"/>
                <w:kern w:val="0"/>
                <w:sz w:val="18"/>
                <w:szCs w:val="18"/>
              </w:rPr>
              <w:t>名称：</w:t>
            </w:r>
            <w:r>
              <w:rPr>
                <w:rFonts w:hint="eastAsia" w:ascii="宋体" w:hAnsi="宋体" w:cs="宋体"/>
                <w:color w:val="000000"/>
                <w:kern w:val="0"/>
                <w:sz w:val="18"/>
                <w:szCs w:val="18"/>
              </w:rPr>
              <w:t>新乡市卫滨区就业创业服务中心</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r>
              <w:rPr>
                <w:rFonts w:hint="eastAsia" w:ascii="宋体" w:hAnsi="宋体" w:cs="宋体"/>
                <w:color w:val="000000"/>
                <w:sz w:val="18"/>
                <w:szCs w:val="18"/>
              </w:rPr>
              <w:t>304002</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无</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360" w:lineRule="auto"/>
        <w:ind w:right="51"/>
        <w:jc w:val="left"/>
        <w:rPr>
          <w:rFonts w:ascii="黑体" w:hAnsi="Times New Roman" w:eastAsia="黑体" w:cs="黑体"/>
          <w:sz w:val="32"/>
          <w:szCs w:val="32"/>
        </w:rPr>
      </w:pPr>
      <w:r>
        <w:rPr>
          <w:rFonts w:hint="eastAsia" w:ascii="宋体" w:hAnsi="宋体" w:cs="宋体"/>
          <w:kern w:val="0"/>
          <w:sz w:val="18"/>
          <w:szCs w:val="18"/>
        </w:rPr>
        <w:t>说明：我们单位没有政府性基金收入，也没有使用政府性基金安排支出，故此表无数据。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widowControl/>
        <w:jc w:val="left"/>
        <w:rPr>
          <w:rFonts w:ascii="黑体" w:hAnsi="Times New Roman" w:eastAsia="黑体" w:cs="黑体"/>
          <w:sz w:val="32"/>
          <w:szCs w:val="32"/>
        </w:rPr>
      </w:pPr>
      <w:r>
        <w:rPr>
          <w:rFonts w:ascii="黑体" w:hAnsi="Times New Roman" w:eastAsia="黑体" w:cs="黑体"/>
          <w:sz w:val="32"/>
          <w:szCs w:val="32"/>
        </w:rPr>
        <w:br w:type="page"/>
      </w:r>
    </w:p>
    <w:tbl>
      <w:tblPr>
        <w:tblStyle w:val="8"/>
        <w:tblW w:w="14097" w:type="dxa"/>
        <w:tblInd w:w="1037" w:type="dxa"/>
        <w:tblLayout w:type="fixed"/>
        <w:tblCellMar>
          <w:top w:w="0" w:type="dxa"/>
          <w:left w:w="108" w:type="dxa"/>
          <w:bottom w:w="0" w:type="dxa"/>
          <w:right w:w="108" w:type="dxa"/>
        </w:tblCellMar>
      </w:tblPr>
      <w:tblGrid>
        <w:gridCol w:w="1198"/>
        <w:gridCol w:w="1701"/>
        <w:gridCol w:w="1559"/>
        <w:gridCol w:w="850"/>
        <w:gridCol w:w="1134"/>
        <w:gridCol w:w="993"/>
        <w:gridCol w:w="992"/>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12963"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单位名称：新乡市卫滨区就业创业服务中心</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119"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55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55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304002</w:t>
            </w:r>
          </w:p>
        </w:tc>
        <w:tc>
          <w:tcPr>
            <w:tcW w:w="1559" w:type="dxa"/>
            <w:tcBorders>
              <w:top w:val="nil"/>
              <w:left w:val="nil"/>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新乡市卫滨区就业创业服务中心</w:t>
            </w:r>
          </w:p>
        </w:tc>
        <w:tc>
          <w:tcPr>
            <w:tcW w:w="85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881.34</w:t>
            </w:r>
          </w:p>
        </w:tc>
        <w:tc>
          <w:tcPr>
            <w:tcW w:w="993"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其他运转类</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居保筹资和生存认证经费</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其他运转类</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专用网络经费</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4.08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4.08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其他运转类</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人社工作兼协管员补贴</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9.72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9.72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脱贫劳动力外出务工奖补、跨区域交通补助</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提前下达2024年就业补助资金</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645.00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城乡居民养老区配套</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206.00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特定目标类</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区财政为特殊人群代缴社会保障费</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304" w:right="567" w:bottom="567"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abstractNum w:abstractNumId="3">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FhYjk5OGU5MTgzN2VjZjI2ZGU4YmEzY2E4OWNmNzcifQ=="/>
  </w:docVars>
  <w:rsids>
    <w:rsidRoot w:val="000E666A"/>
    <w:rsid w:val="000056FE"/>
    <w:rsid w:val="00007CC9"/>
    <w:rsid w:val="00015F07"/>
    <w:rsid w:val="00016ADC"/>
    <w:rsid w:val="000223D2"/>
    <w:rsid w:val="000328AD"/>
    <w:rsid w:val="0003777B"/>
    <w:rsid w:val="000455CB"/>
    <w:rsid w:val="00046D83"/>
    <w:rsid w:val="00052730"/>
    <w:rsid w:val="00060437"/>
    <w:rsid w:val="000616C8"/>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D45EC"/>
    <w:rsid w:val="000E4FFA"/>
    <w:rsid w:val="000E5387"/>
    <w:rsid w:val="000E666A"/>
    <w:rsid w:val="000E6F0D"/>
    <w:rsid w:val="000F0D3B"/>
    <w:rsid w:val="001003CC"/>
    <w:rsid w:val="0010654C"/>
    <w:rsid w:val="00120162"/>
    <w:rsid w:val="00122A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435B0"/>
    <w:rsid w:val="002517A5"/>
    <w:rsid w:val="00251DE8"/>
    <w:rsid w:val="00254A2A"/>
    <w:rsid w:val="002601F3"/>
    <w:rsid w:val="00267739"/>
    <w:rsid w:val="0027730D"/>
    <w:rsid w:val="002B3C2D"/>
    <w:rsid w:val="002B612E"/>
    <w:rsid w:val="002B6447"/>
    <w:rsid w:val="002B7F7A"/>
    <w:rsid w:val="002C14D9"/>
    <w:rsid w:val="002E0122"/>
    <w:rsid w:val="002E27DE"/>
    <w:rsid w:val="002E3628"/>
    <w:rsid w:val="002E5C55"/>
    <w:rsid w:val="002E5EBE"/>
    <w:rsid w:val="002F1A34"/>
    <w:rsid w:val="002F6CC2"/>
    <w:rsid w:val="003040DE"/>
    <w:rsid w:val="0030508E"/>
    <w:rsid w:val="0032045B"/>
    <w:rsid w:val="00320FEA"/>
    <w:rsid w:val="00322C06"/>
    <w:rsid w:val="0032341C"/>
    <w:rsid w:val="00327A9A"/>
    <w:rsid w:val="00327ADF"/>
    <w:rsid w:val="0034481A"/>
    <w:rsid w:val="00352AD6"/>
    <w:rsid w:val="00354113"/>
    <w:rsid w:val="003559F5"/>
    <w:rsid w:val="00356056"/>
    <w:rsid w:val="00360B9D"/>
    <w:rsid w:val="003615E5"/>
    <w:rsid w:val="00374335"/>
    <w:rsid w:val="003761B9"/>
    <w:rsid w:val="00377995"/>
    <w:rsid w:val="003A74EB"/>
    <w:rsid w:val="003B6DF2"/>
    <w:rsid w:val="003C5046"/>
    <w:rsid w:val="003C5AF1"/>
    <w:rsid w:val="003C5E20"/>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3B9D"/>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298"/>
    <w:rsid w:val="004F460E"/>
    <w:rsid w:val="00504D4A"/>
    <w:rsid w:val="00520FAB"/>
    <w:rsid w:val="005271CC"/>
    <w:rsid w:val="00530C66"/>
    <w:rsid w:val="00540B6A"/>
    <w:rsid w:val="00542462"/>
    <w:rsid w:val="005433FC"/>
    <w:rsid w:val="0054387D"/>
    <w:rsid w:val="00551AD7"/>
    <w:rsid w:val="00554BEE"/>
    <w:rsid w:val="00556BE7"/>
    <w:rsid w:val="00571108"/>
    <w:rsid w:val="00573E04"/>
    <w:rsid w:val="00574BEB"/>
    <w:rsid w:val="00583C97"/>
    <w:rsid w:val="0058648B"/>
    <w:rsid w:val="00591111"/>
    <w:rsid w:val="005A3AC3"/>
    <w:rsid w:val="005A7520"/>
    <w:rsid w:val="005A786C"/>
    <w:rsid w:val="005B09E4"/>
    <w:rsid w:val="005B4803"/>
    <w:rsid w:val="005B7D64"/>
    <w:rsid w:val="005C3D11"/>
    <w:rsid w:val="005C6D7D"/>
    <w:rsid w:val="005E6CB4"/>
    <w:rsid w:val="005F0E25"/>
    <w:rsid w:val="005F36D1"/>
    <w:rsid w:val="00600AAF"/>
    <w:rsid w:val="006059F4"/>
    <w:rsid w:val="00616688"/>
    <w:rsid w:val="00636897"/>
    <w:rsid w:val="00641E96"/>
    <w:rsid w:val="00643973"/>
    <w:rsid w:val="006463C1"/>
    <w:rsid w:val="00646934"/>
    <w:rsid w:val="006519C1"/>
    <w:rsid w:val="006533BE"/>
    <w:rsid w:val="00655CED"/>
    <w:rsid w:val="00655F9F"/>
    <w:rsid w:val="00660094"/>
    <w:rsid w:val="0066274D"/>
    <w:rsid w:val="0066604F"/>
    <w:rsid w:val="0068015A"/>
    <w:rsid w:val="00680AED"/>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47E3B"/>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55A2D"/>
    <w:rsid w:val="00862ACE"/>
    <w:rsid w:val="008662DA"/>
    <w:rsid w:val="00871827"/>
    <w:rsid w:val="00871DCF"/>
    <w:rsid w:val="00872A52"/>
    <w:rsid w:val="00876F50"/>
    <w:rsid w:val="00880C02"/>
    <w:rsid w:val="008831B0"/>
    <w:rsid w:val="008852A0"/>
    <w:rsid w:val="008854C3"/>
    <w:rsid w:val="00886D3A"/>
    <w:rsid w:val="0089331E"/>
    <w:rsid w:val="008A07E9"/>
    <w:rsid w:val="008A6827"/>
    <w:rsid w:val="008B1E1C"/>
    <w:rsid w:val="008B22A2"/>
    <w:rsid w:val="008B29FF"/>
    <w:rsid w:val="008C1726"/>
    <w:rsid w:val="008C5433"/>
    <w:rsid w:val="008D4CC8"/>
    <w:rsid w:val="008D73FF"/>
    <w:rsid w:val="008E4192"/>
    <w:rsid w:val="008E5E77"/>
    <w:rsid w:val="008F095C"/>
    <w:rsid w:val="008F0E48"/>
    <w:rsid w:val="0090127A"/>
    <w:rsid w:val="00903AC2"/>
    <w:rsid w:val="00903B03"/>
    <w:rsid w:val="009053A0"/>
    <w:rsid w:val="00907F29"/>
    <w:rsid w:val="0091015C"/>
    <w:rsid w:val="00910ACF"/>
    <w:rsid w:val="00915385"/>
    <w:rsid w:val="00923715"/>
    <w:rsid w:val="00926C5B"/>
    <w:rsid w:val="00930530"/>
    <w:rsid w:val="009307BD"/>
    <w:rsid w:val="00930C3A"/>
    <w:rsid w:val="00932CBF"/>
    <w:rsid w:val="00932EE9"/>
    <w:rsid w:val="00942EB9"/>
    <w:rsid w:val="00943951"/>
    <w:rsid w:val="00947589"/>
    <w:rsid w:val="00965DD7"/>
    <w:rsid w:val="00972A21"/>
    <w:rsid w:val="009831F7"/>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05107"/>
    <w:rsid w:val="00A1196B"/>
    <w:rsid w:val="00A2124E"/>
    <w:rsid w:val="00A23BB0"/>
    <w:rsid w:val="00A354EC"/>
    <w:rsid w:val="00A373A8"/>
    <w:rsid w:val="00A52BBA"/>
    <w:rsid w:val="00A55FDA"/>
    <w:rsid w:val="00A62BC3"/>
    <w:rsid w:val="00A702F0"/>
    <w:rsid w:val="00A75823"/>
    <w:rsid w:val="00A81BA9"/>
    <w:rsid w:val="00A8278A"/>
    <w:rsid w:val="00A87DD7"/>
    <w:rsid w:val="00AA4E11"/>
    <w:rsid w:val="00AB18CB"/>
    <w:rsid w:val="00AB2328"/>
    <w:rsid w:val="00AB47A1"/>
    <w:rsid w:val="00AB6DFB"/>
    <w:rsid w:val="00AC5410"/>
    <w:rsid w:val="00AE02D7"/>
    <w:rsid w:val="00AE5C99"/>
    <w:rsid w:val="00B01857"/>
    <w:rsid w:val="00B03AAD"/>
    <w:rsid w:val="00B1453C"/>
    <w:rsid w:val="00B23D64"/>
    <w:rsid w:val="00B341FF"/>
    <w:rsid w:val="00B377C4"/>
    <w:rsid w:val="00B40914"/>
    <w:rsid w:val="00B40F74"/>
    <w:rsid w:val="00B41040"/>
    <w:rsid w:val="00B43E66"/>
    <w:rsid w:val="00B50AE6"/>
    <w:rsid w:val="00B65C21"/>
    <w:rsid w:val="00B665C0"/>
    <w:rsid w:val="00B6705E"/>
    <w:rsid w:val="00B83046"/>
    <w:rsid w:val="00B83D04"/>
    <w:rsid w:val="00B92341"/>
    <w:rsid w:val="00B932C7"/>
    <w:rsid w:val="00B95788"/>
    <w:rsid w:val="00B9643C"/>
    <w:rsid w:val="00BA1ACD"/>
    <w:rsid w:val="00BA38DA"/>
    <w:rsid w:val="00BA5E9A"/>
    <w:rsid w:val="00BB1BED"/>
    <w:rsid w:val="00BB59DB"/>
    <w:rsid w:val="00BC7C5A"/>
    <w:rsid w:val="00BE0D16"/>
    <w:rsid w:val="00BE4D35"/>
    <w:rsid w:val="00BF0F52"/>
    <w:rsid w:val="00C0162B"/>
    <w:rsid w:val="00C03348"/>
    <w:rsid w:val="00C15CFE"/>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22AD"/>
    <w:rsid w:val="00EB2826"/>
    <w:rsid w:val="00EB6F57"/>
    <w:rsid w:val="00EC2C40"/>
    <w:rsid w:val="00ED7886"/>
    <w:rsid w:val="00EE05C3"/>
    <w:rsid w:val="00EE59D1"/>
    <w:rsid w:val="00F01287"/>
    <w:rsid w:val="00F1283B"/>
    <w:rsid w:val="00F244B7"/>
    <w:rsid w:val="00F25745"/>
    <w:rsid w:val="00F33362"/>
    <w:rsid w:val="00F34E65"/>
    <w:rsid w:val="00F44EC4"/>
    <w:rsid w:val="00F506ED"/>
    <w:rsid w:val="00F63CE3"/>
    <w:rsid w:val="00F6405A"/>
    <w:rsid w:val="00F649DD"/>
    <w:rsid w:val="00F903AD"/>
    <w:rsid w:val="00F93BB7"/>
    <w:rsid w:val="00F955DA"/>
    <w:rsid w:val="00FB1000"/>
    <w:rsid w:val="00FB334A"/>
    <w:rsid w:val="00FB4F52"/>
    <w:rsid w:val="00FB698F"/>
    <w:rsid w:val="00FC238F"/>
    <w:rsid w:val="00FD05B8"/>
    <w:rsid w:val="00FD2606"/>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D275DEA"/>
    <w:rsid w:val="0D3122B2"/>
    <w:rsid w:val="0DDC74AE"/>
    <w:rsid w:val="0FA90872"/>
    <w:rsid w:val="1141449C"/>
    <w:rsid w:val="11A825AE"/>
    <w:rsid w:val="12053B30"/>
    <w:rsid w:val="123705B9"/>
    <w:rsid w:val="13191A87"/>
    <w:rsid w:val="13910C45"/>
    <w:rsid w:val="154B6977"/>
    <w:rsid w:val="15735BD1"/>
    <w:rsid w:val="15B925CF"/>
    <w:rsid w:val="169267C0"/>
    <w:rsid w:val="175F3CA6"/>
    <w:rsid w:val="17767D2A"/>
    <w:rsid w:val="177B042B"/>
    <w:rsid w:val="19FB7D8E"/>
    <w:rsid w:val="1A5B6391"/>
    <w:rsid w:val="1B9430C3"/>
    <w:rsid w:val="1C7012F4"/>
    <w:rsid w:val="1E2F3CF1"/>
    <w:rsid w:val="20632D16"/>
    <w:rsid w:val="209B625B"/>
    <w:rsid w:val="219D5072"/>
    <w:rsid w:val="21C2309D"/>
    <w:rsid w:val="221D378B"/>
    <w:rsid w:val="224F429B"/>
    <w:rsid w:val="225241A2"/>
    <w:rsid w:val="2338799A"/>
    <w:rsid w:val="25E2722C"/>
    <w:rsid w:val="29B67455"/>
    <w:rsid w:val="2A37305D"/>
    <w:rsid w:val="2AD76DF3"/>
    <w:rsid w:val="2C1A4849"/>
    <w:rsid w:val="2C4E5E7D"/>
    <w:rsid w:val="2E90044E"/>
    <w:rsid w:val="2EE72A97"/>
    <w:rsid w:val="323B0398"/>
    <w:rsid w:val="33D72A06"/>
    <w:rsid w:val="33ED7470"/>
    <w:rsid w:val="343D3BEB"/>
    <w:rsid w:val="34641A38"/>
    <w:rsid w:val="365B3B1A"/>
    <w:rsid w:val="368469FD"/>
    <w:rsid w:val="36954F11"/>
    <w:rsid w:val="37B27295"/>
    <w:rsid w:val="38845D38"/>
    <w:rsid w:val="39063762"/>
    <w:rsid w:val="3927065A"/>
    <w:rsid w:val="399C7E17"/>
    <w:rsid w:val="39D92970"/>
    <w:rsid w:val="3BD07B55"/>
    <w:rsid w:val="3D440195"/>
    <w:rsid w:val="3D694A1F"/>
    <w:rsid w:val="3D783D46"/>
    <w:rsid w:val="3FAE2155"/>
    <w:rsid w:val="3FEB114F"/>
    <w:rsid w:val="438E0A87"/>
    <w:rsid w:val="47D755C8"/>
    <w:rsid w:val="47FD6DE6"/>
    <w:rsid w:val="480E1D32"/>
    <w:rsid w:val="481355B7"/>
    <w:rsid w:val="4AF86E6A"/>
    <w:rsid w:val="4AFE6C40"/>
    <w:rsid w:val="4BAC1AC0"/>
    <w:rsid w:val="4C7813AD"/>
    <w:rsid w:val="4CD576F4"/>
    <w:rsid w:val="4CDA2801"/>
    <w:rsid w:val="4F391047"/>
    <w:rsid w:val="4F917FC6"/>
    <w:rsid w:val="501B68C6"/>
    <w:rsid w:val="508D27A6"/>
    <w:rsid w:val="510D0E91"/>
    <w:rsid w:val="5115798C"/>
    <w:rsid w:val="51C51D65"/>
    <w:rsid w:val="5236524B"/>
    <w:rsid w:val="53BD7BAA"/>
    <w:rsid w:val="55381AB4"/>
    <w:rsid w:val="579D29FC"/>
    <w:rsid w:val="57C60097"/>
    <w:rsid w:val="58CE16E9"/>
    <w:rsid w:val="59156B87"/>
    <w:rsid w:val="59642F2F"/>
    <w:rsid w:val="59AA14E0"/>
    <w:rsid w:val="59E52906"/>
    <w:rsid w:val="5AF554D4"/>
    <w:rsid w:val="5B667B2F"/>
    <w:rsid w:val="5BEA5EBF"/>
    <w:rsid w:val="5C2F77C1"/>
    <w:rsid w:val="5CB70498"/>
    <w:rsid w:val="5D1412C6"/>
    <w:rsid w:val="5E211941"/>
    <w:rsid w:val="5EC2296B"/>
    <w:rsid w:val="5ED512CA"/>
    <w:rsid w:val="5F05619C"/>
    <w:rsid w:val="5FCA1AAC"/>
    <w:rsid w:val="600E40C9"/>
    <w:rsid w:val="604E3D2F"/>
    <w:rsid w:val="60F230D2"/>
    <w:rsid w:val="62131FDF"/>
    <w:rsid w:val="62200402"/>
    <w:rsid w:val="623F264E"/>
    <w:rsid w:val="62A55CA5"/>
    <w:rsid w:val="6468013A"/>
    <w:rsid w:val="649C46F2"/>
    <w:rsid w:val="64E8219A"/>
    <w:rsid w:val="64EE1A97"/>
    <w:rsid w:val="65042353"/>
    <w:rsid w:val="6643017F"/>
    <w:rsid w:val="69776F55"/>
    <w:rsid w:val="6A6255CE"/>
    <w:rsid w:val="6B14138E"/>
    <w:rsid w:val="6BB34520"/>
    <w:rsid w:val="6CBD0BDD"/>
    <w:rsid w:val="6D482114"/>
    <w:rsid w:val="6E543391"/>
    <w:rsid w:val="70816928"/>
    <w:rsid w:val="71A9298B"/>
    <w:rsid w:val="72BD29C0"/>
    <w:rsid w:val="73B37171"/>
    <w:rsid w:val="73CB561A"/>
    <w:rsid w:val="74072737"/>
    <w:rsid w:val="748B06D6"/>
    <w:rsid w:val="762A388D"/>
    <w:rsid w:val="7789230E"/>
    <w:rsid w:val="779C1699"/>
    <w:rsid w:val="797F6F0E"/>
    <w:rsid w:val="799A2476"/>
    <w:rsid w:val="79DC6ADA"/>
    <w:rsid w:val="7B0769D9"/>
    <w:rsid w:val="7B0E49A9"/>
    <w:rsid w:val="7D1D18E6"/>
    <w:rsid w:val="7DC47EB1"/>
    <w:rsid w:val="7DF60542"/>
    <w:rsid w:val="7E4474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Char"/>
    <w:basedOn w:val="7"/>
    <w:link w:val="5"/>
    <w:qFormat/>
    <w:uiPriority w:val="0"/>
    <w:rPr>
      <w:rFonts w:ascii="Calibri" w:hAnsi="Calibri"/>
      <w:kern w:val="2"/>
      <w:sz w:val="18"/>
      <w:szCs w:val="18"/>
    </w:rPr>
  </w:style>
  <w:style w:type="character" w:customStyle="1" w:styleId="12">
    <w:name w:val="页眉 Char"/>
    <w:basedOn w:val="7"/>
    <w:link w:val="6"/>
    <w:qFormat/>
    <w:uiPriority w:val="0"/>
    <w:rPr>
      <w:rFonts w:ascii="Calibri" w:hAnsi="Calibri"/>
      <w:kern w:val="2"/>
      <w:sz w:val="18"/>
      <w:szCs w:val="18"/>
    </w:rPr>
  </w:style>
  <w:style w:type="paragraph" w:customStyle="1" w:styleId="13">
    <w:name w:val="List Paragraph"/>
    <w:basedOn w:val="1"/>
    <w:unhideWhenUsed/>
    <w:qFormat/>
    <w:uiPriority w:val="99"/>
    <w:pPr>
      <w:ind w:firstLine="420" w:firstLineChars="200"/>
    </w:pPr>
  </w:style>
  <w:style w:type="character" w:customStyle="1" w:styleId="14">
    <w:name w:val="标题 2 Char"/>
    <w:basedOn w:val="7"/>
    <w:link w:val="3"/>
    <w:semiHidden/>
    <w:qFormat/>
    <w:uiPriority w:val="0"/>
    <w:rPr>
      <w:rFonts w:asciiTheme="majorHAnsi" w:hAnsiTheme="majorHAnsi" w:eastAsiaTheme="majorEastAsia" w:cstheme="majorBidi"/>
      <w:b/>
      <w:bCs/>
      <w:kern w:val="2"/>
      <w:sz w:val="32"/>
      <w:szCs w:val="32"/>
    </w:rPr>
  </w:style>
  <w:style w:type="character" w:customStyle="1" w:styleId="15">
    <w:name w:val="标题 1 Char"/>
    <w:basedOn w:val="7"/>
    <w:link w:val="2"/>
    <w:qFormat/>
    <w:uiPriority w:val="0"/>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60B3C4-0E99-461D-ABD2-7848E77F96C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1778</Words>
  <Characters>10137</Characters>
  <Lines>84</Lines>
  <Paragraphs>23</Paragraphs>
  <TotalTime>0</TotalTime>
  <ScaleCrop>false</ScaleCrop>
  <LinksUpToDate>false</LinksUpToDate>
  <CharactersWithSpaces>11892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2024-03-27T03:28:22Z</dcterms:modified>
  <dc:title>2017年度省级部门预算公开参考格式</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