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w:t>
      </w:r>
      <w:r>
        <w:rPr>
          <w:rFonts w:hint="eastAsia" w:ascii="方正小标宋简体" w:hAnsi="方正小标宋简体" w:eastAsia="方正小标宋简体" w:cs="方正小标宋简体"/>
          <w:sz w:val="44"/>
          <w:szCs w:val="44"/>
        </w:rPr>
        <w:t>人力资源和社会保障局</w:t>
      </w:r>
      <w:r>
        <w:rPr>
          <w:rFonts w:hint="eastAsia" w:ascii="方正小标宋简体" w:hAnsi="方正小标宋简体" w:eastAsia="方正小标宋简体" w:cs="方正小标宋简体"/>
          <w:sz w:val="44"/>
          <w:szCs w:val="44"/>
          <w:highlight w:val="none"/>
          <w:lang w:val="en-US" w:eastAsia="zh-CN"/>
        </w:rPr>
        <w:t>本级2024年度单位预算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新乡市卫滨区人力资源和社会保障局概况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卫滨区人力资源和社会保障局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人力资源和社会保障局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2024年单位收支预算表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新乡市卫滨区人力资源和社会保障局概况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卫滨区人力资源和社会保障局</w:t>
      </w:r>
      <w:r>
        <w:rPr>
          <w:rFonts w:hint="eastAsia" w:ascii="黑体" w:hAnsi="黑体" w:eastAsia="黑体"/>
          <w:sz w:val="32"/>
          <w:szCs w:val="32"/>
        </w:rPr>
        <w:t>主要职责</w:t>
      </w:r>
    </w:p>
    <w:p>
      <w:pPr>
        <w:ind w:firstLine="640" w:firstLineChars="200"/>
        <w:rPr>
          <w:rFonts w:eastAsia="仿宋_GB2312"/>
          <w:sz w:val="32"/>
          <w:szCs w:val="32"/>
        </w:rPr>
      </w:pPr>
      <w:r>
        <w:rPr>
          <w:rFonts w:hint="eastAsia" w:ascii="仿宋_GB2312" w:hAnsi="仿宋_GB2312" w:eastAsia="仿宋_GB2312" w:cs="仿宋_GB2312"/>
          <w:kern w:val="2"/>
          <w:sz w:val="32"/>
          <w:szCs w:val="32"/>
          <w:lang w:val="en-US" w:eastAsia="zh-CN" w:bidi="ar-SA"/>
        </w:rPr>
        <w:t>（一）</w:t>
      </w:r>
      <w:r>
        <w:rPr>
          <w:rFonts w:eastAsia="仿宋_GB2312"/>
          <w:sz w:val="32"/>
          <w:szCs w:val="32"/>
        </w:rPr>
        <w:t>贯彻执行国家、省、市人力资源和社会保障法律、法规、政策</w:t>
      </w:r>
      <w:r>
        <w:rPr>
          <w:rFonts w:hint="eastAsia" w:eastAsia="仿宋_GB2312"/>
          <w:sz w:val="32"/>
          <w:szCs w:val="32"/>
        </w:rPr>
        <w:t>，</w:t>
      </w:r>
      <w:r>
        <w:rPr>
          <w:rFonts w:eastAsia="仿宋_GB2312"/>
          <w:sz w:val="32"/>
          <w:szCs w:val="32"/>
        </w:rPr>
        <w:t>拟订全区人力资源和社会保障事业发展规划和相关规范性文件，并组织实施和监督检查。</w:t>
      </w:r>
    </w:p>
    <w:p>
      <w:pPr>
        <w:ind w:firstLine="640" w:firstLineChars="200"/>
        <w:rPr>
          <w:rFonts w:eastAsia="仿宋_GB2312"/>
          <w:color w:val="000000"/>
          <w:sz w:val="32"/>
          <w:szCs w:val="32"/>
        </w:rPr>
      </w:pPr>
      <w:r>
        <w:rPr>
          <w:rFonts w:eastAsia="仿宋_GB2312"/>
          <w:color w:val="000000"/>
          <w:sz w:val="32"/>
          <w:szCs w:val="32"/>
        </w:rPr>
        <w:t>（二）</w:t>
      </w:r>
      <w:r>
        <w:rPr>
          <w:rFonts w:hint="eastAsia" w:ascii="仿宋_GB2312" w:eastAsia="仿宋_GB2312"/>
          <w:sz w:val="32"/>
          <w:szCs w:val="32"/>
        </w:rPr>
        <w:t>贯彻落实上级</w:t>
      </w:r>
      <w:r>
        <w:rPr>
          <w:rFonts w:hint="eastAsia" w:ascii="仿宋_GB2312" w:eastAsia="仿宋_GB2312"/>
          <w:color w:val="000000"/>
          <w:sz w:val="32"/>
          <w:szCs w:val="32"/>
        </w:rPr>
        <w:t>人力资源市场发展规划和人力资源服务业发展、人力资源流动政策，推动建立统一开放、竞争有序的人力资源市场体系，促进人力资源合理流动和优化配置。</w:t>
      </w:r>
    </w:p>
    <w:p>
      <w:pPr>
        <w:ind w:firstLine="640" w:firstLineChars="200"/>
        <w:rPr>
          <w:rFonts w:eastAsia="仿宋_GB2312"/>
          <w:sz w:val="32"/>
          <w:szCs w:val="32"/>
        </w:rPr>
      </w:pPr>
      <w:r>
        <w:rPr>
          <w:rFonts w:eastAsia="仿宋_GB2312"/>
          <w:sz w:val="32"/>
          <w:szCs w:val="32"/>
        </w:rPr>
        <w:t>（三）负责全区促进就业工作，拟订</w:t>
      </w:r>
      <w:r>
        <w:rPr>
          <w:rFonts w:hint="eastAsia" w:eastAsia="仿宋_GB2312"/>
          <w:sz w:val="32"/>
          <w:szCs w:val="32"/>
        </w:rPr>
        <w:t>全区</w:t>
      </w:r>
      <w:r>
        <w:rPr>
          <w:rFonts w:eastAsia="仿宋_GB2312"/>
          <w:sz w:val="32"/>
          <w:szCs w:val="32"/>
        </w:rPr>
        <w:t>统筹城乡的就业发展规划</w:t>
      </w:r>
      <w:r>
        <w:rPr>
          <w:rFonts w:hint="eastAsia" w:eastAsia="仿宋_GB2312"/>
          <w:sz w:val="32"/>
          <w:szCs w:val="32"/>
        </w:rPr>
        <w:t>并组织落实</w:t>
      </w:r>
      <w:r>
        <w:rPr>
          <w:rFonts w:eastAsia="仿宋_GB2312"/>
          <w:sz w:val="32"/>
          <w:szCs w:val="32"/>
        </w:rPr>
        <w:t>，完善公共就业创业服务体系，统筹建立</w:t>
      </w:r>
      <w:r>
        <w:rPr>
          <w:rFonts w:hint="eastAsia" w:eastAsia="仿宋_GB2312"/>
          <w:sz w:val="32"/>
          <w:szCs w:val="32"/>
        </w:rPr>
        <w:t>全区</w:t>
      </w:r>
      <w:r>
        <w:rPr>
          <w:rFonts w:eastAsia="仿宋_GB2312"/>
          <w:sz w:val="32"/>
          <w:szCs w:val="32"/>
        </w:rPr>
        <w:t>面向城乡劳动者的职业</w:t>
      </w:r>
      <w:r>
        <w:rPr>
          <w:rFonts w:hint="eastAsia" w:eastAsia="仿宋_GB2312"/>
          <w:sz w:val="32"/>
          <w:szCs w:val="32"/>
        </w:rPr>
        <w:t>技能</w:t>
      </w:r>
      <w:r>
        <w:rPr>
          <w:rFonts w:eastAsia="仿宋_GB2312"/>
          <w:sz w:val="32"/>
          <w:szCs w:val="32"/>
        </w:rPr>
        <w:t>培训制度</w:t>
      </w:r>
      <w:r>
        <w:rPr>
          <w:rFonts w:hint="eastAsia" w:eastAsia="仿宋_GB2312"/>
          <w:sz w:val="32"/>
          <w:szCs w:val="32"/>
        </w:rPr>
        <w:t>，贯彻落实上级</w:t>
      </w:r>
      <w:r>
        <w:rPr>
          <w:rFonts w:eastAsia="仿宋_GB2312"/>
          <w:sz w:val="32"/>
          <w:szCs w:val="32"/>
        </w:rPr>
        <w:t>就业援助</w:t>
      </w:r>
      <w:r>
        <w:rPr>
          <w:rFonts w:hint="eastAsia" w:eastAsia="仿宋_GB2312"/>
          <w:sz w:val="32"/>
          <w:szCs w:val="32"/>
        </w:rPr>
        <w:t>政策，组织实施高校毕业生就业政策。</w:t>
      </w:r>
      <w:r>
        <w:rPr>
          <w:rFonts w:eastAsia="仿宋_GB2312"/>
          <w:sz w:val="32"/>
          <w:szCs w:val="32"/>
        </w:rPr>
        <w:t>会同有关部门</w:t>
      </w:r>
      <w:r>
        <w:rPr>
          <w:rFonts w:hint="eastAsia" w:eastAsia="仿宋_GB2312"/>
          <w:sz w:val="32"/>
          <w:szCs w:val="32"/>
        </w:rPr>
        <w:t>组织实施</w:t>
      </w:r>
      <w:r>
        <w:rPr>
          <w:rFonts w:eastAsia="仿宋_GB2312"/>
          <w:sz w:val="32"/>
          <w:szCs w:val="32"/>
        </w:rPr>
        <w:t>高技能人才、农村实用人才培养和激励的相关规定。</w:t>
      </w:r>
    </w:p>
    <w:p>
      <w:pPr>
        <w:ind w:firstLine="640" w:firstLineChars="200"/>
        <w:rPr>
          <w:rFonts w:hint="eastAsia" w:eastAsia="仿宋_GB2312"/>
          <w:sz w:val="32"/>
          <w:szCs w:val="32"/>
        </w:rPr>
      </w:pPr>
      <w:r>
        <w:rPr>
          <w:rFonts w:eastAsia="仿宋_GB2312"/>
          <w:sz w:val="32"/>
          <w:szCs w:val="32"/>
        </w:rPr>
        <w:t>（四）统筹</w:t>
      </w:r>
      <w:r>
        <w:rPr>
          <w:rFonts w:hint="eastAsia" w:eastAsia="仿宋_GB2312"/>
          <w:sz w:val="32"/>
          <w:szCs w:val="32"/>
        </w:rPr>
        <w:t>推进</w:t>
      </w:r>
      <w:r>
        <w:rPr>
          <w:rFonts w:eastAsia="仿宋_GB2312"/>
          <w:sz w:val="32"/>
          <w:szCs w:val="32"/>
        </w:rPr>
        <w:t>建立全区覆盖城乡的</w:t>
      </w:r>
      <w:r>
        <w:rPr>
          <w:rFonts w:hint="eastAsia" w:eastAsia="仿宋_GB2312"/>
          <w:sz w:val="32"/>
          <w:szCs w:val="32"/>
        </w:rPr>
        <w:t>多层次</w:t>
      </w:r>
      <w:r>
        <w:rPr>
          <w:rFonts w:eastAsia="仿宋_GB2312"/>
          <w:sz w:val="32"/>
          <w:szCs w:val="32"/>
        </w:rPr>
        <w:t>社会保障体系。</w:t>
      </w:r>
      <w:r>
        <w:rPr>
          <w:rFonts w:hint="eastAsia" w:eastAsia="仿宋_GB2312"/>
          <w:sz w:val="32"/>
          <w:szCs w:val="32"/>
        </w:rPr>
        <w:t>贯彻执行养老、失业等社会保险及其补充保险政策和标准。</w:t>
      </w:r>
      <w:r>
        <w:rPr>
          <w:rFonts w:eastAsia="仿宋_GB2312"/>
          <w:sz w:val="32"/>
          <w:szCs w:val="32"/>
        </w:rPr>
        <w:t>贯彻落实</w:t>
      </w:r>
      <w:r>
        <w:rPr>
          <w:rFonts w:hint="eastAsia" w:eastAsia="仿宋_GB2312"/>
          <w:sz w:val="32"/>
          <w:szCs w:val="32"/>
        </w:rPr>
        <w:t>养老保险全省统筹办法和全省统一的养老、失业保险关系转续办法。组织实施养老、失业等社会保险基金管理和监督制度，按照相关规定做好全区相关社会保险基金预决算草案的编制、审核、汇总工作。会同有关部门实施全民参保计划。</w:t>
      </w:r>
    </w:p>
    <w:p>
      <w:pPr>
        <w:ind w:firstLine="640" w:firstLineChars="200"/>
        <w:rPr>
          <w:rFonts w:hint="eastAsia" w:eastAsia="仿宋_GB2312"/>
          <w:sz w:val="32"/>
          <w:szCs w:val="32"/>
        </w:rPr>
      </w:pPr>
      <w:r>
        <w:rPr>
          <w:rFonts w:eastAsia="仿宋_GB2312"/>
          <w:sz w:val="32"/>
          <w:szCs w:val="32"/>
        </w:rPr>
        <w:t>（五）</w:t>
      </w:r>
      <w:r>
        <w:rPr>
          <w:rFonts w:hint="eastAsia" w:eastAsia="仿宋_GB2312"/>
          <w:sz w:val="32"/>
          <w:szCs w:val="32"/>
        </w:rPr>
        <w:t>负责全区就业和相关社会保险基金预测预警和信息引导，拟订应对预案，实施预防、调节和控制，保持就业形势稳定和相关社会保险基金总体收支平衡。</w:t>
      </w:r>
    </w:p>
    <w:p>
      <w:pPr>
        <w:ind w:firstLine="640" w:firstLineChars="200"/>
        <w:rPr>
          <w:rFonts w:eastAsia="仿宋_GB2312"/>
          <w:sz w:val="32"/>
          <w:szCs w:val="32"/>
        </w:rPr>
      </w:pPr>
      <w:r>
        <w:rPr>
          <w:rFonts w:eastAsia="仿宋_GB2312"/>
          <w:sz w:val="32"/>
          <w:szCs w:val="32"/>
        </w:rPr>
        <w:t>（六）贯彻</w:t>
      </w:r>
      <w:r>
        <w:rPr>
          <w:rFonts w:hint="eastAsia" w:eastAsia="仿宋_GB2312"/>
          <w:sz w:val="32"/>
          <w:szCs w:val="32"/>
        </w:rPr>
        <w:t>落实</w:t>
      </w:r>
      <w:r>
        <w:rPr>
          <w:rFonts w:eastAsia="仿宋_GB2312"/>
          <w:sz w:val="32"/>
          <w:szCs w:val="32"/>
        </w:rPr>
        <w:t>劳动人事争议调解仲裁制度和劳动关系政策，完善劳动关系</w:t>
      </w:r>
      <w:r>
        <w:rPr>
          <w:rFonts w:hint="eastAsia" w:eastAsia="仿宋_GB2312"/>
          <w:sz w:val="32"/>
          <w:szCs w:val="32"/>
        </w:rPr>
        <w:t>协商</w:t>
      </w:r>
      <w:r>
        <w:rPr>
          <w:rFonts w:eastAsia="仿宋_GB2312"/>
          <w:sz w:val="32"/>
          <w:szCs w:val="32"/>
        </w:rPr>
        <w:t>协调机制</w:t>
      </w:r>
      <w:r>
        <w:rPr>
          <w:rFonts w:hint="eastAsia" w:eastAsia="仿宋_GB2312"/>
          <w:sz w:val="32"/>
          <w:szCs w:val="32"/>
        </w:rPr>
        <w:t>，</w:t>
      </w:r>
      <w:r>
        <w:rPr>
          <w:rFonts w:eastAsia="仿宋_GB2312"/>
          <w:sz w:val="32"/>
          <w:szCs w:val="32"/>
        </w:rPr>
        <w:t>监督落实</w:t>
      </w:r>
      <w:r>
        <w:rPr>
          <w:rFonts w:hint="eastAsia" w:eastAsia="仿宋_GB2312"/>
          <w:sz w:val="32"/>
          <w:szCs w:val="32"/>
        </w:rPr>
        <w:t>国家、省、市工作时间、休息休假和假期相关规定、</w:t>
      </w:r>
      <w:r>
        <w:rPr>
          <w:rFonts w:eastAsia="仿宋_GB2312"/>
          <w:sz w:val="32"/>
          <w:szCs w:val="32"/>
        </w:rPr>
        <w:t>特殊劳动保护政策及实施细则</w:t>
      </w:r>
      <w:r>
        <w:rPr>
          <w:rFonts w:hint="eastAsia" w:eastAsia="仿宋_GB2312"/>
          <w:sz w:val="32"/>
          <w:szCs w:val="32"/>
        </w:rPr>
        <w:t>。组织实施劳动保障监察，协调劳动者维权工作，依法查处重大案件。</w:t>
      </w:r>
    </w:p>
    <w:p>
      <w:pPr>
        <w:ind w:firstLine="640" w:firstLineChars="200"/>
        <w:rPr>
          <w:rFonts w:hint="eastAsia" w:eastAsia="仿宋_GB2312"/>
          <w:sz w:val="32"/>
          <w:szCs w:val="32"/>
        </w:rPr>
      </w:pPr>
      <w:r>
        <w:rPr>
          <w:rFonts w:hint="eastAsia" w:eastAsia="仿宋_GB2312"/>
          <w:sz w:val="32"/>
          <w:szCs w:val="32"/>
        </w:rPr>
        <w:t>（七）牵头推进深化职称制度改革，组织实施</w:t>
      </w:r>
      <w:r>
        <w:rPr>
          <w:rFonts w:hint="eastAsia" w:ascii="仿宋_GB2312" w:eastAsia="仿宋_GB2312"/>
          <w:color w:val="000000"/>
          <w:sz w:val="32"/>
          <w:szCs w:val="32"/>
        </w:rPr>
        <w:t>全区</w:t>
      </w:r>
      <w:r>
        <w:rPr>
          <w:rFonts w:hint="eastAsia" w:eastAsia="仿宋_GB2312"/>
          <w:sz w:val="32"/>
          <w:szCs w:val="32"/>
        </w:rPr>
        <w:t>专业技术人员管理、继续教育等政策。组织实施全区技能人才培养、评价、使用和激励政策。落实职业资格制度，健全职业技能多元化评价办法。</w:t>
      </w:r>
    </w:p>
    <w:p>
      <w:pPr>
        <w:ind w:firstLine="640" w:firstLineChars="200"/>
        <w:rPr>
          <w:rFonts w:hint="eastAsia" w:eastAsia="仿宋_GB2312"/>
          <w:sz w:val="32"/>
          <w:szCs w:val="32"/>
        </w:rPr>
      </w:pPr>
      <w:r>
        <w:rPr>
          <w:rFonts w:eastAsia="仿宋_GB2312"/>
          <w:sz w:val="32"/>
          <w:szCs w:val="32"/>
        </w:rPr>
        <w:t>（</w:t>
      </w:r>
      <w:r>
        <w:rPr>
          <w:rFonts w:hint="eastAsia" w:eastAsia="仿宋_GB2312"/>
          <w:sz w:val="32"/>
          <w:szCs w:val="32"/>
        </w:rPr>
        <w:t>八</w:t>
      </w:r>
      <w:r>
        <w:rPr>
          <w:rFonts w:eastAsia="仿宋_GB2312"/>
          <w:sz w:val="32"/>
          <w:szCs w:val="32"/>
        </w:rPr>
        <w:t>）会同有关部门指导全区事业单位人事制度改革</w:t>
      </w:r>
      <w:r>
        <w:rPr>
          <w:rFonts w:hint="eastAsia" w:eastAsia="仿宋_GB2312"/>
          <w:sz w:val="32"/>
          <w:szCs w:val="32"/>
        </w:rPr>
        <w:t>，按照管理权限负责规范事业单位岗位设置、公开招聘、聘用管理、考核奖惩等人事综合管理工作，拟订全区事业单位工作人员和机关工勤人员管理办法。</w:t>
      </w:r>
    </w:p>
    <w:p>
      <w:pPr>
        <w:ind w:firstLine="640" w:firstLineChars="200"/>
        <w:rPr>
          <w:rFonts w:eastAsia="仿宋_GB2312"/>
          <w:sz w:val="32"/>
          <w:szCs w:val="32"/>
        </w:rPr>
      </w:pPr>
      <w:r>
        <w:rPr>
          <w:rFonts w:hint="eastAsia" w:eastAsia="仿宋_GB2312"/>
          <w:sz w:val="32"/>
          <w:szCs w:val="32"/>
        </w:rPr>
        <w:t>（九）会同有关部门组织落实国家表彰奖励制度，协助管理区委、区政府表彰奖励工作及全区评比达标表彰工作，根据授权办理以区委、区政府名义开展的表彰奖励活动。</w:t>
      </w:r>
    </w:p>
    <w:p>
      <w:pPr>
        <w:ind w:firstLine="640" w:firstLineChars="200"/>
        <w:rPr>
          <w:rFonts w:eastAsia="仿宋_GB2312"/>
          <w:sz w:val="32"/>
          <w:szCs w:val="32"/>
        </w:rPr>
      </w:pPr>
      <w:r>
        <w:rPr>
          <w:rFonts w:hint="eastAsia" w:eastAsia="仿宋_GB2312"/>
          <w:sz w:val="32"/>
          <w:szCs w:val="32"/>
        </w:rPr>
        <w:t>（十）</w:t>
      </w:r>
      <w:r>
        <w:rPr>
          <w:rFonts w:eastAsia="仿宋_GB2312"/>
          <w:sz w:val="32"/>
          <w:szCs w:val="32"/>
        </w:rPr>
        <w:t>贯彻</w:t>
      </w:r>
      <w:r>
        <w:rPr>
          <w:rFonts w:hint="eastAsia" w:eastAsia="仿宋_GB2312"/>
          <w:sz w:val="32"/>
          <w:szCs w:val="32"/>
        </w:rPr>
        <w:t>执行</w:t>
      </w:r>
      <w:r>
        <w:rPr>
          <w:rFonts w:eastAsia="仿宋_GB2312"/>
          <w:sz w:val="32"/>
          <w:szCs w:val="32"/>
        </w:rPr>
        <w:t>事业单位</w:t>
      </w:r>
      <w:r>
        <w:rPr>
          <w:rFonts w:hint="eastAsia" w:eastAsia="仿宋_GB2312"/>
          <w:sz w:val="32"/>
          <w:szCs w:val="32"/>
        </w:rPr>
        <w:t>工作</w:t>
      </w:r>
      <w:r>
        <w:rPr>
          <w:rFonts w:eastAsia="仿宋_GB2312"/>
          <w:sz w:val="32"/>
          <w:szCs w:val="32"/>
        </w:rPr>
        <w:t>人员</w:t>
      </w:r>
      <w:r>
        <w:rPr>
          <w:rFonts w:hint="eastAsia" w:eastAsia="仿宋_GB2312"/>
          <w:sz w:val="32"/>
          <w:szCs w:val="32"/>
        </w:rPr>
        <w:t>和机关工勤人员</w:t>
      </w:r>
      <w:r>
        <w:rPr>
          <w:rFonts w:eastAsia="仿宋_GB2312"/>
          <w:sz w:val="32"/>
          <w:szCs w:val="32"/>
        </w:rPr>
        <w:t>工资收入分配政策</w:t>
      </w:r>
      <w:r>
        <w:rPr>
          <w:rFonts w:hint="eastAsia" w:eastAsia="仿宋_GB2312"/>
          <w:sz w:val="32"/>
          <w:szCs w:val="32"/>
        </w:rPr>
        <w:t>，</w:t>
      </w:r>
      <w:r>
        <w:rPr>
          <w:rFonts w:eastAsia="仿宋_GB2312"/>
          <w:sz w:val="32"/>
          <w:szCs w:val="32"/>
        </w:rPr>
        <w:t>建立全区</w:t>
      </w:r>
      <w:r>
        <w:rPr>
          <w:rFonts w:hint="eastAsia" w:eastAsia="仿宋_GB2312"/>
          <w:sz w:val="32"/>
          <w:szCs w:val="32"/>
        </w:rPr>
        <w:t>企</w:t>
      </w:r>
      <w:r>
        <w:rPr>
          <w:rFonts w:eastAsia="仿宋_GB2312"/>
          <w:sz w:val="32"/>
          <w:szCs w:val="32"/>
        </w:rPr>
        <w:t>事业单位人员工资正常增长和支付保障机制</w:t>
      </w:r>
      <w:r>
        <w:rPr>
          <w:rFonts w:hint="eastAsia" w:eastAsia="仿宋_GB2312"/>
          <w:sz w:val="32"/>
          <w:szCs w:val="32"/>
        </w:rPr>
        <w:t>；贯彻落实企事业单位人员、机关工勤人员福利和离退休政策；贯彻落实机关、事业单位工勤人员技术等级考核政策</w:t>
      </w:r>
      <w:r>
        <w:rPr>
          <w:rFonts w:eastAsia="仿宋_GB2312"/>
          <w:sz w:val="32"/>
          <w:szCs w:val="32"/>
        </w:rPr>
        <w:t>。</w:t>
      </w:r>
    </w:p>
    <w:p>
      <w:pPr>
        <w:ind w:firstLine="640" w:firstLineChars="200"/>
        <w:rPr>
          <w:rFonts w:eastAsia="仿宋_GB2312"/>
          <w:sz w:val="32"/>
          <w:szCs w:val="32"/>
        </w:rPr>
      </w:pPr>
      <w:r>
        <w:rPr>
          <w:rFonts w:eastAsia="仿宋_GB2312"/>
          <w:sz w:val="32"/>
          <w:szCs w:val="32"/>
        </w:rPr>
        <w:t>（</w:t>
      </w:r>
      <w:r>
        <w:rPr>
          <w:rFonts w:hint="eastAsia" w:eastAsia="仿宋_GB2312"/>
          <w:sz w:val="32"/>
          <w:szCs w:val="32"/>
        </w:rPr>
        <w:t>十一</w:t>
      </w:r>
      <w:r>
        <w:rPr>
          <w:rFonts w:eastAsia="仿宋_GB2312"/>
          <w:sz w:val="32"/>
          <w:szCs w:val="32"/>
        </w:rPr>
        <w:t>）</w:t>
      </w:r>
      <w:r>
        <w:rPr>
          <w:rFonts w:hint="eastAsia" w:eastAsia="仿宋_GB2312"/>
          <w:sz w:val="32"/>
          <w:szCs w:val="32"/>
        </w:rPr>
        <w:t>会同有关部门贯彻执行全区</w:t>
      </w:r>
      <w:r>
        <w:rPr>
          <w:rFonts w:eastAsia="仿宋_GB2312"/>
          <w:sz w:val="32"/>
          <w:szCs w:val="32"/>
        </w:rPr>
        <w:t>农民工工作综合性政策和规划，推动相关政策落实，协调解决重点难点问题，维护农民工合法权益。</w:t>
      </w:r>
      <w:r>
        <w:rPr>
          <w:rFonts w:hint="eastAsia" w:eastAsia="仿宋_GB2312"/>
          <w:sz w:val="32"/>
          <w:szCs w:val="32"/>
        </w:rPr>
        <w:t>统筹</w:t>
      </w:r>
      <w:r>
        <w:rPr>
          <w:rFonts w:eastAsia="仿宋_GB2312"/>
          <w:sz w:val="32"/>
          <w:szCs w:val="32"/>
        </w:rPr>
        <w:t>指导全区</w:t>
      </w:r>
      <w:r>
        <w:rPr>
          <w:rFonts w:hint="eastAsia" w:eastAsia="仿宋_GB2312"/>
          <w:sz w:val="32"/>
          <w:szCs w:val="32"/>
        </w:rPr>
        <w:t>农民工就业创业和</w:t>
      </w:r>
      <w:r>
        <w:rPr>
          <w:rFonts w:eastAsia="仿宋_GB2312"/>
          <w:sz w:val="32"/>
          <w:szCs w:val="32"/>
        </w:rPr>
        <w:t>发展家庭服务业促进就业工作。</w:t>
      </w:r>
    </w:p>
    <w:p>
      <w:pPr>
        <w:ind w:firstLine="640" w:firstLineChars="200"/>
        <w:rPr>
          <w:rFonts w:eastAsia="仿宋_GB2312"/>
          <w:sz w:val="32"/>
          <w:szCs w:val="32"/>
        </w:rPr>
      </w:pPr>
      <w:r>
        <w:rPr>
          <w:rFonts w:eastAsia="仿宋_GB2312"/>
          <w:sz w:val="32"/>
          <w:szCs w:val="32"/>
        </w:rPr>
        <w:t>（</w:t>
      </w:r>
      <w:r>
        <w:rPr>
          <w:rFonts w:hint="eastAsia" w:eastAsia="仿宋_GB2312"/>
          <w:sz w:val="32"/>
          <w:szCs w:val="32"/>
        </w:rPr>
        <w:t>十二</w:t>
      </w:r>
      <w:r>
        <w:rPr>
          <w:rFonts w:eastAsia="仿宋_GB2312"/>
          <w:sz w:val="32"/>
          <w:szCs w:val="32"/>
        </w:rPr>
        <w:t>）完成区委、区政府交办的其他任务。</w:t>
      </w:r>
    </w:p>
    <w:p>
      <w:pPr>
        <w:ind w:firstLine="640" w:firstLineChars="200"/>
        <w:rPr>
          <w:rFonts w:hint="eastAsia" w:eastAsia="仿宋_GB2312"/>
          <w:sz w:val="32"/>
          <w:szCs w:val="32"/>
        </w:rPr>
      </w:pPr>
      <w:r>
        <w:rPr>
          <w:rFonts w:eastAsia="仿宋_GB2312"/>
          <w:sz w:val="32"/>
          <w:szCs w:val="32"/>
        </w:rPr>
        <w:t>（</w:t>
      </w:r>
      <w:r>
        <w:rPr>
          <w:rFonts w:hint="eastAsia" w:eastAsia="仿宋_GB2312"/>
          <w:sz w:val="32"/>
          <w:szCs w:val="32"/>
        </w:rPr>
        <w:t>十三</w:t>
      </w:r>
      <w:r>
        <w:rPr>
          <w:rFonts w:eastAsia="仿宋_GB2312"/>
          <w:sz w:val="32"/>
          <w:szCs w:val="32"/>
        </w:rPr>
        <w:t>）</w:t>
      </w:r>
      <w:r>
        <w:rPr>
          <w:rFonts w:hint="eastAsia" w:eastAsia="仿宋_GB2312"/>
          <w:sz w:val="32"/>
          <w:szCs w:val="32"/>
        </w:rPr>
        <w:t>有关职责分工。</w:t>
      </w:r>
    </w:p>
    <w:p>
      <w:pPr>
        <w:ind w:firstLine="640" w:firstLineChars="200"/>
        <w:rPr>
          <w:rFonts w:hint="eastAsia" w:eastAsia="仿宋_GB2312"/>
          <w:sz w:val="32"/>
          <w:szCs w:val="28"/>
          <w:lang w:bidi="ar"/>
        </w:rPr>
      </w:pPr>
      <w:r>
        <w:rPr>
          <w:rFonts w:eastAsia="仿宋_GB2312"/>
          <w:sz w:val="32"/>
          <w:szCs w:val="28"/>
          <w:lang w:bidi="ar"/>
        </w:rPr>
        <w:t>机关事业单位进人问题职责分工。区委机构编制委员会办公室根据用人单位编制余缺和编制结构情况进行编制审核，</w:t>
      </w:r>
      <w:r>
        <w:rPr>
          <w:rFonts w:hint="eastAsia" w:eastAsia="仿宋_GB2312"/>
          <w:sz w:val="32"/>
          <w:szCs w:val="28"/>
          <w:lang w:bidi="ar"/>
        </w:rPr>
        <w:t>经区委机构编制部门</w:t>
      </w:r>
      <w:r>
        <w:rPr>
          <w:rFonts w:eastAsia="仿宋_GB2312"/>
          <w:sz w:val="32"/>
          <w:szCs w:val="28"/>
          <w:lang w:bidi="ar"/>
        </w:rPr>
        <w:t>同意后核发机构编制审核通知单，并在用人单位办理入减编手续后出具入减编通知单。</w:t>
      </w:r>
      <w:r>
        <w:rPr>
          <w:rFonts w:hint="eastAsia" w:eastAsia="仿宋_GB2312"/>
          <w:sz w:val="32"/>
          <w:szCs w:val="28"/>
          <w:lang w:bidi="ar"/>
        </w:rPr>
        <w:t>相关部门凭机构编制审核通知单和入减编通知单等办理人员录用、</w:t>
      </w:r>
      <w:r>
        <w:rPr>
          <w:rFonts w:eastAsia="仿宋_GB2312"/>
          <w:sz w:val="32"/>
          <w:szCs w:val="28"/>
          <w:lang w:bidi="ar"/>
        </w:rPr>
        <w:t>聘用（任）、</w:t>
      </w:r>
      <w:r>
        <w:rPr>
          <w:rFonts w:hint="eastAsia" w:eastAsia="仿宋_GB2312"/>
          <w:sz w:val="32"/>
          <w:szCs w:val="28"/>
          <w:lang w:bidi="ar"/>
        </w:rPr>
        <w:t>调配、</w:t>
      </w:r>
      <w:r>
        <w:rPr>
          <w:rFonts w:eastAsia="仿宋_GB2312"/>
          <w:sz w:val="32"/>
          <w:szCs w:val="28"/>
          <w:lang w:bidi="ar"/>
        </w:rPr>
        <w:t>工资核定</w:t>
      </w:r>
      <w:r>
        <w:rPr>
          <w:rFonts w:hint="eastAsia" w:eastAsia="仿宋_GB2312"/>
          <w:sz w:val="32"/>
          <w:szCs w:val="28"/>
          <w:lang w:bidi="ar"/>
        </w:rPr>
        <w:t>等</w:t>
      </w:r>
      <w:r>
        <w:rPr>
          <w:rFonts w:eastAsia="仿宋_GB2312"/>
          <w:sz w:val="32"/>
          <w:szCs w:val="28"/>
          <w:lang w:bidi="ar"/>
        </w:rPr>
        <w:t>手续。</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rPr>
        <w:t>人力资源和社会保障局</w:t>
      </w:r>
      <w:r>
        <w:rPr>
          <w:rFonts w:hint="eastAsia" w:ascii="黑体" w:hAnsi="黑体" w:eastAsia="黑体"/>
          <w:sz w:val="32"/>
          <w:szCs w:val="32"/>
          <w:highlight w:val="none"/>
        </w:rPr>
        <w:t>单位构成</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新乡市卫滨区人力资源和社会保障局设下列内设机构：办公室（政策法规室、人力资源股）、社会保障股（劳动人事争议仲裁院、就业促进股）</w:t>
      </w:r>
      <w:r>
        <w:rPr>
          <w:rFonts w:hint="eastAsia" w:ascii="仿宋_GB2312" w:hAnsi="仿宋_GB2312" w:eastAsia="仿宋_GB2312" w:cs="仿宋_GB2312"/>
          <w:sz w:val="32"/>
          <w:szCs w:val="32"/>
          <w:lang w:eastAsia="zh-CN"/>
        </w:rPr>
        <w:t>。</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本单位</w:t>
      </w:r>
      <w:bookmarkStart w:id="0" w:name="_GoBack"/>
      <w:bookmarkEnd w:id="0"/>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共一</w:t>
      </w:r>
      <w:r>
        <w:rPr>
          <w:rFonts w:hint="eastAsia" w:ascii="仿宋_GB2312" w:hAnsi="仿宋_GB2312" w:eastAsia="仿宋_GB2312" w:cs="仿宋_GB2312"/>
          <w:sz w:val="32"/>
          <w:szCs w:val="32"/>
          <w:lang w:val="en-US" w:eastAsia="zh-CN"/>
        </w:rPr>
        <w:t>个：</w:t>
      </w:r>
      <w:r>
        <w:rPr>
          <w:rFonts w:hint="eastAsia" w:ascii="仿宋_GB2312" w:hAnsi="仿宋_GB2312" w:eastAsia="仿宋_GB2312" w:cs="仿宋_GB2312"/>
          <w:sz w:val="32"/>
          <w:szCs w:val="32"/>
        </w:rPr>
        <w:t>新乡市卫滨区人力资源和社会保障局本级</w:t>
      </w:r>
      <w:r>
        <w:rPr>
          <w:rFonts w:hint="eastAsia" w:ascii="仿宋_GB2312" w:hAnsi="仿宋_GB2312" w:eastAsia="仿宋_GB2312" w:cs="仿宋_GB2312"/>
          <w:sz w:val="32"/>
          <w:szCs w:val="32"/>
          <w:lang w:val="en-US" w:eastAsia="zh-CN"/>
        </w:rPr>
        <w:t>，无二级预算单位。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卫滨区人力资源和社会保障局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5135.36</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5135.36</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4152.02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422.24</w:t>
      </w:r>
      <w:r>
        <w:rPr>
          <w:rFonts w:hint="eastAsia" w:ascii="仿宋_GB2312" w:hAnsi="仿宋_GB2312" w:eastAsia="仿宋_GB2312" w:cs="仿宋_GB2312"/>
          <w:sz w:val="32"/>
          <w:szCs w:val="32"/>
        </w:rPr>
        <w:t>%。主要原因是一般公共预算收入</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4152.06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422.24</w:t>
      </w:r>
      <w:r>
        <w:rPr>
          <w:rFonts w:hint="eastAsia" w:ascii="仿宋_GB2312" w:hAnsi="仿宋_GB2312" w:eastAsia="仿宋_GB2312" w:cs="仿宋_GB2312"/>
          <w:sz w:val="32"/>
          <w:szCs w:val="32"/>
        </w:rPr>
        <w:t>%。主要原因是社会保障和就业支出</w:t>
      </w:r>
      <w:r>
        <w:rPr>
          <w:rFonts w:hint="eastAsia" w:ascii="仿宋_GB2312" w:hAnsi="仿宋_GB2312" w:eastAsia="仿宋_GB2312" w:cs="仿宋_GB2312"/>
          <w:sz w:val="32"/>
          <w:szCs w:val="32"/>
          <w:lang w:eastAsia="zh-CN"/>
        </w:rPr>
        <w:t>增加</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5135.36</w:t>
      </w:r>
      <w:r>
        <w:rPr>
          <w:rFonts w:hint="eastAsia" w:ascii="仿宋_GB2312" w:hAnsi="仿宋_GB2312" w:eastAsia="仿宋_GB2312" w:cs="仿宋_GB2312"/>
          <w:sz w:val="32"/>
          <w:szCs w:val="32"/>
        </w:rPr>
        <w:t>万元，收入预算总计增加</w:t>
      </w:r>
      <w:r>
        <w:rPr>
          <w:rFonts w:hint="eastAsia" w:ascii="仿宋_GB2312" w:hAnsi="仿宋_GB2312" w:eastAsia="仿宋_GB2312" w:cs="仿宋_GB2312"/>
          <w:sz w:val="32"/>
          <w:szCs w:val="32"/>
          <w:lang w:val="en-US" w:eastAsia="zh-CN"/>
        </w:rPr>
        <w:t>4152.02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sz w:val="32"/>
          <w:szCs w:val="32"/>
          <w:lang w:val="en-US" w:eastAsia="zh-CN"/>
        </w:rPr>
        <w:t>422.24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，原因为一般公共预算收入</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5116.31</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19.05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5135.36</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240.01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4.67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4895.35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95.33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sz w:val="32"/>
          <w:szCs w:val="32"/>
          <w:lang w:val="en-US" w:eastAsia="zh-CN"/>
        </w:rPr>
        <w:t>5135.36</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b w:val="0"/>
          <w:bCs w:val="0"/>
          <w:sz w:val="32"/>
          <w:szCs w:val="32"/>
          <w:lang w:val="en-US" w:eastAsia="zh-CN"/>
        </w:rPr>
        <w:t>4152.02</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sz w:val="32"/>
          <w:szCs w:val="32"/>
          <w:lang w:val="en-US" w:eastAsia="zh-CN"/>
        </w:rPr>
        <w:t>422.24</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rPr>
        <w:t>项目收支</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b w:val="0"/>
          <w:bCs w:val="0"/>
          <w:sz w:val="32"/>
          <w:szCs w:val="32"/>
        </w:rPr>
        <w:t>；政府性基金收支预算增加</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highlight w:val="none"/>
          <w:lang w:eastAsia="zh-CN"/>
        </w:rPr>
        <w:t>上年保持一致</w:t>
      </w:r>
      <w:r>
        <w:rPr>
          <w:rFonts w:hint="eastAsia" w:ascii="仿宋_GB2312" w:hAnsi="仿宋_GB2312" w:eastAsia="仿宋_GB2312" w:cs="仿宋_GB2312"/>
          <w:b w:val="0"/>
          <w:bCs w:val="0"/>
          <w:sz w:val="32"/>
          <w:szCs w:val="32"/>
          <w:highlight w:val="none"/>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5116.31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240.01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4.69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4876.30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95.31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color w:val="auto"/>
          <w:sz w:val="32"/>
          <w:szCs w:val="32"/>
          <w:highlight w:val="none"/>
          <w:lang w:val="en-US" w:eastAsia="zh-CN"/>
        </w:rPr>
        <w:t>主要用于以下方面：社会保障和就业（类）支出5104.49万元，占99.40%；卫生健康（类）支出11.91万元，占0.23%；住房保障（类）支出18.96万元，占0.37</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sz w:val="32"/>
          <w:szCs w:val="32"/>
          <w:lang w:val="en-US" w:eastAsia="zh-CN"/>
        </w:rPr>
        <w:t>240.01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223.25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93.02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w:t>
      </w:r>
      <w:r>
        <w:rPr>
          <w:rFonts w:hint="eastAsia" w:ascii="仿宋_GB2312" w:hAnsi="仿宋_GB2312" w:eastAsia="仿宋_GB2312" w:cs="仿宋_GB2312"/>
          <w:sz w:val="32"/>
          <w:szCs w:val="32"/>
          <w:highlight w:val="none"/>
        </w:rPr>
        <w:t>、个人农业生产补贴、其他对个人和家庭的补助支出；</w:t>
      </w:r>
      <w:r>
        <w:rPr>
          <w:rFonts w:hint="eastAsia" w:ascii="仿宋_GB2312" w:hAnsi="仿宋_GB2312" w:eastAsia="仿宋_GB2312" w:cs="仿宋_GB2312"/>
          <w:b/>
          <w:spacing w:val="-1"/>
          <w:kern w:val="0"/>
          <w:sz w:val="32"/>
          <w:szCs w:val="32"/>
          <w:highlight w:val="none"/>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16.76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6.98</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4876.30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4856.30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局</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Times New Roman" w:hAnsi="Times New Roman" w:eastAsia="仿宋_GB2312" w:cs="Times New Roman"/>
          <w:sz w:val="32"/>
          <w:szCs w:val="32"/>
          <w:highlight w:val="none"/>
          <w:lang w:val="en-US" w:eastAsia="zh-CN"/>
        </w:rPr>
        <w:t>1.10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0.20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经费支出削减</w:t>
      </w: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主要用于单位工作人员公务出国（境）的住宿费、旅费、伙食补助费、杂费、培训费等支出。预算数与202</w:t>
      </w:r>
      <w:r>
        <w:rPr>
          <w:rFonts w:hint="eastAsia" w:ascii="仿宋_GB2312" w:hAnsi="宋体" w:eastAsia="仿宋_GB2312" w:cs="Courier New"/>
          <w:sz w:val="32"/>
          <w:szCs w:val="32"/>
          <w:lang w:val="en-US" w:eastAsia="zh-CN"/>
        </w:rPr>
        <w:t>3</w:t>
      </w:r>
      <w:r>
        <w:rPr>
          <w:rFonts w:hint="eastAsia" w:ascii="仿宋_GB2312" w:hAnsi="宋体" w:eastAsia="仿宋_GB2312" w:cs="Courier New"/>
          <w:sz w:val="32"/>
          <w:szCs w:val="32"/>
        </w:rPr>
        <w:t>年保持一致,主要原因是无因公出国（境）费支出。</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left="0" w:leftChars="0"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1.10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1.10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eastAsia="仿宋_GB2312"/>
          <w:sz w:val="32"/>
          <w:szCs w:val="32"/>
        </w:rPr>
        <w:t>202</w:t>
      </w:r>
      <w:r>
        <w:rPr>
          <w:rFonts w:hint="eastAsia" w:eastAsia="仿宋_GB2312"/>
          <w:sz w:val="32"/>
          <w:szCs w:val="32"/>
          <w:lang w:val="en-US" w:eastAsia="zh-CN"/>
        </w:rPr>
        <w:t>3</w:t>
      </w:r>
      <w:r>
        <w:rPr>
          <w:rFonts w:hint="eastAsia" w:ascii="仿宋_GB2312" w:hAnsi="宋体" w:eastAsia="仿宋_GB2312" w:cs="Courier New"/>
          <w:sz w:val="32"/>
          <w:szCs w:val="32"/>
        </w:rPr>
        <w:t xml:space="preserve">年保持一致，主要原因是无公务用车购置费支出。公务用车运行维护费预算数比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0.2</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经费支出削减</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560" w:lineRule="exact"/>
        <w:ind w:firstLine="636" w:firstLineChars="200"/>
        <w:rPr>
          <w:rFonts w:hint="eastAsia" w:ascii="华文楷体" w:hAnsi="华文楷体" w:eastAsia="华文楷体" w:cs="仿宋_GB2312"/>
          <w:spacing w:val="-1"/>
          <w:kern w:val="0"/>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eastAsia" w:ascii="华文楷体" w:hAnsi="华文楷体" w:eastAsia="华文楷体" w:cs="仿宋_GB2312"/>
          <w:spacing w:val="-1"/>
          <w:kern w:val="0"/>
          <w:sz w:val="32"/>
          <w:szCs w:val="32"/>
        </w:rPr>
        <w:t>预算数与202</w:t>
      </w:r>
      <w:r>
        <w:rPr>
          <w:rFonts w:hint="eastAsia" w:ascii="华文楷体" w:hAnsi="华文楷体" w:eastAsia="华文楷体" w:cs="仿宋_GB2312"/>
          <w:spacing w:val="-1"/>
          <w:kern w:val="0"/>
          <w:sz w:val="32"/>
          <w:szCs w:val="32"/>
          <w:lang w:val="en-US" w:eastAsia="zh-CN"/>
        </w:rPr>
        <w:t>3</w:t>
      </w:r>
      <w:r>
        <w:rPr>
          <w:rFonts w:hint="eastAsia" w:ascii="华文楷体" w:hAnsi="华文楷体" w:eastAsia="华文楷体" w:cs="仿宋_GB2312"/>
          <w:spacing w:val="-1"/>
          <w:kern w:val="0"/>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256" w:firstLineChars="200"/>
        <w:textAlignment w:val="auto"/>
        <w:rPr>
          <w:rFonts w:hint="eastAsia" w:ascii="黑体" w:hAnsi="Times New Roman" w:eastAsia="黑体" w:cs="黑体"/>
          <w:spacing w:val="-1"/>
          <w:kern w:val="0"/>
          <w:sz w:val="13"/>
          <w:szCs w:val="13"/>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rPr>
        <w:t>新乡市卫滨区人力资源和社会保障局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16.76</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highlight w:val="none"/>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Times New Roman" w:eastAsia="仿宋_GB2312" w:cs="黑体"/>
          <w:sz w:val="32"/>
          <w:szCs w:val="32"/>
          <w:highlight w:val="none"/>
        </w:rPr>
        <w:t>。</w:t>
      </w:r>
      <w:r>
        <w:rPr>
          <w:rFonts w:hint="eastAsia" w:ascii="仿宋_GB2312" w:hAnsi="仿宋_GB2312" w:eastAsia="仿宋_GB2312" w:cs="仿宋_GB2312"/>
          <w:sz w:val="32"/>
          <w:szCs w:val="32"/>
          <w:highlight w:val="none"/>
          <w:lang w:val="en-US" w:eastAsia="zh-CN"/>
        </w:rPr>
        <w:t>我单位</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10</w:t>
      </w:r>
      <w:r>
        <w:rPr>
          <w:rFonts w:hint="eastAsia" w:ascii="仿宋_GB2312" w:hAnsi="宋体" w:eastAsia="仿宋_GB2312" w:cs="Courier New"/>
          <w:sz w:val="32"/>
          <w:szCs w:val="32"/>
        </w:rPr>
        <w:t>个项目进行了预算绩效评价，涉及资金</w:t>
      </w:r>
      <w:r>
        <w:rPr>
          <w:rFonts w:hint="eastAsia" w:ascii="仿宋_GB2312" w:hAnsi="宋体" w:eastAsia="仿宋_GB2312" w:cs="Courier New"/>
          <w:sz w:val="32"/>
          <w:szCs w:val="32"/>
          <w:lang w:val="en-US" w:eastAsia="zh-CN"/>
        </w:rPr>
        <w:t>983.34</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10</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4895.36</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343.43</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仿宋_GB2312" w:hAnsi="宋体" w:eastAsia="仿宋_GB2312" w:cs="Courier New"/>
          <w:color w:val="000000"/>
          <w:sz w:val="32"/>
          <w:szCs w:val="32"/>
          <w:lang w:val="en-US" w:eastAsia="zh-CN"/>
        </w:rPr>
        <w:t>0.62</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7.55</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办公设备购置</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rPr>
        <w:t>新乡市卫滨区人力资源和社会保障局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仿宋_GB2312" w:hAnsi="宋体" w:eastAsia="仿宋_GB2312" w:cs="Courier New"/>
          <w:sz w:val="32"/>
          <w:szCs w:val="32"/>
          <w:lang w:val="en-US" w:eastAsia="zh-CN"/>
        </w:rPr>
        <w:t>0辆.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rPr>
        <w:t>新乡市卫滨区人力资源和社会保障局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w:t>
      </w:r>
      <w:r>
        <w:rPr>
          <w:rFonts w:hint="eastAsia" w:ascii="仿宋_GB2312" w:hAnsi="宋体" w:eastAsia="仿宋_GB2312" w:cs="Courier New"/>
          <w:sz w:val="32"/>
          <w:szCs w:val="32"/>
          <w:highlight w:val="none"/>
        </w:rPr>
        <w:t>。为适应改革要求，</w:t>
      </w:r>
      <w:r>
        <w:rPr>
          <w:rFonts w:hint="eastAsia" w:ascii="仿宋_GB2312" w:hAnsi="仿宋_GB2312" w:eastAsia="仿宋_GB2312" w:cs="仿宋_GB2312"/>
          <w:sz w:val="32"/>
          <w:szCs w:val="32"/>
          <w:highlight w:val="none"/>
        </w:rPr>
        <w:t>新乡市卫滨区人力资源和社会保障局</w:t>
      </w:r>
      <w:r>
        <w:rPr>
          <w:rFonts w:hint="eastAsia" w:ascii="仿宋_GB2312" w:hAnsi="宋体" w:eastAsia="仿宋_GB2312" w:cs="Courier New"/>
          <w:sz w:val="32"/>
          <w:szCs w:val="32"/>
          <w:highlight w:val="none"/>
          <w:lang w:eastAsia="zh-CN"/>
        </w:rPr>
        <w:t>《支出经济分类汇总表》从2018年起从仅反映一般公共预算基本支出经济分类科目预算调整为按</w:t>
      </w:r>
      <w:r>
        <w:rPr>
          <w:rFonts w:hint="eastAsia" w:ascii="仿宋_GB2312" w:hAnsi="宋体" w:eastAsia="仿宋_GB2312" w:cs="Courier New"/>
          <w:sz w:val="32"/>
          <w:szCs w:val="32"/>
          <w:highlight w:val="none"/>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highlight w:val="none"/>
        </w:rPr>
        <w:t>新乡市卫滨区人力资源和社会保障局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highlight w:val="none"/>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highlight w:val="none"/>
          <w:lang w:val="en-US" w:eastAsia="zh-CN"/>
        </w:rPr>
        <w:t>无</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人力资源和社会保障局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footerReference r:id="rId3" w:type="default"/>
          <w:pgSz w:w="11906" w:h="16838"/>
          <w:pgMar w:top="1440" w:right="1700" w:bottom="1440" w:left="1560" w:header="851" w:footer="992" w:gutter="0"/>
          <w:cols w:space="720" w:num="1"/>
          <w:docGrid w:type="lines" w:linePitch="312" w:charSpace="0"/>
        </w:sectPr>
      </w:pPr>
    </w:p>
    <w:tbl>
      <w:tblPr>
        <w:tblStyle w:val="6"/>
        <w:tblW w:w="92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74"/>
        <w:gridCol w:w="1538"/>
        <w:gridCol w:w="3075"/>
        <w:gridCol w:w="1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687"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单位名称：新乡市卫滨区人力资源和社会保障局</w:t>
            </w:r>
          </w:p>
        </w:tc>
        <w:tc>
          <w:tcPr>
            <w:tcW w:w="153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5,116.31</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5,046.31</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5,104.49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5,116.31</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5,135.36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19.05</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3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5,135.36</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5,135.36</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r>
        <w:drawing>
          <wp:anchor distT="0" distB="0" distL="114300" distR="114300" simplePos="0" relativeHeight="251659264" behindDoc="0" locked="0" layoutInCell="1" allowOverlap="1">
            <wp:simplePos x="0" y="0"/>
            <wp:positionH relativeFrom="column">
              <wp:posOffset>26035</wp:posOffset>
            </wp:positionH>
            <wp:positionV relativeFrom="paragraph">
              <wp:posOffset>286385</wp:posOffset>
            </wp:positionV>
            <wp:extent cx="9919970" cy="1446530"/>
            <wp:effectExtent l="0" t="0" r="5080" b="127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9919970" cy="1446530"/>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21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737"/>
        <w:gridCol w:w="2458"/>
        <w:gridCol w:w="1171"/>
        <w:gridCol w:w="1171"/>
        <w:gridCol w:w="1171"/>
        <w:gridCol w:w="1171"/>
        <w:gridCol w:w="1171"/>
        <w:gridCol w:w="1170"/>
        <w:gridCol w:w="1171"/>
        <w:gridCol w:w="1171"/>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4038"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单位名称：新乡市卫滨区人力资源和社会保障局</w:t>
            </w:r>
          </w:p>
        </w:tc>
        <w:tc>
          <w:tcPr>
            <w:tcW w:w="1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5,135.36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212.89</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4,895.35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304</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新乡市卫滨区人力资源和社会保障局</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5,135.36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212.89</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4,895.35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184.18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184.18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157.06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其他人力资源和社会保障管理事务支出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195.35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195.35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对机关事业单位基本养老保险基金的补助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ind w:firstLine="420" w:firstLineChars="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800" w:type="dxa"/>
        <w:tblInd w:w="-837" w:type="dxa"/>
        <w:tblLayout w:type="fixed"/>
        <w:tblCellMar>
          <w:top w:w="0" w:type="dxa"/>
          <w:left w:w="108" w:type="dxa"/>
          <w:bottom w:w="0" w:type="dxa"/>
          <w:right w:w="108" w:type="dxa"/>
        </w:tblCellMar>
      </w:tblPr>
      <w:tblGrid>
        <w:gridCol w:w="2175"/>
        <w:gridCol w:w="1045"/>
        <w:gridCol w:w="2536"/>
        <w:gridCol w:w="1115"/>
        <w:gridCol w:w="1180"/>
        <w:gridCol w:w="1037"/>
        <w:gridCol w:w="756"/>
        <w:gridCol w:w="956"/>
      </w:tblGrid>
      <w:tr>
        <w:tblPrEx>
          <w:tblLayout w:type="fixed"/>
          <w:tblCellMar>
            <w:top w:w="0" w:type="dxa"/>
            <w:left w:w="108" w:type="dxa"/>
            <w:bottom w:w="0" w:type="dxa"/>
            <w:right w:w="108" w:type="dxa"/>
          </w:tblCellMar>
        </w:tblPrEx>
        <w:trPr>
          <w:trHeight w:val="90" w:hRule="atLeast"/>
        </w:trPr>
        <w:tc>
          <w:tcPr>
            <w:tcW w:w="10800"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90" w:hRule="atLeast"/>
        </w:trPr>
        <w:tc>
          <w:tcPr>
            <w:tcW w:w="10800"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90" w:hRule="atLeast"/>
        </w:trPr>
        <w:tc>
          <w:tcPr>
            <w:tcW w:w="10800"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color w:val="000000"/>
                <w:kern w:val="0"/>
                <w:sz w:val="18"/>
                <w:szCs w:val="18"/>
                <w:highlight w:val="none"/>
                <w:lang w:eastAsia="zh-CN"/>
              </w:rPr>
              <w:t>单位</w:t>
            </w:r>
            <w:r>
              <w:rPr>
                <w:rFonts w:hint="eastAsia" w:ascii="宋体" w:hAnsi="宋体" w:cs="宋体"/>
                <w:kern w:val="0"/>
                <w:sz w:val="15"/>
                <w:szCs w:val="15"/>
                <w:highlight w:val="none"/>
              </w:rPr>
              <w:t>名称：</w:t>
            </w:r>
            <w:r>
              <w:rPr>
                <w:rFonts w:hint="eastAsia" w:ascii="宋体" w:hAnsi="宋体" w:cs="宋体"/>
                <w:kern w:val="0"/>
                <w:sz w:val="18"/>
                <w:szCs w:val="18"/>
                <w:highlight w:val="none"/>
                <w:lang w:eastAsia="zh-CN"/>
              </w:rPr>
              <w:t>新乡市卫滨区人力资源和社会保障局</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90" w:hRule="atLeast"/>
        </w:trPr>
        <w:tc>
          <w:tcPr>
            <w:tcW w:w="3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8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90" w:hRule="atLeast"/>
        </w:trPr>
        <w:tc>
          <w:tcPr>
            <w:tcW w:w="217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5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21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5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5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CellMar>
            <w:top w:w="0" w:type="dxa"/>
            <w:left w:w="108" w:type="dxa"/>
            <w:bottom w:w="0" w:type="dxa"/>
            <w:right w:w="108" w:type="dxa"/>
          </w:tblCellMar>
        </w:tblPrEx>
        <w:trPr>
          <w:trHeight w:val="90" w:hRule="atLeast"/>
        </w:trPr>
        <w:tc>
          <w:tcPr>
            <w:tcW w:w="217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4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5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5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5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5,116.31</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1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5,135.36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5,135.36</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5,046.31</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5,116.31</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5,046.31</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10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10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19.05</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19.05</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10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10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1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5,104.49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5,104.49</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5,015.44</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1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11.91</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11.91</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1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18.96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18.96</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18.96</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1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4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1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8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90" w:hRule="atLeast"/>
        </w:trPr>
        <w:tc>
          <w:tcPr>
            <w:tcW w:w="21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10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5,135.36</w:t>
            </w:r>
          </w:p>
        </w:tc>
        <w:tc>
          <w:tcPr>
            <w:tcW w:w="25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1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5,135.36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5,135.36</w:t>
            </w:r>
          </w:p>
        </w:tc>
        <w:tc>
          <w:tcPr>
            <w:tcW w:w="10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5,046.31</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9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738"/>
        <w:gridCol w:w="2462"/>
        <w:gridCol w:w="1538"/>
        <w:gridCol w:w="1538"/>
        <w:gridCol w:w="1172"/>
        <w:gridCol w:w="1172"/>
        <w:gridCol w:w="1172"/>
        <w:gridCol w:w="1172"/>
        <w:gridCol w:w="1172"/>
        <w:gridCol w:w="1172"/>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trPr>
        <w:tc>
          <w:tcPr>
            <w:tcW w:w="15956"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b/>
                <w:bCs/>
                <w:i w:val="0"/>
                <w:iCs w:val="0"/>
                <w:color w:val="000000"/>
                <w:sz w:val="38"/>
                <w:szCs w:val="3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956"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8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单位名称：新乡市卫滨区人力资源和社会保障局</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1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1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5,116.31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240.01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212.89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4,876.30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4,856.30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304</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新乡市卫滨区人力资源和社会保障局</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5,116.31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240.01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212.89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4,876.30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4,856.30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184.18</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184.18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157.06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其他人力资源和社会保障管理事务支出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176.30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176.30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对机关事业单位基本养老保险基金的补助</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21"/>
          <w:szCs w:val="21"/>
          <w:highlight w:val="none"/>
        </w:rPr>
      </w:pPr>
    </w:p>
    <w:p>
      <w:pPr>
        <w:kinsoku w:val="0"/>
        <w:overflowPunct w:val="0"/>
        <w:adjustRightInd w:val="0"/>
        <w:snapToGrid w:val="0"/>
        <w:spacing w:line="560" w:lineRule="exact"/>
        <w:rPr>
          <w:rFonts w:ascii="黑体" w:hAnsi="Times New Roman" w:eastAsia="黑体" w:cs="黑体"/>
          <w:sz w:val="21"/>
          <w:szCs w:val="21"/>
          <w:highlight w:val="none"/>
        </w:rPr>
      </w:pPr>
    </w:p>
    <w:tbl>
      <w:tblPr>
        <w:tblStyle w:val="6"/>
        <w:tblpPr w:leftFromText="180" w:rightFromText="180" w:vertAnchor="text" w:horzAnchor="page" w:tblpX="1004" w:tblpY="551"/>
        <w:tblOverlap w:val="never"/>
        <w:tblW w:w="14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46"/>
        <w:gridCol w:w="2745"/>
        <w:gridCol w:w="2017"/>
        <w:gridCol w:w="2372"/>
        <w:gridCol w:w="1946"/>
        <w:gridCol w:w="1947"/>
        <w:gridCol w:w="19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6" w:hRule="atLeast"/>
        </w:trPr>
        <w:tc>
          <w:tcPr>
            <w:tcW w:w="14920"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4" w:hRule="atLeast"/>
        </w:trPr>
        <w:tc>
          <w:tcPr>
            <w:tcW w:w="1492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6" w:hRule="atLeast"/>
        </w:trPr>
        <w:tc>
          <w:tcPr>
            <w:tcW w:w="12973"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名称：新乡市卫滨区人力资源和社会保障局</w:t>
            </w:r>
          </w:p>
        </w:tc>
        <w:tc>
          <w:tcPr>
            <w:tcW w:w="1947"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4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240.01</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223.25</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10.36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33.10</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33.10</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7.67</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7.67</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30.24</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30.24</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86.05</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86.05</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4.72</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50208</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30226</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50205</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6.59</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11.91</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7" w:hRule="atLeast"/>
        </w:trPr>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18.96</w:t>
            </w:r>
          </w:p>
        </w:tc>
        <w:tc>
          <w:tcPr>
            <w:tcW w:w="1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r>
        <w:drawing>
          <wp:anchor distT="0" distB="0" distL="114300" distR="114300" simplePos="0" relativeHeight="251660288" behindDoc="0" locked="0" layoutInCell="1" allowOverlap="1">
            <wp:simplePos x="0" y="0"/>
            <wp:positionH relativeFrom="column">
              <wp:posOffset>635</wp:posOffset>
            </wp:positionH>
            <wp:positionV relativeFrom="paragraph">
              <wp:posOffset>239395</wp:posOffset>
            </wp:positionV>
            <wp:extent cx="9970135" cy="4920615"/>
            <wp:effectExtent l="0" t="0" r="12065" b="1333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9970135" cy="4920615"/>
                    </a:xfrm>
                    <a:prstGeom prst="rect">
                      <a:avLst/>
                    </a:prstGeom>
                    <a:noFill/>
                    <a:ln>
                      <a:noFill/>
                    </a:ln>
                  </pic:spPr>
                </pic:pic>
              </a:graphicData>
            </a:graphic>
          </wp:anchor>
        </w:drawing>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3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39"/>
        <w:gridCol w:w="2339"/>
        <w:gridCol w:w="2339"/>
        <w:gridCol w:w="2339"/>
        <w:gridCol w:w="2339"/>
        <w:gridCol w:w="23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4034"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4034"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1695"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单位名称：新乡市卫滨区人力资源和社会保障局</w:t>
            </w:r>
          </w:p>
        </w:tc>
        <w:tc>
          <w:tcPr>
            <w:tcW w:w="233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7" w:hRule="atLeast"/>
          <w:jc w:val="center"/>
        </w:trPr>
        <w:tc>
          <w:tcPr>
            <w:tcW w:w="14034"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highlight w:val="none"/>
          <w:lang w:eastAsia="zh-CN"/>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highlight w:val="none"/>
          <w:lang w:eastAsia="zh-CN"/>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highlight w:val="none"/>
          <w:lang w:eastAsia="zh-CN"/>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highlight w:val="none"/>
          <w:lang w:eastAsia="zh-CN"/>
        </w:rPr>
      </w:pPr>
    </w:p>
    <w:tbl>
      <w:tblPr>
        <w:tblStyle w:val="6"/>
        <w:tblW w:w="1528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738"/>
        <w:gridCol w:w="2462"/>
        <w:gridCol w:w="1172"/>
        <w:gridCol w:w="1172"/>
        <w:gridCol w:w="1172"/>
        <w:gridCol w:w="1172"/>
        <w:gridCol w:w="1172"/>
        <w:gridCol w:w="1172"/>
        <w:gridCol w:w="1172"/>
        <w:gridCol w:w="1172"/>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283"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28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52"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单位名称：新乡市卫滨区人力资源和社会保障局</w:t>
            </w:r>
          </w:p>
        </w:tc>
        <w:tc>
          <w:tcPr>
            <w:tcW w:w="123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基本支出</w:t>
            </w:r>
          </w:p>
        </w:tc>
        <w:tc>
          <w:tcPr>
            <w:tcW w:w="35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0</w:t>
            </w:r>
          </w:p>
        </w:tc>
      </w:tr>
    </w:tbl>
    <w:p>
      <w:pPr>
        <w:keepNext w:val="0"/>
        <w:keepLines w:val="0"/>
        <w:pageBreakBefore w:val="0"/>
        <w:widowControl w:val="0"/>
        <w:kinsoku w:val="0"/>
        <w:wordWrap/>
        <w:overflowPunct w:val="0"/>
        <w:topLinePunct w:val="0"/>
        <w:bidi w:val="0"/>
        <w:adjustRightInd w:val="0"/>
        <w:snapToGrid w:val="0"/>
        <w:spacing w:line="360" w:lineRule="auto"/>
        <w:jc w:val="both"/>
        <w:textAlignment w:val="auto"/>
        <w:rPr>
          <w:rFonts w:hint="eastAsia" w:ascii="黑体" w:hAnsi="Times New Roman" w:eastAsia="黑体" w:cs="黑体"/>
          <w:sz w:val="32"/>
          <w:szCs w:val="32"/>
          <w:highlight w:val="none"/>
          <w:lang w:eastAsia="zh-CN"/>
        </w:rPr>
      </w:pPr>
    </w:p>
    <w:p>
      <w:pPr>
        <w:keepNext w:val="0"/>
        <w:keepLines w:val="0"/>
        <w:pageBreakBefore w:val="0"/>
        <w:widowControl w:val="0"/>
        <w:kinsoku w:val="0"/>
        <w:wordWrap/>
        <w:overflowPunct w:val="0"/>
        <w:topLinePunct w:val="0"/>
        <w:bidi w:val="0"/>
        <w:adjustRightInd w:val="0"/>
        <w:snapToGrid w:val="0"/>
        <w:spacing w:line="360" w:lineRule="auto"/>
        <w:jc w:val="both"/>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highlight w:val="none"/>
        </w:rPr>
      </w:pPr>
    </w:p>
    <w:p>
      <w:pPr>
        <w:keepNext w:val="0"/>
        <w:keepLines w:val="0"/>
        <w:pageBreakBefore w:val="0"/>
        <w:widowControl w:val="0"/>
        <w:kinsoku w:val="0"/>
        <w:wordWrap/>
        <w:overflowPunct w:val="0"/>
        <w:topLinePunct w:val="0"/>
        <w:bidi w:val="0"/>
        <w:adjustRightInd w:val="0"/>
        <w:snapToGrid w:val="0"/>
        <w:spacing w:line="360" w:lineRule="auto"/>
        <w:jc w:val="center"/>
        <w:textAlignment w:val="auto"/>
        <w:rPr>
          <w:rFonts w:hint="eastAsia" w:ascii="黑体" w:hAnsi="Times New Roman" w:eastAsia="黑体" w:cs="黑体"/>
          <w:sz w:val="32"/>
          <w:szCs w:val="32"/>
          <w:highlight w:val="none"/>
        </w:rPr>
      </w:pPr>
      <w:r>
        <w:drawing>
          <wp:inline distT="0" distB="0" distL="114300" distR="114300">
            <wp:extent cx="6731000" cy="6299835"/>
            <wp:effectExtent l="0" t="0" r="1270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6731000" cy="6299835"/>
                    </a:xfrm>
                    <a:prstGeom prst="rect">
                      <a:avLst/>
                    </a:prstGeom>
                    <a:noFill/>
                    <a:ln>
                      <a:noFill/>
                    </a:ln>
                  </pic:spPr>
                </pic:pic>
              </a:graphicData>
            </a:graphic>
          </wp:inline>
        </w:drawing>
      </w: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7342DCA1"/>
    <w:multiLevelType w:val="singleLevel"/>
    <w:tmpl w:val="7342DCA1"/>
    <w:lvl w:ilvl="0" w:tentative="0">
      <w:start w:val="1"/>
      <w:numFmt w:val="chineseCounting"/>
      <w:suff w:val="nothing"/>
      <w:lvlText w:val="（%1）"/>
      <w:lvlJc w:val="left"/>
      <w:rPr>
        <w:rFonts w:hint="eastAsi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0YWZiMGVmM2IyNzFmZTg4Y2Q4ZjgwNmRhYzI0Zm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03AD"/>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703B7D"/>
    <w:rsid w:val="09C3644A"/>
    <w:rsid w:val="09E907EB"/>
    <w:rsid w:val="0CEF2B00"/>
    <w:rsid w:val="0FA90872"/>
    <w:rsid w:val="10394E85"/>
    <w:rsid w:val="11A825AE"/>
    <w:rsid w:val="123705B9"/>
    <w:rsid w:val="13910C45"/>
    <w:rsid w:val="15B925CF"/>
    <w:rsid w:val="1635091B"/>
    <w:rsid w:val="169267C0"/>
    <w:rsid w:val="175F3CA6"/>
    <w:rsid w:val="17767D2A"/>
    <w:rsid w:val="19FB7D8E"/>
    <w:rsid w:val="1A5B6391"/>
    <w:rsid w:val="1B9430C3"/>
    <w:rsid w:val="1BAB2A9E"/>
    <w:rsid w:val="1C7012F4"/>
    <w:rsid w:val="209B625B"/>
    <w:rsid w:val="219D5072"/>
    <w:rsid w:val="221D378B"/>
    <w:rsid w:val="25E2722C"/>
    <w:rsid w:val="2A37305D"/>
    <w:rsid w:val="2AD76DF3"/>
    <w:rsid w:val="2C1A4849"/>
    <w:rsid w:val="33ED7470"/>
    <w:rsid w:val="343D3BEB"/>
    <w:rsid w:val="350E17A9"/>
    <w:rsid w:val="365B3B1A"/>
    <w:rsid w:val="368469FD"/>
    <w:rsid w:val="368D0A96"/>
    <w:rsid w:val="389579E0"/>
    <w:rsid w:val="38C10F58"/>
    <w:rsid w:val="39063762"/>
    <w:rsid w:val="399C7E17"/>
    <w:rsid w:val="39D92970"/>
    <w:rsid w:val="3AE114A3"/>
    <w:rsid w:val="3BD07B55"/>
    <w:rsid w:val="3D440195"/>
    <w:rsid w:val="3FAE2155"/>
    <w:rsid w:val="46BE763A"/>
    <w:rsid w:val="47D755C8"/>
    <w:rsid w:val="480E1D32"/>
    <w:rsid w:val="481355B7"/>
    <w:rsid w:val="4BAC1AC0"/>
    <w:rsid w:val="4C7813AD"/>
    <w:rsid w:val="4CDA2801"/>
    <w:rsid w:val="4F917FC6"/>
    <w:rsid w:val="501B68C6"/>
    <w:rsid w:val="508D27A6"/>
    <w:rsid w:val="510D0E91"/>
    <w:rsid w:val="5115798C"/>
    <w:rsid w:val="51C51D65"/>
    <w:rsid w:val="5236524B"/>
    <w:rsid w:val="52CE57C0"/>
    <w:rsid w:val="55381AB4"/>
    <w:rsid w:val="564260EC"/>
    <w:rsid w:val="579D29FC"/>
    <w:rsid w:val="57C60097"/>
    <w:rsid w:val="59156B87"/>
    <w:rsid w:val="59642F2F"/>
    <w:rsid w:val="59AA14E0"/>
    <w:rsid w:val="59E52906"/>
    <w:rsid w:val="5AF554D4"/>
    <w:rsid w:val="5C2F77C1"/>
    <w:rsid w:val="5CB70498"/>
    <w:rsid w:val="5D1412C6"/>
    <w:rsid w:val="5E211941"/>
    <w:rsid w:val="5ED512CA"/>
    <w:rsid w:val="5FAB74D6"/>
    <w:rsid w:val="600E40C9"/>
    <w:rsid w:val="603773AA"/>
    <w:rsid w:val="604E3D2F"/>
    <w:rsid w:val="62200402"/>
    <w:rsid w:val="62A55CA5"/>
    <w:rsid w:val="641C6E32"/>
    <w:rsid w:val="6468013A"/>
    <w:rsid w:val="649C46F2"/>
    <w:rsid w:val="6643017F"/>
    <w:rsid w:val="6B14138E"/>
    <w:rsid w:val="6B2E633B"/>
    <w:rsid w:val="71A9298B"/>
    <w:rsid w:val="72BD29C0"/>
    <w:rsid w:val="73CB561A"/>
    <w:rsid w:val="748B06D6"/>
    <w:rsid w:val="762A388D"/>
    <w:rsid w:val="7789230E"/>
    <w:rsid w:val="779C1699"/>
    <w:rsid w:val="797F6F0E"/>
    <w:rsid w:val="79DC6ADA"/>
    <w:rsid w:val="7B0E49A9"/>
    <w:rsid w:val="7CDF6DAC"/>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2024-03-27T07:10:14Z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7860A31CA27F461AB7505F6AA71DD5D5_13</vt:lpwstr>
  </property>
</Properties>
</file>