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新乡市卫滨区健康路街道办事处本级</w:t>
      </w:r>
    </w:p>
    <w:p>
      <w:pPr>
        <w:jc w:val="center"/>
        <w:rPr>
          <w:rFonts w:ascii="宋体"/>
          <w:sz w:val="84"/>
          <w:szCs w:val="84"/>
          <w:highlight w:val="red"/>
        </w:rPr>
      </w:pPr>
      <w:r>
        <w:rPr>
          <w:rFonts w:ascii="方正小标宋简体" w:hAnsi="方正小标宋简体" w:eastAsia="方正小标宋简体" w:cs="方正小标宋简体"/>
          <w:sz w:val="44"/>
          <w:szCs w:val="44"/>
        </w:rPr>
        <w:t>2024</w:t>
      </w:r>
      <w:r>
        <w:rPr>
          <w:rFonts w:hint="eastAsia" w:ascii="方正小标宋简体" w:hAnsi="方正小标宋简体" w:eastAsia="方正小标宋简体" w:cs="方正小标宋简体"/>
          <w:sz w:val="44"/>
          <w:szCs w:val="44"/>
        </w:rPr>
        <w:t>年度部门预算</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ind w:firstLine="640" w:firstLineChars="200"/>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w:t>
      </w:r>
      <w:r>
        <w:rPr>
          <w:rFonts w:ascii="黑体" w:hAnsi="Times New Roman" w:eastAsia="黑体" w:cs="黑体"/>
          <w:sz w:val="56"/>
          <w:szCs w:val="56"/>
        </w:rPr>
        <w:t xml:space="preserve"> </w:t>
      </w:r>
      <w:r>
        <w:rPr>
          <w:rFonts w:hint="eastAsia" w:ascii="黑体" w:hAnsi="Times New Roman" w:eastAsia="黑体" w:cs="黑体"/>
          <w:sz w:val="56"/>
          <w:szCs w:val="56"/>
        </w:rPr>
        <w:t>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新乡市卫滨区健康路街道办事处概况</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二、部门所属预算单位构成情况</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w:t>
      </w:r>
      <w:r>
        <w:rPr>
          <w:rFonts w:ascii="黑体" w:hAnsi="Times New Roman" w:eastAsia="黑体" w:cs="黑体"/>
          <w:sz w:val="32"/>
          <w:szCs w:val="32"/>
        </w:rPr>
        <w:t xml:space="preserve"> </w:t>
      </w:r>
      <w:r>
        <w:rPr>
          <w:rFonts w:hint="eastAsia" w:ascii="黑体" w:hAnsi="Times New Roman" w:eastAsia="黑体" w:cs="黑体"/>
          <w:sz w:val="32"/>
          <w:szCs w:val="32"/>
        </w:rPr>
        <w:t>新乡市</w:t>
      </w:r>
      <w:r>
        <w:rPr>
          <w:rFonts w:hint="eastAsia" w:ascii="黑体" w:hAnsi="黑体" w:eastAsia="黑体" w:cs="黑体"/>
          <w:sz w:val="32"/>
          <w:szCs w:val="32"/>
        </w:rPr>
        <w:t>卫滨区健康路街道办事处</w:t>
      </w:r>
      <w:r>
        <w:rPr>
          <w:rFonts w:ascii="Times New Roman" w:hAnsi="Times New Roman" w:eastAsia="黑体"/>
          <w:spacing w:val="-119"/>
          <w:sz w:val="32"/>
          <w:szCs w:val="32"/>
        </w:rPr>
        <w:t xml:space="preserve"> </w:t>
      </w:r>
      <w:r>
        <w:rPr>
          <w:rFonts w:ascii="黑体" w:hAnsi="Times New Roman" w:eastAsia="黑体" w:cs="黑体"/>
          <w:sz w:val="32"/>
          <w:szCs w:val="32"/>
        </w:rPr>
        <w:t>2024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w:t>
      </w:r>
      <w:r>
        <w:rPr>
          <w:rFonts w:ascii="黑体" w:hAnsi="Times New Roman" w:eastAsia="黑体" w:cs="黑体"/>
          <w:sz w:val="32"/>
          <w:szCs w:val="32"/>
        </w:rPr>
        <w:t xml:space="preserve">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黑体" w:eastAsia="黑体" w:cs="黑体"/>
          <w:sz w:val="32"/>
          <w:szCs w:val="32"/>
        </w:rPr>
        <w:t>健康路街道办事处</w:t>
      </w:r>
      <w:r>
        <w:rPr>
          <w:rFonts w:hint="eastAsia" w:ascii="黑体" w:hAnsi="Times New Roman" w:eastAsia="黑体" w:cs="黑体"/>
          <w:sz w:val="32"/>
          <w:szCs w:val="32"/>
        </w:rPr>
        <w:t>本级</w:t>
      </w:r>
      <w:r>
        <w:rPr>
          <w:rFonts w:ascii="Times New Roman" w:hAnsi="Times New Roman" w:eastAsia="黑体"/>
          <w:sz w:val="32"/>
          <w:szCs w:val="32"/>
        </w:rPr>
        <w:t>2024</w:t>
      </w:r>
      <w:r>
        <w:rPr>
          <w:rFonts w:hint="eastAsia" w:ascii="黑体" w:hAnsi="Times New Roman" w:eastAsia="黑体" w:cs="黑体"/>
          <w:sz w:val="32"/>
          <w:szCs w:val="32"/>
        </w:rPr>
        <w:t>年度部门预算表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ascii="仿宋_GB2312" w:hAnsi="Times New Roman" w:eastAsia="仿宋_GB2312" w:cs="仿宋_GB2312"/>
          <w:sz w:val="32"/>
          <w:szCs w:val="32"/>
        </w:rPr>
        <w:t>2024</w:t>
      </w:r>
      <w:r>
        <w:rPr>
          <w:rFonts w:hint="eastAsia" w:ascii="仿宋_GB2312" w:hAnsi="Times New Roman" w:eastAsia="仿宋_GB2312" w:cs="仿宋_GB2312"/>
          <w:sz w:val="32"/>
          <w:szCs w:val="32"/>
        </w:rPr>
        <w:t>年部门收支预算表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2024</w:t>
      </w:r>
      <w:r>
        <w:rPr>
          <w:rFonts w:hint="eastAsia" w:ascii="仿宋_GB2312" w:hAnsi="Times New Roman" w:eastAsia="仿宋_GB2312" w:cs="仿宋_GB2312"/>
          <w:sz w:val="32"/>
          <w:szCs w:val="32"/>
        </w:rPr>
        <w:t>年部门收入预算表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w:t>
      </w:r>
      <w:r>
        <w:rPr>
          <w:rFonts w:ascii="仿宋_GB2312" w:hAnsi="Times New Roman" w:eastAsia="仿宋_GB2312" w:cs="仿宋_GB2312"/>
          <w:sz w:val="32"/>
          <w:szCs w:val="32"/>
        </w:rPr>
        <w:t>2024</w:t>
      </w:r>
      <w:r>
        <w:rPr>
          <w:rFonts w:hint="eastAsia" w:ascii="仿宋_GB2312" w:hAnsi="Times New Roman" w:eastAsia="仿宋_GB2312" w:cs="仿宋_GB2312"/>
          <w:sz w:val="32"/>
          <w:szCs w:val="32"/>
        </w:rPr>
        <w:t>年部门支出预算表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w:t>
      </w:r>
      <w:r>
        <w:rPr>
          <w:rFonts w:ascii="仿宋_GB2312" w:hAnsi="Times New Roman" w:eastAsia="仿宋_GB2312" w:cs="仿宋_GB2312"/>
          <w:sz w:val="32"/>
          <w:szCs w:val="32"/>
        </w:rPr>
        <w:t>2024</w:t>
      </w:r>
      <w:r>
        <w:rPr>
          <w:rFonts w:hint="eastAsia" w:ascii="仿宋_GB2312" w:hAnsi="Times New Roman" w:eastAsia="仿宋_GB2312" w:cs="仿宋_GB2312"/>
          <w:sz w:val="32"/>
          <w:szCs w:val="32"/>
        </w:rPr>
        <w:t>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w:t>
      </w:r>
      <w:r>
        <w:rPr>
          <w:rFonts w:ascii="仿宋_GB2312" w:hAnsi="Times New Roman" w:eastAsia="仿宋_GB2312" w:cs="仿宋_GB2312"/>
          <w:sz w:val="32"/>
          <w:szCs w:val="32"/>
        </w:rPr>
        <w:t>2024</w:t>
      </w:r>
      <w:r>
        <w:rPr>
          <w:rFonts w:hint="eastAsia" w:ascii="仿宋_GB2312" w:hAnsi="Times New Roman" w:eastAsia="仿宋_GB2312" w:cs="仿宋_GB2312"/>
          <w:sz w:val="32"/>
          <w:szCs w:val="32"/>
        </w:rPr>
        <w:t>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ascii="仿宋_GB2312" w:hAnsi="Times New Roman" w:eastAsia="仿宋_GB2312" w:cs="仿宋_GB2312"/>
          <w:sz w:val="32"/>
          <w:szCs w:val="32"/>
        </w:rPr>
        <w:t>2024</w:t>
      </w:r>
      <w:r>
        <w:rPr>
          <w:rFonts w:hint="eastAsia" w:ascii="仿宋_GB2312" w:hAnsi="Times New Roman" w:eastAsia="仿宋_GB2312" w:cs="仿宋_GB2312"/>
          <w:sz w:val="32"/>
          <w:szCs w:val="32"/>
        </w:rPr>
        <w:t>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ascii="仿宋_GB2312" w:eastAsia="仿宋_GB2312"/>
          <w:sz w:val="32"/>
          <w:szCs w:val="32"/>
        </w:rPr>
        <w:t>2024</w:t>
      </w:r>
      <w:r>
        <w:rPr>
          <w:rFonts w:hint="eastAsia" w:ascii="仿宋_GB2312" w:eastAsia="仿宋_GB2312"/>
          <w:sz w:val="32"/>
          <w:szCs w:val="32"/>
        </w:rPr>
        <w:t>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w:t>
      </w:r>
      <w:r>
        <w:rPr>
          <w:rFonts w:ascii="仿宋_GB2312" w:eastAsia="仿宋_GB2312"/>
          <w:sz w:val="32"/>
          <w:szCs w:val="32"/>
        </w:rPr>
        <w:t>2024</w:t>
      </w:r>
      <w:r>
        <w:rPr>
          <w:rFonts w:hint="eastAsia" w:ascii="仿宋_GB2312" w:eastAsia="仿宋_GB2312"/>
          <w:sz w:val="32"/>
          <w:szCs w:val="32"/>
        </w:rPr>
        <w:t>年政府性基金支出预算表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十一</w:t>
      </w:r>
      <w:r>
        <w:rPr>
          <w:rFonts w:hint="eastAsia" w:ascii="仿宋_GB2312" w:hAnsi="Times New Roman" w:eastAsia="仿宋_GB2312" w:cs="仿宋_GB2312"/>
          <w:sz w:val="32"/>
          <w:szCs w:val="32"/>
        </w:rPr>
        <w:t>、</w:t>
      </w:r>
      <w:r>
        <w:rPr>
          <w:rFonts w:hint="eastAsia" w:ascii="仿宋_GB2312" w:eastAsia="仿宋_GB2312"/>
          <w:sz w:val="32"/>
          <w:szCs w:val="32"/>
        </w:rPr>
        <w:t>部门整体绩效目标表</w:t>
      </w:r>
    </w:p>
    <w:p>
      <w:pPr>
        <w:kinsoku w:val="0"/>
        <w:overflowPunct w:val="0"/>
        <w:adjustRightInd w:val="0"/>
        <w:snapToGrid w:val="0"/>
        <w:spacing w:line="360" w:lineRule="auto"/>
        <w:ind w:right="51" w:firstLine="640" w:firstLineChars="200"/>
        <w:jc w:val="left"/>
        <w:rPr>
          <w:rFonts w:ascii="仿宋_GB2312" w:eastAsia="仿宋_GB2312"/>
          <w:sz w:val="32"/>
          <w:szCs w:val="32"/>
          <w:highlight w:val="red"/>
        </w:rPr>
      </w:pPr>
      <w:r>
        <w:rPr>
          <w:rFonts w:hint="eastAsia" w:ascii="仿宋_GB2312" w:eastAsia="仿宋_GB2312"/>
          <w:sz w:val="32"/>
          <w:szCs w:val="32"/>
        </w:rPr>
        <w:t>十二</w:t>
      </w:r>
      <w:r>
        <w:rPr>
          <w:rFonts w:hint="eastAsia" w:ascii="仿宋_GB2312" w:hAnsi="Times New Roman" w:eastAsia="仿宋_GB2312" w:cs="仿宋_GB2312"/>
          <w:sz w:val="32"/>
          <w:szCs w:val="32"/>
        </w:rPr>
        <w:t>、</w:t>
      </w:r>
      <w:r>
        <w:rPr>
          <w:rFonts w:ascii="仿宋_GB2312" w:eastAsia="仿宋_GB2312"/>
          <w:sz w:val="32"/>
          <w:szCs w:val="32"/>
        </w:rPr>
        <w:t>2024</w:t>
      </w:r>
      <w:r>
        <w:rPr>
          <w:rFonts w:hint="eastAsia" w:ascii="仿宋_GB2312" w:eastAsia="仿宋_GB2312"/>
          <w:sz w:val="32"/>
          <w:szCs w:val="32"/>
        </w:rPr>
        <w:t>年部门预算项目绩效目标汇总表</w:t>
      </w:r>
    </w:p>
    <w:p>
      <w:pPr>
        <w:adjustRightInd w:val="0"/>
        <w:snapToGrid w:val="0"/>
        <w:spacing w:line="360" w:lineRule="auto"/>
        <w:ind w:firstLine="1120" w:firstLineChars="350"/>
        <w:rPr>
          <w:rFonts w:ascii="黑体" w:hAnsi="黑体" w:eastAsia="黑体"/>
          <w:sz w:val="32"/>
          <w:szCs w:val="32"/>
        </w:rPr>
      </w:pPr>
      <w:r>
        <w:rPr>
          <w:rFonts w:ascii="黑体" w:hAnsi="黑体" w:eastAsia="黑体"/>
          <w:sz w:val="32"/>
          <w:szCs w:val="32"/>
        </w:rPr>
        <w:t xml:space="preserve"> </w:t>
      </w: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新乡市卫滨区健康路街道办事处概况</w:t>
      </w:r>
    </w:p>
    <w:p>
      <w:pPr>
        <w:adjustRightInd w:val="0"/>
        <w:snapToGrid w:val="0"/>
        <w:spacing w:line="360" w:lineRule="auto"/>
        <w:jc w:val="center"/>
        <w:rPr>
          <w:rFonts w:ascii="黑体" w:hAnsi="黑体" w:eastAsia="黑体"/>
          <w:sz w:val="32"/>
          <w:szCs w:val="32"/>
        </w:rPr>
      </w:pPr>
    </w:p>
    <w:p>
      <w:pPr>
        <w:numPr>
          <w:ilvl w:val="0"/>
          <w:numId w:val="2"/>
        </w:numPr>
        <w:adjustRightInd w:val="0"/>
        <w:snapToGrid w:val="0"/>
        <w:spacing w:line="360" w:lineRule="auto"/>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卫滨区健康路街道办事处</w:t>
      </w:r>
      <w:r>
        <w:rPr>
          <w:rFonts w:hint="eastAsia" w:ascii="黑体" w:hAnsi="黑体" w:eastAsia="黑体"/>
          <w:sz w:val="32"/>
          <w:szCs w:val="32"/>
        </w:rPr>
        <w:t>主要职责</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新乡市卫滨区健康路街道办事处是新乡市卫滨区人民政府的派出机构，主要任务是贯彻落实党和国家的方针政策，负责指导居民委员会建设和社区建设及辖区城市管理，发展街道经济和社会服务事业。</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（一）贯彻执行党的路线、方针、政策和国家的法律、法规，认真执行上级组织和政府的决议、决定、命令，并检查督促落实。</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履行全面从严治党主体责任，负责辖区党的基层组织建设、廉政建设以及党员教育工作，把制度建设贯穿其中；负责思想政治、意识形态、精神文明、统一战线、民族宗教等工作；统筹协调辖区单位和组织，团结、组织党内外干部和群众，抓好决策部署的组织实施和督促落实。</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开展社区服务、拥军优属工作，负责社区优抚、社会救济、社会福利工作，兴办社会福利及残疾人福利事业，负责社区文化、科普、卫生健康、教育体育等工作；维护老年人、妇女、未成年人和残疾人等合法权益。</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（四）按照职责权限做好城市规划、建设、改造和管理工作；按照权限承担辖区市容环境卫生、绿化美化等管理工作。</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（五）负责辖区内的社会治安治理、平安建设、人民调解、法律服务等工作，依照有关规定管理外来流动人员。</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（六）配合有关部门做好安全生产、食品安全、环境保护、劳动保障、应急、防汛、防震、抢险和防灾减灾工作。</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研究提出促进区域经济发展的有关措施，制定经济发展规划、为企业和个人私营经济提供服务、做好税源培植、组织管理辖区第二、三产业和公共资产管理等工作，因地制宜发展特色经济，营造良好发展环境。</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服务指导社区居民委员会建设，制定社区居民委员会服务发展规划，培育、发展社区社会组织；推动居民自治，及时处理并向区政府反映居民的意见和要求，办理人民群众的来信来访等事项；组织辖区单位、居民和志愿者队伍为社区发展服务。</w:t>
      </w:r>
    </w:p>
    <w:p>
      <w:pPr>
        <w:pStyle w:val="10"/>
        <w:spacing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（九）完成区委、区政府交办的其他工作。</w:t>
      </w:r>
    </w:p>
    <w:p>
      <w:pPr>
        <w:pStyle w:val="10"/>
        <w:spacing w:line="360" w:lineRule="auto"/>
        <w:ind w:firstLine="640" w:firstLineChars="200"/>
        <w:jc w:val="both"/>
        <w:rPr>
          <w:rFonts w:ascii="黑体" w:hAnsi="黑体" w:eastAsia="黑体" w:cs="黑体"/>
          <w:sz w:val="32"/>
          <w:szCs w:val="32"/>
          <w:highlight w:val="red"/>
        </w:rPr>
      </w:pPr>
      <w:r>
        <w:rPr>
          <w:rFonts w:ascii="仿宋_GB2312" w:hAnsi="宋体" w:eastAsia="仿宋_GB2312" w:cs="Courier New"/>
          <w:sz w:val="32"/>
          <w:szCs w:val="32"/>
        </w:rPr>
        <w:t xml:space="preserve"> </w:t>
      </w: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健康路街道办事处</w:t>
      </w:r>
      <w:r>
        <w:rPr>
          <w:rFonts w:hint="eastAsia" w:ascii="黑体" w:hAnsi="黑体" w:eastAsia="黑体"/>
          <w:sz w:val="32"/>
          <w:szCs w:val="32"/>
        </w:rPr>
        <w:t>构成</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卫滨区健康路街道办事处</w:t>
      </w: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年度部门预算包括局本级预算和二级机构预算。</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卫滨区健康路街道办事处设下列内设机构：党政办公室、党建工作办公室、营商环境建设办公室、社会事务办公室、生态环境和规划建设办公室。</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w:t>
      </w: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年度部门预算编制范围的单位共</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个，其中二级机构</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个，具体是：</w:t>
      </w:r>
    </w:p>
    <w:p>
      <w:pPr>
        <w:numPr>
          <w:ilvl w:val="0"/>
          <w:numId w:val="3"/>
        </w:numPr>
        <w:spacing w:line="360" w:lineRule="auto"/>
        <w:ind w:left="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新乡市卫滨区健康路街道办事处</w:t>
      </w:r>
    </w:p>
    <w:p>
      <w:pPr>
        <w:numPr>
          <w:ilvl w:val="0"/>
          <w:numId w:val="3"/>
        </w:numPr>
        <w:spacing w:line="360" w:lineRule="auto"/>
        <w:ind w:left="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新乡市卫滨区健康路街道便民服务中心（未独立核算）</w:t>
      </w:r>
    </w:p>
    <w:p>
      <w:pPr>
        <w:numPr>
          <w:ilvl w:val="0"/>
          <w:numId w:val="3"/>
        </w:numPr>
        <w:spacing w:line="360" w:lineRule="auto"/>
        <w:ind w:left="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新乡市卫滨区健康路街道</w:t>
      </w:r>
      <w:r>
        <w:rPr>
          <w:rFonts w:hint="eastAsia" w:ascii="Times New Roman" w:hAnsi="仿宋_GB2312" w:eastAsia="仿宋_GB2312"/>
          <w:sz w:val="32"/>
          <w:szCs w:val="32"/>
        </w:rPr>
        <w:t>社会治安综合治理中心</w:t>
      </w:r>
      <w:r>
        <w:rPr>
          <w:rFonts w:hint="eastAsia" w:ascii="仿宋_GB2312" w:hAnsi="仿宋_GB2312" w:eastAsia="仿宋_GB2312" w:cs="仿宋_GB2312"/>
          <w:kern w:val="0"/>
          <w:sz w:val="32"/>
          <w:szCs w:val="32"/>
        </w:rPr>
        <w:t>（未独立核算）</w:t>
      </w:r>
    </w:p>
    <w:p>
      <w:pPr>
        <w:numPr>
          <w:ilvl w:val="0"/>
          <w:numId w:val="3"/>
        </w:numPr>
        <w:spacing w:line="360" w:lineRule="auto"/>
        <w:ind w:left="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新乡市卫滨区健康路街道</w:t>
      </w:r>
      <w:r>
        <w:rPr>
          <w:rFonts w:hint="eastAsia" w:ascii="Times New Roman" w:hAnsi="仿宋_GB2312" w:eastAsia="仿宋_GB2312"/>
          <w:sz w:val="32"/>
          <w:szCs w:val="32"/>
        </w:rPr>
        <w:t>文化卫生健康服务中心</w:t>
      </w:r>
      <w:r>
        <w:rPr>
          <w:rFonts w:hint="eastAsia" w:ascii="仿宋_GB2312" w:hAnsi="仿宋_GB2312" w:eastAsia="仿宋_GB2312" w:cs="仿宋_GB2312"/>
          <w:kern w:val="0"/>
          <w:sz w:val="32"/>
          <w:szCs w:val="32"/>
        </w:rPr>
        <w:t>（未独立核算）</w:t>
      </w:r>
    </w:p>
    <w:p>
      <w:pPr>
        <w:numPr>
          <w:ilvl w:val="0"/>
          <w:numId w:val="3"/>
        </w:numPr>
        <w:spacing w:line="360" w:lineRule="auto"/>
        <w:ind w:left="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新乡市卫滨区健康路街道</w:t>
      </w:r>
      <w:r>
        <w:rPr>
          <w:rFonts w:hint="eastAsia" w:ascii="Times New Roman" w:hAnsi="仿宋_GB2312" w:eastAsia="仿宋_GB2312"/>
          <w:sz w:val="32"/>
          <w:szCs w:val="32"/>
        </w:rPr>
        <w:t>综合行政执法大队</w:t>
      </w:r>
      <w:r>
        <w:rPr>
          <w:rFonts w:hint="eastAsia" w:ascii="仿宋_GB2312" w:hAnsi="仿宋_GB2312" w:eastAsia="仿宋_GB2312" w:cs="仿宋_GB2312"/>
          <w:kern w:val="0"/>
          <w:sz w:val="32"/>
          <w:szCs w:val="32"/>
        </w:rPr>
        <w:t>（未独立核算）</w:t>
      </w:r>
    </w:p>
    <w:p>
      <w:pPr>
        <w:numPr>
          <w:ilvl w:val="0"/>
          <w:numId w:val="3"/>
        </w:numPr>
        <w:spacing w:line="360" w:lineRule="auto"/>
        <w:ind w:left="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新乡市卫滨区健康路街道</w:t>
      </w:r>
      <w:r>
        <w:rPr>
          <w:rFonts w:hint="eastAsia" w:ascii="Times New Roman" w:hAnsi="仿宋_GB2312" w:eastAsia="仿宋_GB2312"/>
          <w:sz w:val="32"/>
          <w:szCs w:val="32"/>
        </w:rPr>
        <w:t>退役军人服务站</w:t>
      </w:r>
      <w:r>
        <w:rPr>
          <w:rFonts w:hint="eastAsia" w:ascii="仿宋_GB2312" w:hAnsi="仿宋_GB2312" w:eastAsia="仿宋_GB2312" w:cs="仿宋_GB2312"/>
          <w:kern w:val="0"/>
          <w:sz w:val="32"/>
          <w:szCs w:val="32"/>
        </w:rPr>
        <w:t>（未独立核算）</w:t>
      </w: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新乡市卫滨区健康路街道办事处</w:t>
      </w:r>
      <w:r>
        <w:rPr>
          <w:rFonts w:ascii="方正小标宋简体" w:hAnsi="方正小标宋简体" w:eastAsia="方正小标宋简体" w:cs="方正小标宋简体"/>
          <w:spacing w:val="-119"/>
          <w:sz w:val="36"/>
          <w:szCs w:val="36"/>
        </w:rPr>
        <w:t xml:space="preserve"> </w:t>
      </w:r>
      <w:r>
        <w:rPr>
          <w:rFonts w:ascii="方正小标宋简体" w:hAnsi="方正小标宋简体" w:eastAsia="方正小标宋简体" w:cs="方正小标宋简体"/>
          <w:sz w:val="36"/>
          <w:szCs w:val="36"/>
        </w:rPr>
        <w:t>2024</w:t>
      </w:r>
      <w:r>
        <w:rPr>
          <w:rFonts w:hint="eastAsia" w:ascii="方正小标宋简体" w:hAnsi="方正小标宋简体" w:eastAsia="方正小标宋简体" w:cs="方正小标宋简体"/>
          <w:sz w:val="36"/>
          <w:szCs w:val="36"/>
        </w:rPr>
        <w:t>年度</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预算情况说明</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卫滨区健康路街道办事处</w:t>
      </w:r>
      <w:r>
        <w:rPr>
          <w:rFonts w:ascii="Times New Roman" w:hAnsi="Times New Roman" w:eastAsia="仿宋_GB2312"/>
          <w:sz w:val="32"/>
          <w:szCs w:val="32"/>
        </w:rPr>
        <w:t>2024</w:t>
      </w:r>
      <w:r>
        <w:rPr>
          <w:rFonts w:hint="eastAsia" w:ascii="仿宋_GB2312" w:hAnsi="仿宋_GB2312" w:eastAsia="仿宋_GB2312" w:cs="仿宋_GB2312"/>
          <w:sz w:val="32"/>
          <w:szCs w:val="32"/>
        </w:rPr>
        <w:t>年收入总计</w:t>
      </w:r>
      <w:r>
        <w:rPr>
          <w:rFonts w:ascii="Times New Roman" w:hAnsi="Times New Roman" w:eastAsia="仿宋_GB2312"/>
          <w:sz w:val="32"/>
          <w:szCs w:val="32"/>
        </w:rPr>
        <w:t>898.88</w:t>
      </w:r>
      <w:r>
        <w:rPr>
          <w:rFonts w:hint="eastAsia" w:ascii="仿宋_GB2312" w:hAnsi="仿宋_GB2312" w:eastAsia="仿宋_GB2312" w:cs="仿宋_GB2312"/>
          <w:sz w:val="32"/>
          <w:szCs w:val="32"/>
        </w:rPr>
        <w:t>万元，支出总计</w:t>
      </w:r>
      <w:r>
        <w:rPr>
          <w:rFonts w:ascii="Times New Roman" w:hAnsi="Times New Roman" w:eastAsia="仿宋_GB2312"/>
          <w:sz w:val="32"/>
          <w:szCs w:val="32"/>
        </w:rPr>
        <w:t>898.88</w:t>
      </w:r>
      <w:r>
        <w:rPr>
          <w:rFonts w:hint="eastAsia" w:ascii="仿宋_GB2312" w:hAnsi="仿宋_GB2312" w:eastAsia="仿宋_GB2312" w:cs="仿宋_GB2312"/>
          <w:sz w:val="32"/>
          <w:szCs w:val="32"/>
        </w:rPr>
        <w:t>万元，与</w:t>
      </w:r>
      <w:r>
        <w:rPr>
          <w:rFonts w:ascii="Times New Roman" w:hAnsi="Times New Roman" w:eastAsia="仿宋_GB2312"/>
          <w:sz w:val="32"/>
          <w:szCs w:val="32"/>
        </w:rPr>
        <w:t>2023</w:t>
      </w:r>
      <w:r>
        <w:rPr>
          <w:rFonts w:hint="eastAsia" w:ascii="仿宋_GB2312" w:hAnsi="仿宋_GB2312" w:eastAsia="仿宋_GB2312" w:cs="仿宋_GB2312"/>
          <w:sz w:val="32"/>
          <w:szCs w:val="32"/>
        </w:rPr>
        <w:t>年预算相比，收入增加</w:t>
      </w:r>
      <w:r>
        <w:rPr>
          <w:rFonts w:ascii="Times New Roman" w:hAnsi="Times New Roman" w:eastAsia="仿宋_GB2312"/>
          <w:sz w:val="32"/>
          <w:szCs w:val="32"/>
        </w:rPr>
        <w:t>427.87</w:t>
      </w:r>
      <w:r>
        <w:rPr>
          <w:rFonts w:hint="eastAsia" w:ascii="仿宋_GB2312" w:hAnsi="仿宋_GB2312" w:eastAsia="仿宋_GB2312" w:cs="仿宋_GB2312"/>
          <w:sz w:val="32"/>
          <w:szCs w:val="32"/>
        </w:rPr>
        <w:t>万元，增长</w:t>
      </w:r>
      <w:r>
        <w:rPr>
          <w:rFonts w:ascii="Times New Roman" w:hAnsi="Times New Roman" w:eastAsia="仿宋_GB2312"/>
          <w:sz w:val="32"/>
          <w:szCs w:val="32"/>
        </w:rPr>
        <w:t>90.84%</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主要原因是以前年度结转老旧小区改造资金较多</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支出增加</w:t>
      </w:r>
      <w:r>
        <w:rPr>
          <w:rFonts w:ascii="Times New Roman" w:hAnsi="Times New Roman" w:eastAsia="仿宋_GB2312"/>
          <w:sz w:val="32"/>
          <w:szCs w:val="32"/>
        </w:rPr>
        <w:t>427.87</w:t>
      </w:r>
      <w:r>
        <w:rPr>
          <w:rFonts w:hint="eastAsia" w:ascii="仿宋_GB2312" w:hAnsi="仿宋_GB2312" w:eastAsia="仿宋_GB2312" w:cs="仿宋_GB2312"/>
          <w:sz w:val="32"/>
          <w:szCs w:val="32"/>
        </w:rPr>
        <w:t>万元，增长</w:t>
      </w:r>
      <w:r>
        <w:rPr>
          <w:rFonts w:ascii="Times New Roman" w:hAnsi="Times New Roman" w:eastAsia="仿宋_GB2312"/>
          <w:sz w:val="32"/>
          <w:szCs w:val="32"/>
        </w:rPr>
        <w:t>90.84%</w:t>
      </w:r>
      <w:r>
        <w:rPr>
          <w:rFonts w:hint="eastAsia" w:ascii="仿宋_GB2312" w:hAnsi="仿宋_GB2312" w:eastAsia="仿宋_GB2312" w:cs="仿宋_GB2312"/>
          <w:sz w:val="32"/>
          <w:szCs w:val="32"/>
        </w:rPr>
        <w:t>。主要原因是以前年度结转老旧小区改造资金较多</w:t>
      </w:r>
      <w:r>
        <w:rPr>
          <w:rFonts w:hint="eastAsia" w:ascii="仿宋_GB2312" w:hAnsi="宋体" w:eastAsia="仿宋_GB2312" w:cs="Courier New"/>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卫滨区健康路街道办事处</w:t>
      </w:r>
      <w:r>
        <w:rPr>
          <w:rFonts w:ascii="Times New Roman" w:hAnsi="Times New Roman" w:eastAsia="仿宋_GB2312"/>
          <w:sz w:val="32"/>
          <w:szCs w:val="32"/>
        </w:rPr>
        <w:t>2024</w:t>
      </w:r>
      <w:r>
        <w:rPr>
          <w:rFonts w:hint="eastAsia" w:ascii="仿宋_GB2312" w:hAnsi="仿宋_GB2312" w:eastAsia="仿宋_GB2312" w:cs="仿宋_GB2312"/>
          <w:sz w:val="32"/>
          <w:szCs w:val="32"/>
        </w:rPr>
        <w:t>年收入预算合计</w:t>
      </w:r>
      <w:r>
        <w:rPr>
          <w:rFonts w:ascii="Times New Roman" w:hAnsi="Times New Roman" w:eastAsia="仿宋_GB2312"/>
          <w:sz w:val="32"/>
          <w:szCs w:val="32"/>
        </w:rPr>
        <w:t>898.88</w:t>
      </w:r>
      <w:r>
        <w:rPr>
          <w:rFonts w:hint="eastAsia" w:ascii="仿宋_GB2312" w:hAnsi="仿宋_GB2312" w:eastAsia="仿宋_GB2312" w:cs="仿宋_GB2312"/>
          <w:sz w:val="32"/>
          <w:szCs w:val="32"/>
        </w:rPr>
        <w:t>万元，收入预算总计增加</w:t>
      </w:r>
      <w:r>
        <w:rPr>
          <w:rFonts w:ascii="Times New Roman" w:hAnsi="Times New Roman" w:eastAsia="仿宋_GB2312"/>
          <w:sz w:val="32"/>
          <w:szCs w:val="32"/>
        </w:rPr>
        <w:t>427.87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ascii="Times New Roman" w:hAnsi="Times New Roman" w:eastAsia="仿宋_GB2312"/>
          <w:sz w:val="32"/>
          <w:szCs w:val="32"/>
        </w:rPr>
        <w:t>90.84 %</w:t>
      </w:r>
      <w:r>
        <w:rPr>
          <w:rFonts w:hint="eastAsia" w:ascii="仿宋_GB2312" w:hAnsi="仿宋_GB2312" w:eastAsia="仿宋_GB2312" w:cs="仿宋_GB2312"/>
          <w:sz w:val="32"/>
          <w:szCs w:val="32"/>
        </w:rPr>
        <w:t>，原因为以前年度结转老旧小区改造资金较多。其中：一般公共预算</w:t>
      </w:r>
      <w:r>
        <w:rPr>
          <w:rFonts w:ascii="Times New Roman" w:hAnsi="Times New Roman" w:eastAsia="仿宋_GB2312"/>
          <w:sz w:val="32"/>
          <w:szCs w:val="32"/>
        </w:rPr>
        <w:t>481.26</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政府性基金收入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ascii="Times New Roman" w:hAnsi="Times New Roman" w:eastAsia="仿宋_GB2312"/>
          <w:sz w:val="32"/>
          <w:szCs w:val="32"/>
        </w:rPr>
        <w:t>417.62</w:t>
      </w:r>
      <w:r>
        <w:rPr>
          <w:rFonts w:hint="eastAsia" w:ascii="仿宋_GB2312" w:hAnsi="仿宋_GB2312" w:eastAsia="仿宋_GB2312" w:cs="仿宋_GB2312"/>
          <w:sz w:val="32"/>
          <w:szCs w:val="32"/>
        </w:rPr>
        <w:t>万元；上年结转结余中政府性基金</w:t>
      </w:r>
      <w:r>
        <w:rPr>
          <w:rFonts w:ascii="Times New Roman" w:hAnsi="Times New Roman" w:eastAsia="仿宋_GB2312"/>
          <w:sz w:val="32"/>
          <w:szCs w:val="32"/>
        </w:rPr>
        <w:t>0</w:t>
      </w:r>
      <w:r>
        <w:rPr>
          <w:rFonts w:hint="eastAsia" w:ascii="仿宋_GB2312" w:hAnsi="仿宋_GB2312" w:eastAsia="仿宋_GB2312" w:cs="仿宋_GB2312"/>
          <w:sz w:val="32"/>
          <w:szCs w:val="32"/>
        </w:rPr>
        <w:t>万元；上年结转结余中国有资本经营预算</w:t>
      </w:r>
      <w:r>
        <w:rPr>
          <w:rFonts w:ascii="Times New Roman" w:hAnsi="Times New Roman" w:eastAsia="仿宋_GB2312"/>
          <w:sz w:val="32"/>
          <w:szCs w:val="32"/>
        </w:rPr>
        <w:t>0</w:t>
      </w:r>
      <w:r>
        <w:rPr>
          <w:rFonts w:hint="eastAsia" w:ascii="仿宋_GB2312" w:hAnsi="仿宋_GB2312" w:eastAsia="仿宋_GB2312" w:cs="仿宋_GB2312"/>
          <w:sz w:val="32"/>
          <w:szCs w:val="32"/>
        </w:rPr>
        <w:t>万元；上年结转结余中财政专户管理资金</w:t>
      </w:r>
      <w:r>
        <w:rPr>
          <w:rFonts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ascii="仿宋_GB2312" w:hAnsi="仿宋_GB2312" w:eastAsia="仿宋_GB2312" w:cs="仿宋_GB2312"/>
          <w:sz w:val="32"/>
          <w:szCs w:val="32"/>
          <w:highlight w:val="red"/>
        </w:rPr>
      </w:pPr>
      <w:r>
        <w:rPr>
          <w:rFonts w:hint="eastAsia" w:ascii="仿宋_GB2312" w:eastAsia="仿宋_GB2312"/>
          <w:sz w:val="32"/>
          <w:szCs w:val="32"/>
        </w:rPr>
        <w:t>卫滨区健康路街道办事处</w:t>
      </w:r>
      <w:r>
        <w:rPr>
          <w:rFonts w:ascii="Times New Roman" w:hAnsi="Times New Roman" w:eastAsia="仿宋_GB2312"/>
          <w:sz w:val="32"/>
          <w:szCs w:val="32"/>
        </w:rPr>
        <w:t>2024</w:t>
      </w:r>
      <w:r>
        <w:rPr>
          <w:rFonts w:hint="eastAsia" w:ascii="仿宋_GB2312" w:hAnsi="仿宋_GB2312" w:eastAsia="仿宋_GB2312" w:cs="仿宋_GB2312"/>
          <w:sz w:val="32"/>
          <w:szCs w:val="32"/>
        </w:rPr>
        <w:t>年支出预算合计</w:t>
      </w:r>
      <w:r>
        <w:rPr>
          <w:rFonts w:ascii="Times New Roman" w:hAnsi="Times New Roman" w:eastAsia="仿宋_GB2312"/>
          <w:sz w:val="32"/>
          <w:szCs w:val="32"/>
        </w:rPr>
        <w:t>898.88</w:t>
      </w:r>
      <w:r>
        <w:rPr>
          <w:rFonts w:hint="eastAsia" w:ascii="仿宋_GB2312" w:hAnsi="仿宋_GB2312" w:eastAsia="仿宋_GB2312" w:cs="仿宋_GB2312"/>
          <w:sz w:val="32"/>
          <w:szCs w:val="32"/>
        </w:rPr>
        <w:t>万元，其中：基本支出</w:t>
      </w:r>
      <w:r>
        <w:rPr>
          <w:rFonts w:ascii="Times New Roman" w:hAnsi="Times New Roman" w:eastAsia="仿宋_GB2312"/>
          <w:sz w:val="32"/>
          <w:szCs w:val="32"/>
        </w:rPr>
        <w:t>278.76</w:t>
      </w:r>
      <w:r>
        <w:rPr>
          <w:rFonts w:hint="eastAsia" w:ascii="仿宋_GB2312" w:hAnsi="仿宋_GB2312" w:eastAsia="仿宋_GB2312" w:cs="仿宋_GB2312"/>
          <w:sz w:val="32"/>
          <w:szCs w:val="32"/>
        </w:rPr>
        <w:t>万元，占</w:t>
      </w:r>
      <w:r>
        <w:rPr>
          <w:rFonts w:ascii="Times New Roman" w:hAnsi="Times New Roman" w:eastAsia="仿宋_GB2312"/>
          <w:sz w:val="32"/>
          <w:szCs w:val="32"/>
        </w:rPr>
        <w:t>31.01%</w:t>
      </w:r>
      <w:r>
        <w:rPr>
          <w:rFonts w:hint="eastAsia" w:ascii="仿宋_GB2312" w:hAnsi="仿宋_GB2312" w:eastAsia="仿宋_GB2312" w:cs="仿宋_GB2312"/>
          <w:sz w:val="32"/>
          <w:szCs w:val="32"/>
        </w:rPr>
        <w:t>；项目支出</w:t>
      </w:r>
      <w:r>
        <w:rPr>
          <w:rFonts w:ascii="Times New Roman" w:hAnsi="Times New Roman" w:eastAsia="仿宋_GB2312"/>
          <w:sz w:val="32"/>
          <w:szCs w:val="32"/>
        </w:rPr>
        <w:t>620.12</w:t>
      </w:r>
      <w:r>
        <w:rPr>
          <w:rFonts w:hint="eastAsia" w:ascii="仿宋_GB2312" w:hAnsi="仿宋_GB2312" w:eastAsia="仿宋_GB2312" w:cs="仿宋_GB2312"/>
          <w:sz w:val="32"/>
          <w:szCs w:val="32"/>
        </w:rPr>
        <w:t>万元，占</w:t>
      </w:r>
      <w:r>
        <w:rPr>
          <w:rFonts w:ascii="Times New Roman" w:hAnsi="Times New Roman" w:eastAsia="仿宋_GB2312"/>
          <w:sz w:val="32"/>
          <w:szCs w:val="32"/>
        </w:rPr>
        <w:t>68.99%</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ascii="仿宋_GB2312" w:hAnsi="仿宋_GB2312" w:eastAsia="仿宋_GB2312" w:cs="仿宋_GB2312"/>
          <w:sz w:val="32"/>
          <w:szCs w:val="32"/>
          <w:highlight w:val="yellow"/>
        </w:rPr>
      </w:pPr>
      <w:r>
        <w:rPr>
          <w:rFonts w:hint="eastAsia" w:ascii="仿宋_GB2312" w:eastAsia="仿宋_GB2312"/>
          <w:sz w:val="32"/>
          <w:szCs w:val="32"/>
        </w:rPr>
        <w:t>卫滨区健康路街道办事处</w:t>
      </w:r>
      <w:r>
        <w:rPr>
          <w:rFonts w:ascii="Times New Roman" w:hAnsi="Times New Roman" w:eastAsia="仿宋_GB2312"/>
          <w:sz w:val="32"/>
          <w:szCs w:val="32"/>
        </w:rPr>
        <w:t>2024</w:t>
      </w:r>
      <w:r>
        <w:rPr>
          <w:rFonts w:hint="eastAsia" w:ascii="仿宋_GB2312" w:hAnsi="仿宋_GB2312" w:eastAsia="仿宋_GB2312" w:cs="仿宋_GB2312"/>
          <w:sz w:val="32"/>
          <w:szCs w:val="32"/>
        </w:rPr>
        <w:t>年一般公共财政预算拨款收支预算</w:t>
      </w:r>
      <w:r>
        <w:rPr>
          <w:rFonts w:ascii="Times New Roman" w:hAnsi="Times New Roman" w:eastAsia="仿宋_GB2312"/>
          <w:sz w:val="32"/>
          <w:szCs w:val="32"/>
        </w:rPr>
        <w:t>878.88</w:t>
      </w:r>
      <w:r>
        <w:rPr>
          <w:rFonts w:hint="eastAsia" w:ascii="仿宋_GB2312" w:hAnsi="仿宋_GB2312" w:eastAsia="仿宋_GB2312" w:cs="仿宋_GB2312"/>
          <w:sz w:val="32"/>
          <w:szCs w:val="32"/>
        </w:rPr>
        <w:t>万元，政府性基金收支预算</w:t>
      </w:r>
      <w:r>
        <w:rPr>
          <w:rFonts w:ascii="Times New Roman" w:hAnsi="Times New Roman" w:eastAsia="仿宋_GB2312"/>
          <w:sz w:val="32"/>
          <w:szCs w:val="32"/>
        </w:rPr>
        <w:t>0</w:t>
      </w:r>
      <w:r>
        <w:rPr>
          <w:rFonts w:hint="eastAsia" w:ascii="仿宋_GB2312" w:hAnsi="仿宋_GB2312" w:eastAsia="仿宋_GB2312" w:cs="仿宋_GB2312"/>
          <w:sz w:val="32"/>
          <w:szCs w:val="32"/>
        </w:rPr>
        <w:t>万元，国有资本经营预算拨款</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万元。与</w:t>
      </w:r>
      <w:r>
        <w:rPr>
          <w:rFonts w:ascii="仿宋_GB2312" w:hAnsi="仿宋_GB2312" w:eastAsia="仿宋_GB2312" w:cs="仿宋_GB2312"/>
          <w:sz w:val="32"/>
          <w:szCs w:val="32"/>
        </w:rPr>
        <w:t xml:space="preserve"> 2023</w:t>
      </w:r>
      <w:r>
        <w:rPr>
          <w:rFonts w:hint="eastAsia" w:ascii="仿宋_GB2312" w:hAnsi="仿宋_GB2312" w:eastAsia="仿宋_GB2312" w:cs="仿宋_GB2312"/>
          <w:sz w:val="32"/>
          <w:szCs w:val="32"/>
        </w:rPr>
        <w:t>年相比，一般公共预算收支预算增加</w:t>
      </w:r>
      <w:r>
        <w:rPr>
          <w:rFonts w:ascii="Times New Roman" w:hAnsi="Times New Roman" w:eastAsia="仿宋_GB2312"/>
          <w:sz w:val="32"/>
          <w:szCs w:val="32"/>
        </w:rPr>
        <w:t>407.87</w:t>
      </w:r>
      <w:r>
        <w:rPr>
          <w:rFonts w:hint="eastAsia" w:ascii="仿宋_GB2312" w:hAnsi="仿宋_GB2312" w:eastAsia="仿宋_GB2312" w:cs="仿宋_GB2312"/>
          <w:sz w:val="32"/>
          <w:szCs w:val="32"/>
        </w:rPr>
        <w:t>万元，增长</w:t>
      </w:r>
      <w:r>
        <w:rPr>
          <w:rFonts w:ascii="Times New Roman" w:hAnsi="Times New Roman" w:eastAsia="仿宋_GB2312"/>
          <w:sz w:val="32"/>
          <w:szCs w:val="32"/>
        </w:rPr>
        <w:t>86.59%</w:t>
      </w:r>
      <w:r>
        <w:rPr>
          <w:rFonts w:hint="eastAsia" w:ascii="仿宋_GB2312" w:hAnsi="仿宋_GB2312" w:eastAsia="仿宋_GB2312" w:cs="仿宋_GB2312"/>
          <w:sz w:val="32"/>
          <w:szCs w:val="32"/>
        </w:rPr>
        <w:t>，主要原因是以前年度结转老旧小区改造资金较多；政府性基金收支预算增加</w:t>
      </w:r>
      <w:r>
        <w:rPr>
          <w:rFonts w:ascii="Times New Roman" w:hAnsi="Times New Roman" w:eastAsia="仿宋_GB2312"/>
          <w:sz w:val="32"/>
          <w:szCs w:val="32"/>
        </w:rPr>
        <w:t>0</w:t>
      </w:r>
      <w:r>
        <w:rPr>
          <w:rFonts w:hint="eastAsia" w:ascii="仿宋_GB2312" w:hAnsi="仿宋_GB2312" w:eastAsia="仿宋_GB2312" w:cs="仿宋_GB2312"/>
          <w:sz w:val="32"/>
          <w:szCs w:val="32"/>
        </w:rPr>
        <w:t>万元，与上年保持一致；国有资本经营预算拨款收支预算增加</w:t>
      </w:r>
      <w:r>
        <w:rPr>
          <w:rFonts w:ascii="Times New Roman" w:hAnsi="Times New Roman" w:eastAsia="仿宋_GB2312"/>
          <w:sz w:val="32"/>
          <w:szCs w:val="32"/>
        </w:rPr>
        <w:t>20</w:t>
      </w:r>
      <w:r>
        <w:rPr>
          <w:rFonts w:hint="eastAsia" w:ascii="仿宋_GB2312" w:hAnsi="仿宋_GB2312" w:eastAsia="仿宋_GB2312" w:cs="仿宋_GB2312"/>
          <w:sz w:val="32"/>
          <w:szCs w:val="32"/>
        </w:rPr>
        <w:t>万元，主要原因是以前年度结转资金。</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卫滨区健康路街道办事处</w:t>
      </w:r>
      <w:r>
        <w:rPr>
          <w:rFonts w:ascii="Times New Roman" w:hAnsi="Times New Roman" w:eastAsia="仿宋_GB2312"/>
          <w:sz w:val="32"/>
          <w:szCs w:val="32"/>
        </w:rPr>
        <w:t>2024</w:t>
      </w:r>
      <w:r>
        <w:rPr>
          <w:rFonts w:hint="eastAsia" w:ascii="仿宋_GB2312" w:hAnsi="仿宋_GB2312" w:eastAsia="仿宋_GB2312" w:cs="仿宋_GB2312"/>
          <w:sz w:val="32"/>
          <w:szCs w:val="32"/>
        </w:rPr>
        <w:t>年一般公共预算支出年初预算</w:t>
      </w:r>
      <w:r>
        <w:rPr>
          <w:rFonts w:ascii="Times New Roman" w:hAnsi="Times New Roman" w:eastAsia="仿宋_GB2312"/>
          <w:sz w:val="32"/>
          <w:szCs w:val="32"/>
        </w:rPr>
        <w:t>481.26</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其中：基本支出</w:t>
      </w:r>
      <w:r>
        <w:rPr>
          <w:rFonts w:ascii="Times New Roman" w:hAnsi="Times New Roman" w:eastAsia="仿宋_GB2312"/>
          <w:sz w:val="32"/>
          <w:szCs w:val="32"/>
        </w:rPr>
        <w:t>278.76</w:t>
      </w:r>
      <w:r>
        <w:rPr>
          <w:rFonts w:hint="eastAsia" w:ascii="仿宋_GB2312" w:hAnsi="仿宋_GB2312" w:eastAsia="仿宋_GB2312" w:cs="仿宋_GB2312"/>
          <w:sz w:val="32"/>
          <w:szCs w:val="32"/>
        </w:rPr>
        <w:t>万元，占</w:t>
      </w:r>
      <w:r>
        <w:rPr>
          <w:rFonts w:ascii="Times New Roman" w:hAnsi="Times New Roman" w:eastAsia="仿宋_GB2312"/>
          <w:sz w:val="32"/>
          <w:szCs w:val="32"/>
        </w:rPr>
        <w:t>57.92%</w:t>
      </w:r>
      <w:r>
        <w:rPr>
          <w:rFonts w:hint="eastAsia" w:ascii="仿宋_GB2312" w:hAnsi="仿宋_GB2312" w:eastAsia="仿宋_GB2312" w:cs="仿宋_GB2312"/>
          <w:sz w:val="32"/>
          <w:szCs w:val="32"/>
        </w:rPr>
        <w:t>；项目支出</w:t>
      </w:r>
      <w:r>
        <w:rPr>
          <w:rFonts w:ascii="Times New Roman" w:hAnsi="Times New Roman" w:eastAsia="仿宋_GB2312"/>
          <w:sz w:val="32"/>
          <w:szCs w:val="32"/>
        </w:rPr>
        <w:t>202.5</w:t>
      </w:r>
      <w:r>
        <w:rPr>
          <w:rFonts w:hint="eastAsia" w:ascii="仿宋_GB2312" w:hAnsi="仿宋_GB2312" w:eastAsia="仿宋_GB2312" w:cs="仿宋_GB2312"/>
          <w:sz w:val="32"/>
          <w:szCs w:val="32"/>
        </w:rPr>
        <w:t>万元，占</w:t>
      </w:r>
      <w:r>
        <w:rPr>
          <w:rFonts w:ascii="Times New Roman" w:hAnsi="Times New Roman" w:eastAsia="仿宋_GB2312"/>
          <w:sz w:val="32"/>
          <w:szCs w:val="32"/>
        </w:rPr>
        <w:t>42.08%</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主要用于以下方面：一般公共服务（类）支出</w:t>
      </w:r>
      <w:r>
        <w:rPr>
          <w:rFonts w:ascii="Times New Roman" w:hAnsi="Times New Roman" w:eastAsia="仿宋_GB2312"/>
          <w:sz w:val="32"/>
          <w:szCs w:val="32"/>
        </w:rPr>
        <w:t>414.9</w:t>
      </w:r>
      <w:r>
        <w:rPr>
          <w:rFonts w:hint="eastAsia" w:ascii="仿宋_GB2312" w:hAnsi="仿宋_GB2312" w:eastAsia="仿宋_GB2312" w:cs="仿宋_GB2312"/>
          <w:sz w:val="32"/>
          <w:szCs w:val="32"/>
        </w:rPr>
        <w:t>万元，占</w:t>
      </w:r>
      <w:r>
        <w:rPr>
          <w:rFonts w:ascii="Times New Roman" w:hAnsi="Times New Roman" w:eastAsia="仿宋_GB2312"/>
          <w:sz w:val="32"/>
          <w:szCs w:val="32"/>
        </w:rPr>
        <w:t>86.21%</w:t>
      </w:r>
      <w:r>
        <w:rPr>
          <w:rFonts w:hint="eastAsia" w:ascii="仿宋_GB2312" w:hAnsi="仿宋_GB2312" w:eastAsia="仿宋_GB2312" w:cs="仿宋_GB2312"/>
          <w:sz w:val="32"/>
          <w:szCs w:val="32"/>
        </w:rPr>
        <w:t>；文化旅游体育与传媒</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支出</w:t>
      </w:r>
      <w:r>
        <w:rPr>
          <w:rFonts w:ascii="Times New Roman" w:hAnsi="Times New Roman" w:eastAsia="仿宋_GB2312"/>
          <w:sz w:val="32"/>
          <w:szCs w:val="32"/>
        </w:rPr>
        <w:t>3.5</w:t>
      </w:r>
      <w:r>
        <w:rPr>
          <w:rFonts w:hint="eastAsia" w:ascii="仿宋_GB2312" w:hAnsi="仿宋_GB2312" w:eastAsia="仿宋_GB2312" w:cs="仿宋_GB2312"/>
          <w:sz w:val="32"/>
          <w:szCs w:val="32"/>
        </w:rPr>
        <w:t>万元，占</w:t>
      </w:r>
      <w:r>
        <w:rPr>
          <w:rFonts w:ascii="Times New Roman" w:hAnsi="Times New Roman" w:eastAsia="仿宋_GB2312"/>
          <w:sz w:val="32"/>
          <w:szCs w:val="32"/>
        </w:rPr>
        <w:t>0.73%</w:t>
      </w:r>
      <w:r>
        <w:rPr>
          <w:rFonts w:hint="eastAsia" w:ascii="仿宋_GB2312" w:hAnsi="仿宋_GB2312" w:eastAsia="仿宋_GB2312" w:cs="仿宋_GB2312"/>
          <w:sz w:val="32"/>
          <w:szCs w:val="32"/>
        </w:rPr>
        <w:t>；社会保障和就业（类）支出</w:t>
      </w:r>
      <w:r>
        <w:rPr>
          <w:rFonts w:ascii="Times New Roman" w:hAnsi="Times New Roman" w:eastAsia="仿宋_GB2312"/>
          <w:sz w:val="32"/>
          <w:szCs w:val="32"/>
        </w:rPr>
        <w:t>28.32</w:t>
      </w:r>
      <w:r>
        <w:rPr>
          <w:rFonts w:hint="eastAsia" w:ascii="仿宋_GB2312" w:hAnsi="仿宋_GB2312" w:eastAsia="仿宋_GB2312" w:cs="仿宋_GB2312"/>
          <w:sz w:val="32"/>
          <w:szCs w:val="32"/>
        </w:rPr>
        <w:t>万元，占</w:t>
      </w:r>
      <w:r>
        <w:rPr>
          <w:rFonts w:ascii="Times New Roman" w:hAnsi="Times New Roman" w:eastAsia="仿宋_GB2312"/>
          <w:sz w:val="32"/>
          <w:szCs w:val="32"/>
        </w:rPr>
        <w:t>5.88%</w:t>
      </w:r>
      <w:r>
        <w:rPr>
          <w:rFonts w:hint="eastAsia" w:ascii="仿宋_GB2312" w:hAnsi="仿宋_GB2312" w:eastAsia="仿宋_GB2312" w:cs="仿宋_GB2312"/>
          <w:sz w:val="32"/>
          <w:szCs w:val="32"/>
        </w:rPr>
        <w:t>；卫生健康（类）支出</w:t>
      </w:r>
      <w:r>
        <w:rPr>
          <w:rFonts w:ascii="Times New Roman" w:hAnsi="Times New Roman" w:eastAsia="仿宋_GB2312"/>
          <w:sz w:val="32"/>
          <w:szCs w:val="32"/>
        </w:rPr>
        <w:t>13.86</w:t>
      </w:r>
      <w:r>
        <w:rPr>
          <w:rFonts w:hint="eastAsia" w:ascii="仿宋_GB2312" w:hAnsi="仿宋_GB2312" w:eastAsia="仿宋_GB2312" w:cs="仿宋_GB2312"/>
          <w:sz w:val="32"/>
          <w:szCs w:val="32"/>
        </w:rPr>
        <w:t>万元，占</w:t>
      </w:r>
      <w:r>
        <w:rPr>
          <w:rFonts w:ascii="Times New Roman" w:hAnsi="Times New Roman" w:eastAsia="仿宋_GB2312"/>
          <w:sz w:val="32"/>
          <w:szCs w:val="32"/>
        </w:rPr>
        <w:t>2.88%</w:t>
      </w:r>
      <w:r>
        <w:rPr>
          <w:rFonts w:hint="eastAsia" w:ascii="仿宋_GB2312" w:hAnsi="仿宋_GB2312" w:eastAsia="仿宋_GB2312" w:cs="仿宋_GB2312"/>
          <w:sz w:val="32"/>
          <w:szCs w:val="32"/>
        </w:rPr>
        <w:t>；住房保障（类）支出</w:t>
      </w:r>
      <w:r>
        <w:rPr>
          <w:rFonts w:ascii="Times New Roman" w:hAnsi="Times New Roman" w:eastAsia="仿宋_GB2312"/>
          <w:sz w:val="32"/>
          <w:szCs w:val="32"/>
        </w:rPr>
        <w:t>20.68</w:t>
      </w:r>
      <w:r>
        <w:rPr>
          <w:rFonts w:hint="eastAsia" w:ascii="仿宋_GB2312" w:hAnsi="仿宋_GB2312" w:eastAsia="仿宋_GB2312" w:cs="仿宋_GB2312"/>
          <w:sz w:val="32"/>
          <w:szCs w:val="32"/>
        </w:rPr>
        <w:t>万元，占</w:t>
      </w:r>
      <w:r>
        <w:rPr>
          <w:rFonts w:ascii="Times New Roman" w:hAnsi="Times New Roman" w:eastAsia="仿宋_GB2312"/>
          <w:sz w:val="32"/>
          <w:szCs w:val="32"/>
        </w:rPr>
        <w:t>4.30%</w:t>
      </w:r>
      <w:r>
        <w:rPr>
          <w:rFonts w:hint="eastAsia" w:ascii="仿宋_GB2312" w:hAnsi="仿宋_GB2312" w:eastAsia="仿宋_GB2312" w:cs="仿宋_GB2312"/>
          <w:sz w:val="32"/>
          <w:szCs w:val="32"/>
        </w:rPr>
        <w:t>。</w:t>
      </w:r>
      <w:r>
        <w:rPr>
          <w:rFonts w:hint="eastAsia" w:ascii="仿宋_GB2312" w:hAnsi="宋体" w:eastAsia="仿宋_GB2312" w:cs="Courier New"/>
          <w:sz w:val="32"/>
          <w:szCs w:val="32"/>
        </w:rPr>
        <w:t>。</w:t>
      </w:r>
      <w:r>
        <w:rPr>
          <w:rFonts w:ascii="仿宋_GB2312" w:hAnsi="宋体" w:eastAsia="仿宋_GB2312" w:cs="Courier New"/>
          <w:sz w:val="32"/>
          <w:szCs w:val="32"/>
        </w:rPr>
        <w:t xml:space="preserve"> </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卫滨区健康路街道办事处</w:t>
      </w:r>
      <w:r>
        <w:rPr>
          <w:rFonts w:ascii="Times New Roman" w:hAnsi="Times New Roman" w:eastAsia="仿宋_GB2312"/>
          <w:sz w:val="32"/>
          <w:szCs w:val="32"/>
        </w:rPr>
        <w:t>2024</w:t>
      </w:r>
      <w:r>
        <w:rPr>
          <w:rFonts w:hint="eastAsia" w:ascii="仿宋_GB2312" w:hAnsi="仿宋_GB2312" w:eastAsia="仿宋_GB2312" w:cs="仿宋_GB2312"/>
          <w:sz w:val="32"/>
          <w:szCs w:val="32"/>
        </w:rPr>
        <w:t>年一般公共预算基本支出</w:t>
      </w:r>
      <w:r>
        <w:rPr>
          <w:rFonts w:ascii="Times New Roman" w:hAnsi="Times New Roman" w:eastAsia="仿宋_GB2312"/>
          <w:sz w:val="32"/>
          <w:szCs w:val="32"/>
        </w:rPr>
        <w:t>278.76</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ascii="Times New Roman" w:hAnsi="Times New Roman" w:eastAsia="仿宋_GB2312"/>
          <w:sz w:val="32"/>
          <w:szCs w:val="32"/>
        </w:rPr>
        <w:t>265.97</w:t>
      </w:r>
      <w:r>
        <w:rPr>
          <w:rFonts w:hint="eastAsia" w:ascii="仿宋_GB2312" w:hAnsi="仿宋_GB2312" w:eastAsia="仿宋_GB2312" w:cs="仿宋_GB2312"/>
          <w:sz w:val="32"/>
          <w:szCs w:val="32"/>
        </w:rPr>
        <w:t>万元，占</w:t>
      </w:r>
      <w:r>
        <w:rPr>
          <w:rFonts w:ascii="Times New Roman" w:hAnsi="Times New Roman" w:eastAsia="仿宋_GB2312"/>
          <w:sz w:val="32"/>
          <w:szCs w:val="32"/>
        </w:rPr>
        <w:t>95.41%</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主要包括：基本工资、津贴补贴、奖金、绩效工资、机关事业单位基本养老保险缴费、职工基本医疗保险缴费、住房公积金、退休费、生活补助；</w:t>
      </w:r>
      <w:r>
        <w:rPr>
          <w:rFonts w:hint="eastAsia" w:ascii="仿宋_GB2312" w:hAnsi="仿宋_GB2312" w:eastAsia="仿宋_GB2312" w:cs="仿宋_GB2312"/>
          <w:b/>
          <w:spacing w:val="-1"/>
          <w:kern w:val="0"/>
          <w:sz w:val="32"/>
          <w:szCs w:val="32"/>
        </w:rPr>
        <w:t>公用经费支出</w:t>
      </w:r>
      <w:r>
        <w:rPr>
          <w:rFonts w:ascii="Times New Roman" w:hAnsi="Times New Roman" w:eastAsia="仿宋_GB2312"/>
          <w:sz w:val="32"/>
          <w:szCs w:val="32"/>
        </w:rPr>
        <w:t>12.79</w:t>
      </w:r>
      <w:r>
        <w:rPr>
          <w:rFonts w:hint="eastAsia" w:ascii="仿宋_GB2312" w:hAnsi="仿宋_GB2312" w:eastAsia="仿宋_GB2312" w:cs="仿宋_GB2312"/>
          <w:sz w:val="32"/>
          <w:szCs w:val="32"/>
        </w:rPr>
        <w:t>万元，占</w:t>
      </w:r>
      <w:r>
        <w:rPr>
          <w:rFonts w:ascii="Times New Roman" w:hAnsi="Times New Roman" w:eastAsia="仿宋_GB2312"/>
          <w:sz w:val="32"/>
          <w:szCs w:val="32"/>
        </w:rPr>
        <w:t>4.59%</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主要包括：办公费、水费、电费、工会经费、其他交通费用、其他商品和服务支出。</w:t>
      </w:r>
    </w:p>
    <w:p>
      <w:pPr>
        <w:spacing w:line="360" w:lineRule="auto"/>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2024</w:t>
      </w:r>
      <w:r>
        <w:rPr>
          <w:rFonts w:hint="eastAsia" w:ascii="仿宋_GB2312" w:hAnsi="仿宋_GB2312" w:eastAsia="仿宋_GB2312" w:cs="仿宋_GB2312"/>
          <w:sz w:val="32"/>
          <w:szCs w:val="32"/>
        </w:rPr>
        <w:t>年一般公共预算安排项目支出预算</w:t>
      </w:r>
      <w:r>
        <w:rPr>
          <w:rFonts w:ascii="Times New Roman" w:hAnsi="Times New Roman" w:eastAsia="仿宋_GB2312"/>
          <w:sz w:val="32"/>
          <w:szCs w:val="32"/>
        </w:rPr>
        <w:t>600.12</w:t>
      </w:r>
      <w:r>
        <w:rPr>
          <w:rFonts w:hint="eastAsia" w:ascii="仿宋_GB2312" w:hAnsi="仿宋_GB2312" w:eastAsia="仿宋_GB2312" w:cs="仿宋_GB2312"/>
          <w:sz w:val="32"/>
          <w:szCs w:val="32"/>
        </w:rPr>
        <w:t>万元，全部纳入项目绩效目标管理。其中：运转类项目</w:t>
      </w:r>
      <w:r>
        <w:rPr>
          <w:rFonts w:ascii="Times New Roman" w:hAnsi="Times New Roman" w:eastAsia="仿宋_GB2312"/>
          <w:sz w:val="32"/>
          <w:szCs w:val="32"/>
        </w:rPr>
        <w:t>199</w:t>
      </w:r>
      <w:r>
        <w:rPr>
          <w:rFonts w:hint="eastAsia" w:ascii="仿宋_GB2312" w:hAnsi="仿宋_GB2312" w:eastAsia="仿宋_GB2312" w:cs="仿宋_GB2312"/>
          <w:sz w:val="32"/>
          <w:szCs w:val="32"/>
        </w:rPr>
        <w:t>万元、特定目标类项目</w:t>
      </w:r>
      <w:r>
        <w:rPr>
          <w:rFonts w:ascii="Times New Roman" w:hAnsi="Times New Roman" w:eastAsia="仿宋_GB2312"/>
          <w:sz w:val="32"/>
          <w:szCs w:val="32"/>
        </w:rPr>
        <w:t>401.12</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卫滨区健康路街道办事处</w:t>
      </w:r>
      <w:r>
        <w:rPr>
          <w:rFonts w:ascii="Times New Roman" w:hAnsi="Times New Roman" w:eastAsia="仿宋_GB2312"/>
          <w:sz w:val="32"/>
          <w:szCs w:val="32"/>
        </w:rPr>
        <w:t>2024</w:t>
      </w:r>
      <w:r>
        <w:rPr>
          <w:rFonts w:hint="eastAsia" w:ascii="仿宋_GB2312" w:hAnsi="宋体" w:eastAsia="仿宋_GB2312" w:cs="Courier New"/>
          <w:sz w:val="32"/>
          <w:szCs w:val="32"/>
        </w:rPr>
        <w:t>年无使用政府性基金预算拨款安排的支出，</w:t>
      </w:r>
      <w:r>
        <w:rPr>
          <w:rFonts w:hint="eastAsia" w:ascii="仿宋_GB2312" w:hAnsi="仿宋_GB2312" w:eastAsia="仿宋_GB2312" w:cs="仿宋_GB2312"/>
          <w:sz w:val="32"/>
          <w:szCs w:val="32"/>
        </w:rPr>
        <w:t>年初预算为</w:t>
      </w:r>
      <w:r>
        <w:rPr>
          <w:rFonts w:ascii="仿宋_GB2312" w:hAnsi="仿宋_GB2312" w:eastAsia="仿宋_GB2312" w:cs="仿宋_GB2312"/>
          <w:sz w:val="32"/>
          <w:szCs w:val="32"/>
        </w:rPr>
        <w:t xml:space="preserve"> </w:t>
      </w:r>
      <w:r>
        <w:rPr>
          <w:rFonts w:ascii="Times New Roman" w:hAnsi="Times New Roman" w:eastAsia="仿宋_GB2312"/>
          <w:sz w:val="32"/>
          <w:szCs w:val="32"/>
        </w:rPr>
        <w:t>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万元</w:t>
      </w:r>
      <w:r>
        <w:rPr>
          <w:rFonts w:hint="eastAsia" w:ascii="仿宋_GB2312" w:hAnsi="宋体" w:eastAsia="仿宋_GB2312" w:cs="Courier New"/>
          <w:sz w:val="32"/>
          <w:szCs w:val="32"/>
        </w:rPr>
        <w:t>。</w:t>
      </w:r>
    </w:p>
    <w:p>
      <w:pPr>
        <w:spacing w:line="360" w:lineRule="auto"/>
        <w:ind w:firstLine="640" w:firstLineChars="200"/>
        <w:rPr>
          <w:rFonts w:ascii="仿宋_GB2312" w:eastAsia="仿宋_GB2312"/>
          <w:sz w:val="32"/>
          <w:szCs w:val="32"/>
        </w:rPr>
      </w:pPr>
      <w:r>
        <w:rPr>
          <w:rFonts w:hint="eastAsia" w:ascii="黑体" w:hAnsi="Times New Roman" w:eastAsia="黑体" w:cs="黑体"/>
          <w:kern w:val="0"/>
          <w:sz w:val="32"/>
          <w:szCs w:val="32"/>
        </w:rPr>
        <w:t>八、</w:t>
      </w:r>
      <w:r>
        <w:rPr>
          <w:rFonts w:ascii="黑体" w:hAnsi="Times New Roman" w:eastAsia="黑体" w:cs="黑体"/>
          <w:kern w:val="0"/>
          <w:sz w:val="32"/>
          <w:szCs w:val="32"/>
        </w:rPr>
        <w:t xml:space="preserve"> </w:t>
      </w:r>
      <w:r>
        <w:rPr>
          <w:rFonts w:hint="eastAsia" w:ascii="黑体" w:hAnsi="Times New Roman" w:eastAsia="黑体" w:cs="黑体"/>
          <w:kern w:val="0"/>
          <w:sz w:val="32"/>
          <w:szCs w:val="32"/>
        </w:rPr>
        <w:t>“三公”经费支出预算情况说明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卫滨区健康路街道办事处</w:t>
      </w:r>
      <w:r>
        <w:rPr>
          <w:rFonts w:ascii="Times New Roman" w:hAnsi="Times New Roman" w:eastAsia="仿宋_GB2312"/>
          <w:sz w:val="32"/>
          <w:szCs w:val="32"/>
        </w:rPr>
        <w:t>2024</w:t>
      </w:r>
      <w:r>
        <w:rPr>
          <w:rFonts w:hint="eastAsia" w:ascii="仿宋_GB2312" w:hAnsi="宋体" w:eastAsia="仿宋_GB2312" w:cs="Courier New"/>
          <w:sz w:val="32"/>
          <w:szCs w:val="32"/>
        </w:rPr>
        <w:t>年“三公”经费预算为</w:t>
      </w:r>
      <w:r>
        <w:rPr>
          <w:rFonts w:ascii="黑体" w:hAnsi="黑体" w:eastAsia="黑体" w:cs="黑体"/>
          <w:sz w:val="32"/>
          <w:szCs w:val="32"/>
        </w:rPr>
        <w:t>0</w:t>
      </w:r>
      <w:r>
        <w:rPr>
          <w:rFonts w:hint="eastAsia" w:ascii="仿宋_GB2312" w:hAnsi="宋体" w:eastAsia="仿宋_GB2312" w:cs="Courier New"/>
          <w:sz w:val="32"/>
          <w:szCs w:val="32"/>
        </w:rPr>
        <w:t>万元。</w:t>
      </w:r>
      <w:r>
        <w:rPr>
          <w:rFonts w:ascii="Times New Roman" w:hAnsi="Times New Roman" w:eastAsia="仿宋_GB2312"/>
          <w:sz w:val="32"/>
          <w:szCs w:val="32"/>
        </w:rPr>
        <w:t>2024</w:t>
      </w:r>
      <w:r>
        <w:rPr>
          <w:rFonts w:hint="eastAsia" w:ascii="仿宋_GB2312" w:hAnsi="宋体" w:eastAsia="仿宋_GB2312" w:cs="Courier New"/>
          <w:sz w:val="32"/>
          <w:szCs w:val="32"/>
        </w:rPr>
        <w:t>年“三公”经费支出预算数比</w:t>
      </w:r>
      <w:r>
        <w:rPr>
          <w:rFonts w:ascii="仿宋_GB2312" w:hAnsi="宋体" w:eastAsia="仿宋_GB2312" w:cs="Courier New"/>
          <w:sz w:val="32"/>
          <w:szCs w:val="32"/>
        </w:rPr>
        <w:t xml:space="preserve"> </w:t>
      </w:r>
      <w:r>
        <w:rPr>
          <w:rFonts w:ascii="Times New Roman" w:hAnsi="Times New Roman" w:eastAsia="仿宋_GB2312"/>
          <w:sz w:val="32"/>
          <w:szCs w:val="32"/>
        </w:rPr>
        <w:t>2023</w:t>
      </w:r>
      <w:r>
        <w:rPr>
          <w:rFonts w:hint="eastAsia" w:ascii="仿宋_GB2312" w:hAnsi="宋体" w:eastAsia="仿宋_GB2312" w:cs="Courier New"/>
          <w:sz w:val="32"/>
          <w:szCs w:val="32"/>
        </w:rPr>
        <w:t>年增加</w:t>
      </w:r>
      <w:r>
        <w:rPr>
          <w:rFonts w:ascii="Times New Roman" w:hAnsi="Times New Roman" w:eastAsia="黑体"/>
          <w:sz w:val="32"/>
          <w:szCs w:val="32"/>
        </w:rPr>
        <w:t>0</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w:t>
      </w:r>
      <w:r>
        <w:rPr>
          <w:rFonts w:ascii="Times New Roman" w:hAnsi="Times New Roman" w:eastAsia="仿宋_GB2312"/>
          <w:sz w:val="32"/>
          <w:szCs w:val="32"/>
        </w:rPr>
        <w:t>2023</w:t>
      </w:r>
      <w:r>
        <w:rPr>
          <w:rFonts w:hint="eastAsia" w:ascii="仿宋_GB2312" w:hAnsi="宋体" w:eastAsia="仿宋_GB2312" w:cs="Courier New"/>
          <w:sz w:val="32"/>
          <w:szCs w:val="32"/>
        </w:rPr>
        <w:t>年保持一致。</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ascii="Times New Roman" w:hAnsi="Times New Roman" w:eastAsia="华文楷体"/>
          <w:sz w:val="32"/>
          <w:szCs w:val="32"/>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ascii="Times New Roman" w:hAnsi="Times New Roman" w:eastAsia="黑体"/>
          <w:sz w:val="32"/>
          <w:szCs w:val="32"/>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万元，主要用于开展工作所需公务用车的燃料费、维修费、过路过桥费、保险费、安全奖励费用等支出。公务用车购置费预算数与</w:t>
      </w:r>
      <w:r>
        <w:rPr>
          <w:rFonts w:ascii="Times New Roman" w:hAnsi="Times New Roman" w:eastAsia="仿宋_GB2312"/>
          <w:sz w:val="32"/>
          <w:szCs w:val="32"/>
        </w:rPr>
        <w:t xml:space="preserve"> 2023</w:t>
      </w:r>
      <w:r>
        <w:rPr>
          <w:rFonts w:ascii="仿宋_GB2312" w:hAnsi="宋体" w:eastAsia="仿宋_GB2312" w:cs="Courier New"/>
          <w:sz w:val="32"/>
          <w:szCs w:val="32"/>
        </w:rPr>
        <w:t xml:space="preserve"> </w:t>
      </w:r>
      <w:r>
        <w:rPr>
          <w:rFonts w:hint="eastAsia" w:ascii="仿宋_GB2312" w:hAnsi="宋体" w:eastAsia="仿宋_GB2312" w:cs="Courier New"/>
          <w:sz w:val="32"/>
          <w:szCs w:val="32"/>
        </w:rPr>
        <w:t>年保持一致。公务用车运行维护费预算数与</w:t>
      </w:r>
      <w:r>
        <w:rPr>
          <w:rFonts w:ascii="仿宋_GB2312" w:hAnsi="宋体" w:eastAsia="仿宋_GB2312" w:cs="Courier New"/>
          <w:sz w:val="32"/>
          <w:szCs w:val="32"/>
        </w:rPr>
        <w:t xml:space="preserve"> </w:t>
      </w:r>
      <w:r>
        <w:rPr>
          <w:rFonts w:ascii="Times New Roman" w:hAnsi="Times New Roman" w:eastAsia="仿宋_GB2312"/>
          <w:sz w:val="32"/>
          <w:szCs w:val="32"/>
        </w:rPr>
        <w:t xml:space="preserve">2023 </w:t>
      </w:r>
      <w:r>
        <w:rPr>
          <w:rFonts w:hint="eastAsia" w:ascii="仿宋_GB2312" w:hAnsi="宋体" w:eastAsia="仿宋_GB2312" w:cs="Courier New"/>
          <w:sz w:val="32"/>
          <w:szCs w:val="32"/>
        </w:rPr>
        <w:t>年保持一致。</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主要用于按规定开支的各类公务接待（含外宾接待）支出。预算数与</w:t>
      </w:r>
      <w:r>
        <w:rPr>
          <w:rFonts w:ascii="Times New Roman" w:hAnsi="Times New Roman" w:eastAsia="仿宋_GB2312"/>
          <w:sz w:val="32"/>
          <w:szCs w:val="32"/>
        </w:rPr>
        <w:t xml:space="preserve"> 2023</w:t>
      </w:r>
      <w:r>
        <w:rPr>
          <w:rFonts w:hint="eastAsia" w:ascii="仿宋_GB2312" w:hAnsi="宋体" w:eastAsia="仿宋_GB2312" w:cs="Courier New"/>
          <w:sz w:val="32"/>
          <w:szCs w:val="32"/>
        </w:rPr>
        <w:t>年保持一致。</w:t>
      </w:r>
      <w:r>
        <w:rPr>
          <w:rFonts w:ascii="仿宋_GB2312" w:hAnsi="宋体" w:eastAsia="仿宋_GB2312" w:cs="Courier New"/>
          <w:sz w:val="32"/>
          <w:szCs w:val="32"/>
        </w:rPr>
        <w:t xml:space="preserve"> </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楷体" w:hAnsi="楷体" w:eastAsia="楷体" w:cs="Courier New"/>
          <w:sz w:val="32"/>
          <w:szCs w:val="32"/>
          <w:highlight w:val="darkBlue"/>
        </w:rPr>
      </w:pPr>
      <w:r>
        <w:rPr>
          <w:rFonts w:hint="eastAsia" w:ascii="楷体" w:hAnsi="楷体" w:eastAsia="楷体" w:cs="仿宋_GB2312"/>
          <w:kern w:val="0"/>
          <w:sz w:val="32"/>
          <w:szCs w:val="32"/>
        </w:rPr>
        <w:t>（一）行政（事业）单位机构运转经费</w:t>
      </w:r>
    </w:p>
    <w:p>
      <w:pPr>
        <w:kinsoku w:val="0"/>
        <w:overflowPunct w:val="0"/>
        <w:autoSpaceDE w:val="0"/>
        <w:autoSpaceDN w:val="0"/>
        <w:adjustRightInd w:val="0"/>
        <w:snapToGrid w:val="0"/>
        <w:spacing w:line="360" w:lineRule="auto"/>
        <w:ind w:firstLine="800" w:firstLineChars="250"/>
        <w:rPr>
          <w:rFonts w:ascii="楷体" w:hAnsi="楷体" w:eastAsia="楷体"/>
          <w:sz w:val="32"/>
          <w:szCs w:val="32"/>
          <w:highlight w:val="yellow"/>
        </w:rPr>
      </w:pPr>
      <w:r>
        <w:rPr>
          <w:rFonts w:hint="eastAsia" w:ascii="仿宋_GB2312" w:eastAsia="仿宋_GB2312"/>
          <w:sz w:val="32"/>
          <w:szCs w:val="32"/>
        </w:rPr>
        <w:t>卫滨区健康路街道办事处</w:t>
      </w:r>
      <w:r>
        <w:rPr>
          <w:rFonts w:ascii="Times New Roman" w:hAnsi="Times New Roman" w:eastAsia="仿宋_GB2312"/>
          <w:sz w:val="32"/>
          <w:szCs w:val="32"/>
        </w:rPr>
        <w:t>2024</w:t>
      </w:r>
      <w:r>
        <w:rPr>
          <w:rFonts w:hint="eastAsia" w:ascii="仿宋_GB2312" w:hAnsi="宋体" w:eastAsia="仿宋_GB2312" w:cs="Courier New"/>
          <w:sz w:val="32"/>
          <w:szCs w:val="32"/>
        </w:rPr>
        <w:t>年机关运行经费支出预算</w:t>
      </w:r>
      <w:r>
        <w:rPr>
          <w:rFonts w:ascii="Times New Roman" w:hAnsi="Times New Roman" w:eastAsia="黑体"/>
          <w:sz w:val="32"/>
          <w:szCs w:val="32"/>
        </w:rPr>
        <w:t>12.79</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主要包括办公费、水费、电费、</w:t>
      </w:r>
      <w:r>
        <w:rPr>
          <w:rFonts w:hint="eastAsia" w:ascii="仿宋_GB2312" w:hAnsi="仿宋_GB2312" w:eastAsia="仿宋_GB2312" w:cs="仿宋_GB2312"/>
          <w:sz w:val="32"/>
          <w:szCs w:val="32"/>
        </w:rPr>
        <w:t>工会经费、其他交通费用、其他商品和服务支出等</w:t>
      </w:r>
      <w:r>
        <w:rPr>
          <w:rFonts w:hint="eastAsia" w:ascii="仿宋_GB2312" w:eastAsia="仿宋_GB2312"/>
          <w:sz w:val="32"/>
          <w:szCs w:val="32"/>
        </w:rPr>
        <w:t>。</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ascii="楷体_GB2312" w:hAnsi="Times New Roman" w:eastAsia="楷体_GB2312" w:cs="仿宋_GB2312"/>
          <w:b/>
          <w:kern w:val="0"/>
          <w:sz w:val="32"/>
          <w:szCs w:val="32"/>
        </w:rPr>
      </w:pPr>
      <w:r>
        <w:rPr>
          <w:rFonts w:ascii="Times New Roman" w:hAnsi="Times New Roman" w:eastAsia="仿宋_GB2312"/>
          <w:sz w:val="32"/>
          <w:szCs w:val="32"/>
        </w:rPr>
        <w:t>2024</w:t>
      </w:r>
      <w:r>
        <w:rPr>
          <w:rFonts w:hint="eastAsia" w:ascii="仿宋_GB2312" w:eastAsia="仿宋_GB2312"/>
          <w:sz w:val="32"/>
          <w:szCs w:val="32"/>
        </w:rPr>
        <w:t>年政府采购预算安排</w:t>
      </w:r>
      <w:r>
        <w:rPr>
          <w:rFonts w:ascii="Times New Roman" w:hAnsi="Times New Roman" w:eastAsia="黑体"/>
          <w:sz w:val="32"/>
          <w:szCs w:val="32"/>
        </w:rPr>
        <w:t>34.46</w:t>
      </w:r>
      <w:r>
        <w:rPr>
          <w:rFonts w:hint="eastAsia" w:ascii="仿宋_GB2312" w:eastAsia="仿宋_GB2312"/>
          <w:sz w:val="32"/>
          <w:szCs w:val="32"/>
        </w:rPr>
        <w:t>万元，其中：政府采购货物预算</w:t>
      </w:r>
      <w:r>
        <w:rPr>
          <w:rFonts w:ascii="Times New Roman" w:hAnsi="Times New Roman" w:eastAsia="黑体"/>
          <w:sz w:val="32"/>
          <w:szCs w:val="32"/>
        </w:rPr>
        <w:t>34.46</w:t>
      </w:r>
      <w:r>
        <w:rPr>
          <w:rFonts w:hint="eastAsia" w:ascii="仿宋_GB2312" w:eastAsia="仿宋_GB2312"/>
          <w:sz w:val="32"/>
          <w:szCs w:val="32"/>
        </w:rPr>
        <w:t>万元、政府采购工程预算</w:t>
      </w:r>
      <w:r>
        <w:rPr>
          <w:rFonts w:ascii="Times New Roman" w:hAnsi="Times New Roman" w:eastAsia="黑体"/>
          <w:sz w:val="32"/>
          <w:szCs w:val="32"/>
        </w:rPr>
        <w:t>0</w:t>
      </w:r>
      <w:r>
        <w:rPr>
          <w:rFonts w:hint="eastAsia" w:ascii="仿宋_GB2312" w:eastAsia="仿宋_GB2312"/>
          <w:sz w:val="32"/>
          <w:szCs w:val="32"/>
        </w:rPr>
        <w:t>万元、政府采购服务预算</w:t>
      </w:r>
      <w:r>
        <w:rPr>
          <w:rFonts w:ascii="Times New Roman" w:hAnsi="Times New Roman" w:eastAsia="黑体"/>
          <w:sz w:val="32"/>
          <w:szCs w:val="32"/>
        </w:rPr>
        <w:t>0</w:t>
      </w:r>
      <w:r>
        <w:rPr>
          <w:rFonts w:hint="eastAsia" w:ascii="仿宋_GB2312" w:eastAsia="仿宋_GB2312"/>
          <w:sz w:val="32"/>
          <w:szCs w:val="32"/>
        </w:rPr>
        <w:t>万元。</w:t>
      </w:r>
    </w:p>
    <w:p>
      <w:pPr>
        <w:numPr>
          <w:ilvl w:val="0"/>
          <w:numId w:val="4"/>
        </w:num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绩效目标设置及预算绩效管理工作开展情况</w:t>
      </w:r>
    </w:p>
    <w:p>
      <w:pPr>
        <w:pStyle w:val="2"/>
        <w:ind w:firstLine="640" w:firstLineChars="200"/>
        <w:rPr>
          <w:rFonts w:ascii="仿宋_GB2312" w:hAnsi="Times New Roman" w:eastAsia="仿宋_GB2312" w:cs="黑体"/>
          <w:sz w:val="32"/>
          <w:szCs w:val="32"/>
        </w:rPr>
      </w:pPr>
      <w:r>
        <w:rPr>
          <w:rFonts w:hint="eastAsia" w:ascii="仿宋_GB2312" w:hAnsi="Times New Roman" w:eastAsia="仿宋_GB2312" w:cs="黑体"/>
          <w:sz w:val="32"/>
          <w:szCs w:val="32"/>
        </w:rPr>
        <w:t>我单位</w:t>
      </w:r>
      <w:r>
        <w:rPr>
          <w:rFonts w:ascii="Times New Roman" w:hAnsi="Times New Roman" w:eastAsia="黑体"/>
          <w:sz w:val="32"/>
          <w:szCs w:val="32"/>
        </w:rPr>
        <w:t>2024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我单位</w:t>
      </w:r>
      <w:r>
        <w:rPr>
          <w:rFonts w:ascii="Times New Roman" w:hAnsi="Times New Roman" w:eastAsia="黑体"/>
          <w:sz w:val="32"/>
          <w:szCs w:val="32"/>
        </w:rPr>
        <w:t>2024</w:t>
      </w:r>
      <w:r>
        <w:rPr>
          <w:rFonts w:hint="eastAsia" w:ascii="仿宋_GB2312" w:hAnsi="Times New Roman" w:eastAsia="仿宋_GB2312" w:cs="黑体"/>
          <w:sz w:val="32"/>
          <w:szCs w:val="32"/>
        </w:rPr>
        <w:t>年未开展重点项目预算的绩效目标。</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yellow"/>
        </w:rPr>
      </w:pPr>
      <w:r>
        <w:rPr>
          <w:rFonts w:ascii="Times New Roman" w:hAnsi="Times New Roman" w:eastAsia="仿宋_GB2312"/>
          <w:sz w:val="32"/>
          <w:szCs w:val="32"/>
        </w:rPr>
        <w:t>2023</w:t>
      </w:r>
      <w:r>
        <w:rPr>
          <w:rFonts w:hint="eastAsia" w:ascii="仿宋_GB2312" w:hAnsi="宋体" w:eastAsia="仿宋_GB2312" w:cs="Courier New"/>
          <w:sz w:val="32"/>
          <w:szCs w:val="32"/>
        </w:rPr>
        <w:t>年，共组织对</w:t>
      </w:r>
      <w:r>
        <w:rPr>
          <w:rFonts w:ascii="Times New Roman" w:hAnsi="Times New Roman" w:eastAsia="黑体"/>
          <w:sz w:val="32"/>
          <w:szCs w:val="32"/>
        </w:rPr>
        <w:t>13</w:t>
      </w:r>
      <w:r>
        <w:rPr>
          <w:rFonts w:hint="eastAsia" w:ascii="仿宋_GB2312" w:hAnsi="宋体" w:eastAsia="仿宋_GB2312" w:cs="Courier New"/>
          <w:sz w:val="32"/>
          <w:szCs w:val="32"/>
        </w:rPr>
        <w:t>个项目进行了预算绩效评价，涉及资金</w:t>
      </w:r>
      <w:r>
        <w:rPr>
          <w:rFonts w:ascii="Times New Roman" w:hAnsi="Times New Roman" w:eastAsia="黑体"/>
          <w:sz w:val="32"/>
          <w:szCs w:val="32"/>
        </w:rPr>
        <w:t>514.16</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2024</w:t>
      </w:r>
      <w:r>
        <w:rPr>
          <w:rFonts w:hint="eastAsia" w:ascii="仿宋_GB2312" w:hAnsi="宋体" w:eastAsia="仿宋_GB2312" w:cs="Courier New"/>
          <w:sz w:val="32"/>
          <w:szCs w:val="32"/>
        </w:rPr>
        <w:t>年，拟组织对</w:t>
      </w:r>
      <w:r>
        <w:rPr>
          <w:rFonts w:ascii="Times New Roman" w:hAnsi="Times New Roman" w:eastAsia="黑体"/>
          <w:sz w:val="32"/>
          <w:szCs w:val="32"/>
        </w:rPr>
        <w:t>6</w:t>
      </w:r>
      <w:r>
        <w:rPr>
          <w:rFonts w:hint="eastAsia" w:ascii="仿宋_GB2312" w:hAnsi="宋体" w:eastAsia="仿宋_GB2312" w:cs="Courier New"/>
          <w:sz w:val="32"/>
          <w:szCs w:val="32"/>
        </w:rPr>
        <w:t>个项目进行预算绩效评价，涉及资金</w:t>
      </w:r>
      <w:r>
        <w:rPr>
          <w:rFonts w:ascii="Times New Roman" w:hAnsi="Times New Roman" w:eastAsia="黑体"/>
          <w:sz w:val="32"/>
          <w:szCs w:val="32"/>
        </w:rPr>
        <w:t>620.12</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red"/>
        </w:rPr>
      </w:pPr>
      <w:r>
        <w:rPr>
          <w:rFonts w:ascii="Times New Roman" w:hAnsi="Times New Roman" w:eastAsia="仿宋_GB2312"/>
          <w:sz w:val="32"/>
          <w:szCs w:val="32"/>
        </w:rPr>
        <w:t>2023</w:t>
      </w:r>
      <w:r>
        <w:rPr>
          <w:rFonts w:hint="eastAsia" w:ascii="仿宋_GB2312" w:hAnsi="宋体" w:eastAsia="仿宋_GB2312" w:cs="Courier New"/>
          <w:sz w:val="32"/>
          <w:szCs w:val="32"/>
        </w:rPr>
        <w:t>年资产总额</w:t>
      </w:r>
      <w:r>
        <w:rPr>
          <w:rFonts w:ascii="Times New Roman" w:hAnsi="Times New Roman" w:eastAsia="仿宋_GB2312"/>
          <w:sz w:val="32"/>
          <w:szCs w:val="32"/>
        </w:rPr>
        <w:t>140.74</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ascii="Times New Roman" w:hAnsi="Times New Roman" w:eastAsia="仿宋_GB2312"/>
          <w:color w:val="000000"/>
          <w:sz w:val="32"/>
          <w:szCs w:val="32"/>
        </w:rPr>
        <w:t>0.32</w:t>
      </w:r>
      <w:r>
        <w:rPr>
          <w:rFonts w:ascii="Times New Roman" w:hAnsi="Times New Roman" w:eastAsia="仿宋_GB2312"/>
          <w:sz w:val="32"/>
          <w:szCs w:val="32"/>
        </w:rPr>
        <w:t>%</w:t>
      </w:r>
      <w:r>
        <w:rPr>
          <w:rFonts w:hint="eastAsia" w:ascii="仿宋_GB2312" w:hAnsi="宋体" w:eastAsia="仿宋_GB2312" w:cs="Courier New"/>
          <w:sz w:val="32"/>
          <w:szCs w:val="32"/>
        </w:rPr>
        <w:t>。其中：固定资产</w:t>
      </w:r>
      <w:r>
        <w:rPr>
          <w:rFonts w:ascii="Times New Roman" w:hAnsi="Times New Roman" w:eastAsia="仿宋_GB2312"/>
          <w:sz w:val="32"/>
          <w:szCs w:val="32"/>
        </w:rPr>
        <w:t>140.74</w:t>
      </w:r>
      <w:r>
        <w:rPr>
          <w:rFonts w:hint="eastAsia" w:ascii="仿宋_GB2312" w:hAnsi="宋体" w:eastAsia="仿宋_GB2312" w:cs="Courier New"/>
          <w:sz w:val="32"/>
          <w:szCs w:val="32"/>
        </w:rPr>
        <w:t>万元，无形资产</w:t>
      </w:r>
      <w:r>
        <w:rPr>
          <w:rFonts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主要原因：购入固定资产。</w:t>
      </w:r>
      <w:r>
        <w:rPr>
          <w:rFonts w:ascii="Times New Roman" w:hAnsi="Times New Roman" w:eastAsia="仿宋_GB2312"/>
          <w:sz w:val="32"/>
          <w:szCs w:val="32"/>
        </w:rPr>
        <w:t>2023</w:t>
      </w:r>
      <w:r>
        <w:rPr>
          <w:rFonts w:hint="eastAsia" w:ascii="仿宋_GB2312" w:hAnsi="宋体" w:eastAsia="仿宋_GB2312" w:cs="Courier New"/>
          <w:sz w:val="32"/>
          <w:szCs w:val="32"/>
        </w:rPr>
        <w:t>年期末，卫滨区健康路街道办事处共有车辆</w:t>
      </w:r>
      <w:r>
        <w:rPr>
          <w:rFonts w:ascii="Times New Roman" w:hAnsi="Times New Roman" w:eastAsia="仿宋_GB2312"/>
          <w:sz w:val="32"/>
          <w:szCs w:val="32"/>
        </w:rPr>
        <w:t>2</w:t>
      </w:r>
      <w:r>
        <w:rPr>
          <w:rFonts w:hint="eastAsia" w:ascii="仿宋_GB2312" w:hAnsi="宋体" w:eastAsia="仿宋_GB2312" w:cs="Courier New"/>
          <w:sz w:val="32"/>
          <w:szCs w:val="32"/>
        </w:rPr>
        <w:t>辆，其中：一般公务用车</w:t>
      </w:r>
      <w:r>
        <w:rPr>
          <w:rFonts w:ascii="Times New Roman" w:hAnsi="Times New Roman" w:eastAsia="仿宋_GB2312"/>
          <w:sz w:val="32"/>
          <w:szCs w:val="32"/>
        </w:rPr>
        <w:t>0</w:t>
      </w:r>
      <w:r>
        <w:rPr>
          <w:rFonts w:hint="eastAsia" w:ascii="仿宋_GB2312" w:hAnsi="宋体" w:eastAsia="仿宋_GB2312" w:cs="Courier New"/>
          <w:sz w:val="32"/>
          <w:szCs w:val="32"/>
        </w:rPr>
        <w:t>辆、一般执法执勤用车</w:t>
      </w:r>
      <w:r>
        <w:rPr>
          <w:rFonts w:ascii="Times New Roman" w:hAnsi="Times New Roman" w:eastAsia="仿宋_GB2312"/>
          <w:sz w:val="32"/>
          <w:szCs w:val="32"/>
        </w:rPr>
        <w:t>0</w:t>
      </w:r>
      <w:r>
        <w:rPr>
          <w:rFonts w:hint="eastAsia" w:ascii="仿宋_GB2312" w:hAnsi="宋体" w:eastAsia="仿宋_GB2312" w:cs="Courier New"/>
          <w:sz w:val="32"/>
          <w:szCs w:val="32"/>
        </w:rPr>
        <w:t>辆、特种专业技术用车</w:t>
      </w:r>
      <w:r>
        <w:rPr>
          <w:rFonts w:ascii="Times New Roman" w:hAnsi="Times New Roman" w:eastAsia="仿宋_GB2312"/>
          <w:sz w:val="32"/>
          <w:szCs w:val="32"/>
        </w:rPr>
        <w:t>0</w:t>
      </w:r>
      <w:r>
        <w:rPr>
          <w:rFonts w:hint="eastAsia" w:ascii="仿宋_GB2312" w:hAnsi="宋体" w:eastAsia="仿宋_GB2312" w:cs="Courier New"/>
          <w:sz w:val="32"/>
          <w:szCs w:val="32"/>
        </w:rPr>
        <w:t>辆，其他用车</w:t>
      </w:r>
      <w:r>
        <w:rPr>
          <w:rFonts w:ascii="Times New Roman" w:hAnsi="Times New Roman" w:eastAsia="仿宋_GB2312"/>
          <w:sz w:val="32"/>
          <w:szCs w:val="32"/>
        </w:rPr>
        <w:t>2</w:t>
      </w:r>
      <w:r>
        <w:rPr>
          <w:rFonts w:hint="eastAsia" w:ascii="仿宋_GB2312" w:hAnsi="宋体" w:eastAsia="仿宋_GB2312" w:cs="Courier New"/>
          <w:sz w:val="32"/>
          <w:szCs w:val="32"/>
        </w:rPr>
        <w:t>辆，其他用车主要是巡防车；单价</w:t>
      </w:r>
      <w:r>
        <w:rPr>
          <w:rFonts w:ascii="Times New Roman" w:hAnsi="Times New Roman" w:eastAsia="仿宋_GB2312"/>
          <w:sz w:val="32"/>
          <w:szCs w:val="32"/>
        </w:rPr>
        <w:t>50</w:t>
      </w:r>
      <w:r>
        <w:rPr>
          <w:rFonts w:hint="eastAsia" w:ascii="仿宋_GB2312" w:hAnsi="宋体" w:eastAsia="仿宋_GB2312" w:cs="Courier New"/>
          <w:sz w:val="32"/>
          <w:szCs w:val="32"/>
        </w:rPr>
        <w:t>万元以上通用设备</w:t>
      </w:r>
      <w:r>
        <w:rPr>
          <w:rFonts w:ascii="Times New Roman" w:hAnsi="Times New Roman" w:eastAsia="仿宋_GB2312"/>
          <w:sz w:val="32"/>
          <w:szCs w:val="32"/>
        </w:rPr>
        <w:t>0</w:t>
      </w:r>
      <w:r>
        <w:rPr>
          <w:rFonts w:hint="eastAsia" w:ascii="仿宋_GB2312" w:hAnsi="宋体" w:eastAsia="仿宋_GB2312" w:cs="Courier New"/>
          <w:sz w:val="32"/>
          <w:szCs w:val="32"/>
        </w:rPr>
        <w:t>台（套），单位价值</w:t>
      </w:r>
      <w:r>
        <w:rPr>
          <w:rFonts w:ascii="Times New Roman" w:hAnsi="Times New Roman" w:eastAsia="仿宋_GB2312"/>
          <w:sz w:val="32"/>
          <w:szCs w:val="32"/>
        </w:rPr>
        <w:t>100</w:t>
      </w:r>
      <w:r>
        <w:rPr>
          <w:rFonts w:hint="eastAsia" w:ascii="仿宋_GB2312" w:hAnsi="宋体" w:eastAsia="仿宋_GB2312" w:cs="Courier New"/>
          <w:sz w:val="32"/>
          <w:szCs w:val="32"/>
        </w:rPr>
        <w:t>万元以上专用设备</w:t>
      </w:r>
      <w:r>
        <w:rPr>
          <w:rFonts w:ascii="Times New Roman" w:hAnsi="Times New Roman" w:eastAsia="仿宋_GB2312"/>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卫滨区健康路街道办事处</w:t>
      </w:r>
      <w:r>
        <w:rPr>
          <w:rFonts w:hint="eastAsia" w:ascii="仿宋_GB2312" w:hAnsi="宋体" w:eastAsia="仿宋_GB2312" w:cs="Courier New"/>
          <w:sz w:val="32"/>
          <w:szCs w:val="32"/>
        </w:rPr>
        <w:t>按照《财政部关于印发</w:t>
      </w:r>
      <w:r>
        <w:rPr>
          <w:rFonts w:ascii="仿宋_GB2312" w:hAnsi="宋体" w:eastAsia="仿宋_GB2312" w:cs="Courier New"/>
          <w:sz w:val="32"/>
          <w:szCs w:val="32"/>
        </w:rPr>
        <w:t>&lt;</w:t>
      </w:r>
      <w:r>
        <w:rPr>
          <w:rFonts w:hint="eastAsia" w:ascii="仿宋_GB2312" w:hAnsi="宋体" w:eastAsia="仿宋_GB2312" w:cs="Courier New"/>
          <w:sz w:val="32"/>
          <w:szCs w:val="32"/>
        </w:rPr>
        <w:t>支出经济分类科目改革方案</w:t>
      </w:r>
      <w:r>
        <w:rPr>
          <w:rFonts w:ascii="仿宋_GB2312" w:hAnsi="宋体" w:eastAsia="仿宋_GB2312" w:cs="Courier New"/>
          <w:sz w:val="32"/>
          <w:szCs w:val="32"/>
        </w:rPr>
        <w:t>&gt;</w:t>
      </w:r>
      <w:r>
        <w:rPr>
          <w:rFonts w:hint="eastAsia" w:ascii="仿宋_GB2312" w:hAnsi="宋体" w:eastAsia="仿宋_GB2312" w:cs="Courier New"/>
          <w:sz w:val="32"/>
          <w:szCs w:val="32"/>
        </w:rPr>
        <w:t>的通知》</w:t>
      </w:r>
      <w:r>
        <w:rPr>
          <w:rFonts w:ascii="仿宋_GB2312" w:hAnsi="宋体" w:eastAsia="仿宋_GB2312" w:cs="Courier New"/>
          <w:sz w:val="32"/>
          <w:szCs w:val="32"/>
        </w:rPr>
        <w:t>(</w:t>
      </w:r>
      <w:r>
        <w:rPr>
          <w:rFonts w:hint="eastAsia" w:ascii="仿宋_GB2312" w:hAnsi="宋体" w:eastAsia="仿宋_GB2312" w:cs="Courier New"/>
          <w:sz w:val="32"/>
          <w:szCs w:val="32"/>
        </w:rPr>
        <w:t>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w:t>
      </w:r>
      <w:r>
        <w:rPr>
          <w:rFonts w:ascii="仿宋_GB2312" w:hAnsi="宋体" w:eastAsia="仿宋_GB2312" w:cs="Courier New"/>
          <w:sz w:val="32"/>
          <w:szCs w:val="32"/>
        </w:rPr>
        <w:t>)</w:t>
      </w:r>
      <w:r>
        <w:rPr>
          <w:rFonts w:hint="eastAsia" w:ascii="仿宋_GB2312" w:hAnsi="宋体" w:eastAsia="仿宋_GB2312" w:cs="Courier New"/>
          <w:sz w:val="32"/>
          <w:szCs w:val="32"/>
        </w:rPr>
        <w:t>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从</w:t>
      </w:r>
      <w:r>
        <w:rPr>
          <w:rFonts w:ascii="仿宋_GB2312" w:hAnsi="宋体" w:eastAsia="仿宋_GB2312" w:cs="Courier New"/>
          <w:sz w:val="32"/>
          <w:szCs w:val="32"/>
        </w:rPr>
        <w:t xml:space="preserve"> 2018</w:t>
      </w:r>
      <w:r>
        <w:rPr>
          <w:rFonts w:hint="eastAsia" w:ascii="仿宋_GB2312" w:hAnsi="宋体" w:eastAsia="仿宋_GB2312" w:cs="Courier New"/>
          <w:sz w:val="32"/>
          <w:szCs w:val="32"/>
        </w:rPr>
        <w:t>年起从仅反映一般公共预算基本支出经济分类科目预算调整为按两套经济分类科目分别反映不同资金来源的全部预算支出。</w:t>
      </w:r>
    </w:p>
    <w:p>
      <w:pPr>
        <w:numPr>
          <w:ilvl w:val="0"/>
          <w:numId w:val="5"/>
        </w:num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专项转移支付项目情况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卫滨区健康路街道办事处</w:t>
      </w:r>
      <w:r>
        <w:rPr>
          <w:rFonts w:hint="eastAsia" w:ascii="仿宋_GB2312" w:hAnsi="宋体" w:eastAsia="仿宋_GB2312" w:cs="Courier New"/>
          <w:sz w:val="32"/>
          <w:szCs w:val="32"/>
        </w:rPr>
        <w:t>负责管理的专项转移支付项目共有</w:t>
      </w:r>
      <w:r>
        <w:rPr>
          <w:rFonts w:ascii="Times New Roman" w:hAnsi="Times New Roman" w:eastAsia="仿宋_GB2312"/>
          <w:sz w:val="32"/>
          <w:szCs w:val="32"/>
        </w:rPr>
        <w:t>0</w:t>
      </w:r>
      <w:r>
        <w:rPr>
          <w:rFonts w:hint="eastAsia" w:ascii="仿宋_GB2312" w:hAnsi="宋体" w:eastAsia="仿宋_GB2312" w:cs="Courier New"/>
          <w:sz w:val="32"/>
          <w:szCs w:val="32"/>
        </w:rPr>
        <w:t>项，主要是：</w:t>
      </w:r>
      <w:r>
        <w:rPr>
          <w:rFonts w:ascii="Times New Roman" w:hAnsi="Times New Roman" w:eastAsia="仿宋_GB2312"/>
          <w:sz w:val="32"/>
          <w:szCs w:val="32"/>
        </w:rPr>
        <w:t>0</w:t>
      </w:r>
      <w:r>
        <w:rPr>
          <w:rFonts w:hint="eastAsia" w:ascii="仿宋_GB2312" w:hAnsi="宋体" w:eastAsia="仿宋_GB2312" w:cs="Courier New"/>
          <w:sz w:val="32"/>
          <w:szCs w:val="32"/>
        </w:rPr>
        <w:t>项目</w:t>
      </w:r>
      <w:r>
        <w:rPr>
          <w:rFonts w:ascii="Times New Roman" w:hAnsi="Times New Roman" w:eastAsia="仿宋_GB2312"/>
          <w:sz w:val="32"/>
          <w:szCs w:val="32"/>
        </w:rPr>
        <w:t>0</w:t>
      </w:r>
      <w:r>
        <w:rPr>
          <w:rFonts w:hint="eastAsia" w:ascii="仿宋_GB2312" w:hAnsi="宋体" w:eastAsia="仿宋_GB2312" w:cs="Courier New"/>
          <w:sz w:val="32"/>
          <w:szCs w:val="32"/>
        </w:rPr>
        <w:t>万元；我单位将按照《预算法》等有关规定，积极做好项目分配前期准备工作，在规定的时间内向财政部门提出资金分配意见，根据有关要求做好项目申报公开等相关工作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三、单位其他收入：是指部门取得的除“财政拨款”、“事业收入”、“事业单位经营收入”等以外的收入。</w:t>
      </w:r>
      <w:r>
        <w:rPr>
          <w:rFonts w:ascii="仿宋_GB2312" w:hAnsi="宋体" w:eastAsia="仿宋_GB2312" w:cs="Courier New"/>
          <w:sz w:val="32"/>
          <w:szCs w:val="32"/>
        </w:rPr>
        <w:t xml:space="preserve">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卫滨区健康路街道办事处</w:t>
      </w:r>
      <w:r>
        <w:rPr>
          <w:rFonts w:ascii="Times New Roman" w:hAnsi="Times New Roman" w:eastAsia="黑体"/>
          <w:sz w:val="32"/>
          <w:szCs w:val="32"/>
        </w:rPr>
        <w:t>2024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vAlign w:val="center"/>
          </w:tcPr>
          <w:p>
            <w:pPr>
              <w:widowControl/>
              <w:jc w:val="right"/>
              <w:rPr>
                <w:rFonts w:ascii="宋体" w:cs="宋体"/>
                <w:kern w:val="0"/>
                <w:sz w:val="18"/>
                <w:szCs w:val="18"/>
              </w:rPr>
            </w:pPr>
            <w:r>
              <w:rPr>
                <w:rFonts w:hint="eastAsia" w:ascii="宋体" w:hAnsi="宋体" w:cs="宋体"/>
                <w:kern w:val="0"/>
                <w:sz w:val="18"/>
                <w:szCs w:val="18"/>
              </w:rPr>
              <w:t>预算</w:t>
            </w:r>
            <w:r>
              <w:rPr>
                <w:rFonts w:ascii="宋体" w:hAnsi="宋体" w:cs="宋体"/>
                <w:kern w:val="0"/>
                <w:sz w:val="18"/>
                <w:szCs w:val="18"/>
              </w:rPr>
              <w:t>01</w:t>
            </w:r>
            <w:r>
              <w:rPr>
                <w:rFonts w:hint="eastAsia" w:ascii="宋体" w:hAnsi="宋体" w:cs="宋体"/>
                <w:kern w:val="0"/>
                <w:sz w:val="18"/>
                <w:szCs w:val="18"/>
              </w:rPr>
              <w:t>表</w:t>
            </w:r>
            <w:r>
              <w:rPr>
                <w:rFonts w:ascii="宋体" w:hAnsi="宋体" w:cs="宋体"/>
                <w:kern w:val="0"/>
                <w:sz w:val="18"/>
                <w:szCs w:val="18"/>
              </w:rPr>
              <w:t xml:space="preserve">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vAlign w:val="center"/>
          </w:tcPr>
          <w:p>
            <w:pPr>
              <w:widowControl/>
              <w:jc w:val="center"/>
              <w:rPr>
                <w:rFonts w:ascii="宋体" w:cs="宋体"/>
                <w:b/>
                <w:bCs/>
                <w:kern w:val="0"/>
                <w:sz w:val="38"/>
                <w:szCs w:val="38"/>
              </w:rPr>
            </w:pPr>
            <w:r>
              <w:rPr>
                <w:rFonts w:ascii="宋体" w:hAnsi="宋体" w:cs="宋体"/>
                <w:b/>
                <w:bCs/>
                <w:kern w:val="0"/>
                <w:sz w:val="38"/>
                <w:szCs w:val="38"/>
              </w:rPr>
              <w:t>2024</w:t>
            </w:r>
            <w:r>
              <w:rPr>
                <w:rFonts w:hint="eastAsia" w:ascii="宋体" w:hAnsi="宋体" w:cs="宋体"/>
                <w:b/>
                <w:bCs/>
                <w:kern w:val="0"/>
                <w:sz w:val="38"/>
                <w:szCs w:val="38"/>
              </w:rPr>
              <w:t>年部门收支预算表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vAlign w:val="center"/>
          </w:tcPr>
          <w:p>
            <w:pPr>
              <w:widowControl/>
              <w:jc w:val="center"/>
              <w:rPr>
                <w:rFonts w:ascii="宋体" w:cs="宋体"/>
                <w:kern w:val="0"/>
                <w:sz w:val="18"/>
                <w:szCs w:val="18"/>
              </w:rPr>
            </w:pPr>
            <w:r>
              <w:rPr>
                <w:rFonts w:hint="eastAsia" w:ascii="宋体" w:hAnsi="宋体" w:cs="宋体"/>
                <w:kern w:val="0"/>
                <w:sz w:val="18"/>
                <w:szCs w:val="18"/>
              </w:rPr>
              <w:t>部门名称：新乡市卫滨区健康路街道办事处</w:t>
            </w:r>
            <w:r>
              <w:rPr>
                <w:rFonts w:ascii="宋体" w:hAnsi="宋体" w:cs="宋体"/>
                <w:kern w:val="0"/>
                <w:sz w:val="18"/>
                <w:szCs w:val="18"/>
              </w:rPr>
              <w:t xml:space="preserve">                                                   </w:t>
            </w: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收入</w:t>
            </w:r>
          </w:p>
        </w:tc>
        <w:tc>
          <w:tcPr>
            <w:tcW w:w="462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项目</w:t>
            </w:r>
            <w:r>
              <w:rPr>
                <w:rFonts w:ascii="宋体" w:hAnsi="宋体" w:cs="宋体"/>
                <w:kern w:val="0"/>
                <w:sz w:val="18"/>
                <w:szCs w:val="18"/>
              </w:rPr>
              <w:t xml:space="preserve">  </w:t>
            </w:r>
          </w:p>
        </w:tc>
        <w:tc>
          <w:tcPr>
            <w:tcW w:w="154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金额</w:t>
            </w:r>
            <w:r>
              <w:rPr>
                <w:rFonts w:ascii="宋体" w:hAnsi="宋体" w:cs="宋体"/>
                <w:kern w:val="0"/>
                <w:sz w:val="18"/>
                <w:szCs w:val="18"/>
              </w:rPr>
              <w:t xml:space="preserve">  </w:t>
            </w:r>
          </w:p>
        </w:tc>
        <w:tc>
          <w:tcPr>
            <w:tcW w:w="308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 xml:space="preserve">  </w:t>
            </w:r>
          </w:p>
        </w:tc>
        <w:tc>
          <w:tcPr>
            <w:tcW w:w="154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481.26</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一、一般公共服务</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414.90</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477.76</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二、外交</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三、国防</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四、公共安全</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五、教育</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六、科学技术</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七、文化旅游体育与传媒</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八、社会保障和就业</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28.32</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九、社会保险基金支出</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十、卫生健康</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十一、节能环保</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十二、城乡社区事务</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十三、农林水事务</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十四、交通运输</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十五、资源勘探信息等</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十六、商业服务业等</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十七、金融支出</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十九、援助其他地区支出</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二十、自然资源海洋气象等支出</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二十一、住房保障支出</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二十二、粮油物资储备支出</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二十三、国有资本经营预算</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二十四、灾害防治及应急管理</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二十七、预备费</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二十九、其他支出</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三十、转移性支出</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三十一、债务还本支出</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三十二、债务付息支出</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三十三、债务发行费用支出</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三十四、抗疫特别国债安排的支出</w:t>
            </w:r>
          </w:p>
        </w:tc>
        <w:tc>
          <w:tcPr>
            <w:tcW w:w="15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本</w:t>
            </w:r>
            <w:r>
              <w:rPr>
                <w:rFonts w:ascii="宋体" w:hAnsi="宋体" w:cs="宋体"/>
                <w:kern w:val="0"/>
                <w:sz w:val="18"/>
                <w:szCs w:val="18"/>
              </w:rPr>
              <w:t xml:space="preserve"> </w:t>
            </w:r>
            <w:r>
              <w:rPr>
                <w:rFonts w:hint="eastAsia" w:ascii="宋体" w:hAnsi="宋体" w:cs="宋体"/>
                <w:kern w:val="0"/>
                <w:sz w:val="18"/>
                <w:szCs w:val="18"/>
              </w:rPr>
              <w:t>年</w:t>
            </w:r>
            <w:r>
              <w:rPr>
                <w:rFonts w:ascii="宋体" w:hAnsi="宋体" w:cs="宋体"/>
                <w:kern w:val="0"/>
                <w:sz w:val="18"/>
                <w:szCs w:val="18"/>
              </w:rPr>
              <w:t xml:space="preserve"> </w:t>
            </w:r>
            <w:r>
              <w:rPr>
                <w:rFonts w:hint="eastAsia" w:ascii="宋体" w:hAnsi="宋体" w:cs="宋体"/>
                <w:kern w:val="0"/>
                <w:sz w:val="18"/>
                <w:szCs w:val="18"/>
              </w:rPr>
              <w:t>收</w:t>
            </w:r>
            <w:r>
              <w:rPr>
                <w:rFonts w:ascii="宋体" w:hAnsi="宋体" w:cs="宋体"/>
                <w:kern w:val="0"/>
                <w:sz w:val="18"/>
                <w:szCs w:val="18"/>
              </w:rPr>
              <w:t xml:space="preserve"> </w:t>
            </w:r>
            <w:r>
              <w:rPr>
                <w:rFonts w:hint="eastAsia" w:ascii="宋体" w:hAnsi="宋体" w:cs="宋体"/>
                <w:kern w:val="0"/>
                <w:sz w:val="18"/>
                <w:szCs w:val="18"/>
              </w:rPr>
              <w:t>入</w:t>
            </w:r>
            <w:r>
              <w:rPr>
                <w:rFonts w:ascii="宋体" w:hAnsi="宋体" w:cs="宋体"/>
                <w:kern w:val="0"/>
                <w:sz w:val="18"/>
                <w:szCs w:val="18"/>
              </w:rPr>
              <w:t xml:space="preserve"> </w:t>
            </w:r>
            <w:r>
              <w:rPr>
                <w:rFonts w:hint="eastAsia" w:ascii="宋体" w:hAnsi="宋体" w:cs="宋体"/>
                <w:kern w:val="0"/>
                <w:sz w:val="18"/>
                <w:szCs w:val="18"/>
              </w:rPr>
              <w:t>合</w:t>
            </w:r>
            <w:r>
              <w:rPr>
                <w:rFonts w:ascii="宋体" w:hAnsi="宋体" w:cs="宋体"/>
                <w:kern w:val="0"/>
                <w:sz w:val="18"/>
                <w:szCs w:val="18"/>
              </w:rPr>
              <w:t xml:space="preserve"> </w:t>
            </w:r>
            <w:r>
              <w:rPr>
                <w:rFonts w:hint="eastAsia" w:ascii="宋体" w:hAnsi="宋体" w:cs="宋体"/>
                <w:kern w:val="0"/>
                <w:sz w:val="18"/>
                <w:szCs w:val="18"/>
              </w:rPr>
              <w:t>计</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481.26</w:t>
            </w:r>
          </w:p>
        </w:tc>
        <w:tc>
          <w:tcPr>
            <w:tcW w:w="308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本</w:t>
            </w:r>
            <w:r>
              <w:rPr>
                <w:rFonts w:ascii="宋体" w:hAnsi="宋体" w:cs="宋体"/>
                <w:kern w:val="0"/>
                <w:sz w:val="18"/>
                <w:szCs w:val="18"/>
              </w:rPr>
              <w:t xml:space="preserve"> </w:t>
            </w:r>
            <w:r>
              <w:rPr>
                <w:rFonts w:hint="eastAsia" w:ascii="宋体" w:hAnsi="宋体" w:cs="宋体"/>
                <w:kern w:val="0"/>
                <w:sz w:val="18"/>
                <w:szCs w:val="18"/>
              </w:rPr>
              <w:t>年</w:t>
            </w:r>
            <w:r>
              <w:rPr>
                <w:rFonts w:ascii="宋体" w:hAnsi="宋体" w:cs="宋体"/>
                <w:kern w:val="0"/>
                <w:sz w:val="18"/>
                <w:szCs w:val="18"/>
              </w:rPr>
              <w:t xml:space="preserve"> </w:t>
            </w:r>
            <w:r>
              <w:rPr>
                <w:rFonts w:hint="eastAsia" w:ascii="宋体" w:hAnsi="宋体" w:cs="宋体"/>
                <w:kern w:val="0"/>
                <w:sz w:val="18"/>
                <w:szCs w:val="18"/>
              </w:rPr>
              <w:t>支</w:t>
            </w:r>
            <w:r>
              <w:rPr>
                <w:rFonts w:ascii="宋体" w:hAnsi="宋体" w:cs="宋体"/>
                <w:kern w:val="0"/>
                <w:sz w:val="18"/>
                <w:szCs w:val="18"/>
              </w:rPr>
              <w:t xml:space="preserve"> </w:t>
            </w:r>
            <w:r>
              <w:rPr>
                <w:rFonts w:hint="eastAsia" w:ascii="宋体" w:hAnsi="宋体" w:cs="宋体"/>
                <w:kern w:val="0"/>
                <w:sz w:val="18"/>
                <w:szCs w:val="18"/>
              </w:rPr>
              <w:t>出</w:t>
            </w:r>
            <w:r>
              <w:rPr>
                <w:rFonts w:ascii="宋体" w:hAnsi="宋体" w:cs="宋体"/>
                <w:kern w:val="0"/>
                <w:sz w:val="18"/>
                <w:szCs w:val="18"/>
              </w:rPr>
              <w:t xml:space="preserve"> </w:t>
            </w:r>
            <w:r>
              <w:rPr>
                <w:rFonts w:hint="eastAsia" w:ascii="宋体" w:hAnsi="宋体" w:cs="宋体"/>
                <w:kern w:val="0"/>
                <w:sz w:val="18"/>
                <w:szCs w:val="18"/>
              </w:rPr>
              <w:t>合</w:t>
            </w:r>
            <w:r>
              <w:rPr>
                <w:rFonts w:ascii="宋体" w:hAnsi="宋体" w:cs="宋体"/>
                <w:kern w:val="0"/>
                <w:sz w:val="18"/>
                <w:szCs w:val="18"/>
              </w:rPr>
              <w:t xml:space="preserve"> </w:t>
            </w:r>
            <w:r>
              <w:rPr>
                <w:rFonts w:hint="eastAsia" w:ascii="宋体" w:hAnsi="宋体" w:cs="宋体"/>
                <w:kern w:val="0"/>
                <w:sz w:val="18"/>
                <w:szCs w:val="18"/>
              </w:rPr>
              <w:t>计</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898.88</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417.62</w:t>
            </w:r>
          </w:p>
        </w:tc>
        <w:tc>
          <w:tcPr>
            <w:tcW w:w="30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年终结转结余</w:t>
            </w:r>
          </w:p>
        </w:tc>
        <w:tc>
          <w:tcPr>
            <w:tcW w:w="15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收</w:t>
            </w:r>
            <w:r>
              <w:rPr>
                <w:rFonts w:ascii="宋体" w:hAnsi="宋体" w:cs="宋体"/>
                <w:kern w:val="0"/>
                <w:sz w:val="18"/>
                <w:szCs w:val="18"/>
              </w:rPr>
              <w:t xml:space="preserve"> </w:t>
            </w:r>
            <w:r>
              <w:rPr>
                <w:rFonts w:hint="eastAsia" w:ascii="宋体" w:hAnsi="宋体" w:cs="宋体"/>
                <w:kern w:val="0"/>
                <w:sz w:val="18"/>
                <w:szCs w:val="18"/>
              </w:rPr>
              <w:t>入</w:t>
            </w:r>
            <w:r>
              <w:rPr>
                <w:rFonts w:ascii="宋体" w:hAnsi="宋体" w:cs="宋体"/>
                <w:kern w:val="0"/>
                <w:sz w:val="18"/>
                <w:szCs w:val="18"/>
              </w:rPr>
              <w:t xml:space="preserve"> </w:t>
            </w:r>
            <w:r>
              <w:rPr>
                <w:rFonts w:hint="eastAsia" w:ascii="宋体" w:hAnsi="宋体" w:cs="宋体"/>
                <w:kern w:val="0"/>
                <w:sz w:val="18"/>
                <w:szCs w:val="18"/>
              </w:rPr>
              <w:t>总</w:t>
            </w:r>
            <w:r>
              <w:rPr>
                <w:rFonts w:ascii="宋体" w:hAnsi="宋体" w:cs="宋体"/>
                <w:kern w:val="0"/>
                <w:sz w:val="18"/>
                <w:szCs w:val="18"/>
              </w:rPr>
              <w:t xml:space="preserve"> </w:t>
            </w:r>
            <w:r>
              <w:rPr>
                <w:rFonts w:hint="eastAsia" w:ascii="宋体" w:hAnsi="宋体" w:cs="宋体"/>
                <w:kern w:val="0"/>
                <w:sz w:val="18"/>
                <w:szCs w:val="18"/>
              </w:rPr>
              <w:t>计</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898.88</w:t>
            </w:r>
          </w:p>
        </w:tc>
        <w:tc>
          <w:tcPr>
            <w:tcW w:w="308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支</w:t>
            </w:r>
            <w:r>
              <w:rPr>
                <w:rFonts w:ascii="宋体" w:hAnsi="宋体" w:cs="宋体"/>
                <w:kern w:val="0"/>
                <w:sz w:val="18"/>
                <w:szCs w:val="18"/>
              </w:rPr>
              <w:t xml:space="preserve"> </w:t>
            </w:r>
            <w:r>
              <w:rPr>
                <w:rFonts w:hint="eastAsia" w:ascii="宋体" w:hAnsi="宋体" w:cs="宋体"/>
                <w:kern w:val="0"/>
                <w:sz w:val="18"/>
                <w:szCs w:val="18"/>
              </w:rPr>
              <w:t>出</w:t>
            </w:r>
            <w:r>
              <w:rPr>
                <w:rFonts w:ascii="宋体" w:hAnsi="宋体" w:cs="宋体"/>
                <w:kern w:val="0"/>
                <w:sz w:val="18"/>
                <w:szCs w:val="18"/>
              </w:rPr>
              <w:t xml:space="preserve"> </w:t>
            </w:r>
            <w:r>
              <w:rPr>
                <w:rFonts w:hint="eastAsia" w:ascii="宋体" w:hAnsi="宋体" w:cs="宋体"/>
                <w:kern w:val="0"/>
                <w:sz w:val="18"/>
                <w:szCs w:val="18"/>
              </w:rPr>
              <w:t>总</w:t>
            </w:r>
            <w:r>
              <w:rPr>
                <w:rFonts w:ascii="宋体" w:hAnsi="宋体" w:cs="宋体"/>
                <w:kern w:val="0"/>
                <w:sz w:val="18"/>
                <w:szCs w:val="18"/>
              </w:rPr>
              <w:t xml:space="preserve"> </w:t>
            </w:r>
            <w:r>
              <w:rPr>
                <w:rFonts w:hint="eastAsia" w:ascii="宋体" w:hAnsi="宋体" w:cs="宋体"/>
                <w:kern w:val="0"/>
                <w:sz w:val="18"/>
                <w:szCs w:val="18"/>
              </w:rPr>
              <w:t>计</w:t>
            </w:r>
          </w:p>
        </w:tc>
        <w:tc>
          <w:tcPr>
            <w:tcW w:w="15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898.88</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vAlign w:val="center"/>
          </w:tcPr>
          <w:p>
            <w:pPr>
              <w:widowControl/>
              <w:jc w:val="right"/>
              <w:rPr>
                <w:rFonts w:ascii="宋体" w:cs="宋体"/>
                <w:kern w:val="0"/>
                <w:sz w:val="18"/>
                <w:szCs w:val="18"/>
              </w:rPr>
            </w:pPr>
            <w:r>
              <w:rPr>
                <w:rFonts w:hint="eastAsia" w:ascii="宋体" w:hAnsi="宋体" w:cs="宋体"/>
                <w:kern w:val="0"/>
                <w:sz w:val="18"/>
                <w:szCs w:val="18"/>
              </w:rPr>
              <w:t>预算</w:t>
            </w:r>
            <w:r>
              <w:rPr>
                <w:rFonts w:ascii="宋体" w:hAnsi="宋体" w:cs="宋体"/>
                <w:kern w:val="0"/>
                <w:sz w:val="18"/>
                <w:szCs w:val="18"/>
              </w:rPr>
              <w:t>02</w:t>
            </w:r>
            <w:r>
              <w:rPr>
                <w:rFonts w:hint="eastAsia" w:ascii="宋体" w:hAnsi="宋体" w:cs="宋体"/>
                <w:kern w:val="0"/>
                <w:sz w:val="18"/>
                <w:szCs w:val="18"/>
              </w:rPr>
              <w:t>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vAlign w:val="center"/>
          </w:tcPr>
          <w:p>
            <w:pPr>
              <w:widowControl/>
              <w:jc w:val="center"/>
              <w:rPr>
                <w:rFonts w:ascii="宋体" w:cs="宋体"/>
                <w:b/>
                <w:bCs/>
                <w:kern w:val="0"/>
                <w:sz w:val="38"/>
                <w:szCs w:val="38"/>
              </w:rPr>
            </w:pPr>
            <w:r>
              <w:rPr>
                <w:rFonts w:ascii="宋体" w:hAnsi="宋体" w:cs="宋体"/>
                <w:b/>
                <w:bCs/>
                <w:kern w:val="0"/>
                <w:sz w:val="38"/>
                <w:szCs w:val="38"/>
              </w:rPr>
              <w:t>2024</w:t>
            </w:r>
            <w:r>
              <w:rPr>
                <w:rFonts w:hint="eastAsia" w:ascii="宋体" w:hAnsi="宋体" w:cs="宋体"/>
                <w:b/>
                <w:bCs/>
                <w:kern w:val="0"/>
                <w:sz w:val="38"/>
                <w:szCs w:val="38"/>
              </w:rPr>
              <w:t>年部门收入预算表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vAlign w:val="center"/>
          </w:tcPr>
          <w:p>
            <w:pPr>
              <w:widowControl/>
              <w:jc w:val="left"/>
              <w:rPr>
                <w:rFonts w:ascii="宋体" w:cs="宋体"/>
                <w:kern w:val="0"/>
                <w:sz w:val="18"/>
                <w:szCs w:val="18"/>
              </w:rPr>
            </w:pPr>
            <w:r>
              <w:rPr>
                <w:rFonts w:hint="eastAsia" w:ascii="宋体" w:hAnsi="宋体" w:cs="宋体"/>
                <w:kern w:val="0"/>
                <w:sz w:val="18"/>
                <w:szCs w:val="18"/>
              </w:rPr>
              <w:t>部门名称：新乡市卫滨区健康路街道办事处</w:t>
            </w:r>
            <w:r>
              <w:rPr>
                <w:rFonts w:ascii="宋体" w:hAnsi="宋体" w:cs="宋体"/>
                <w:kern w:val="0"/>
                <w:sz w:val="18"/>
                <w:szCs w:val="18"/>
              </w:rPr>
              <w:t xml:space="preserve">                                                                                                                       </w:t>
            </w: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总计</w:t>
            </w:r>
          </w:p>
        </w:tc>
        <w:tc>
          <w:tcPr>
            <w:tcW w:w="7220" w:type="dxa"/>
            <w:gridSpan w:val="11"/>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本年收入</w:t>
            </w:r>
          </w:p>
        </w:tc>
        <w:tc>
          <w:tcPr>
            <w:tcW w:w="4140"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82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合计</w:t>
            </w:r>
          </w:p>
        </w:tc>
        <w:tc>
          <w:tcPr>
            <w:tcW w:w="17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财政专户管理资金收入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事业收入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事业单位经营收入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上级补助收入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附属单位上缴收入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其他收入</w:t>
            </w:r>
            <w:r>
              <w:rPr>
                <w:rFonts w:ascii="宋体" w:hAnsi="宋体" w:cs="宋体"/>
                <w:kern w:val="0"/>
                <w:sz w:val="18"/>
                <w:szCs w:val="18"/>
              </w:rPr>
              <w:t xml:space="preserve">  </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合计</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财政专户管理资金</w:t>
            </w:r>
          </w:p>
        </w:tc>
        <w:tc>
          <w:tcPr>
            <w:tcW w:w="124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88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小计</w:t>
            </w:r>
          </w:p>
        </w:tc>
        <w:tc>
          <w:tcPr>
            <w:tcW w:w="88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246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合计</w:t>
            </w:r>
          </w:p>
        </w:tc>
        <w:tc>
          <w:tcPr>
            <w:tcW w:w="82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898.88</w:t>
            </w:r>
          </w:p>
        </w:tc>
        <w:tc>
          <w:tcPr>
            <w:tcW w:w="82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481.26</w:t>
            </w:r>
          </w:p>
        </w:tc>
        <w:tc>
          <w:tcPr>
            <w:tcW w:w="8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481.26</w:t>
            </w:r>
          </w:p>
        </w:tc>
        <w:tc>
          <w:tcPr>
            <w:tcW w:w="8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477.76</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417.62</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397.62</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404</w:t>
            </w:r>
          </w:p>
        </w:tc>
        <w:tc>
          <w:tcPr>
            <w:tcW w:w="246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新乡市卫滨区健康路街道办事处</w:t>
            </w:r>
          </w:p>
        </w:tc>
        <w:tc>
          <w:tcPr>
            <w:tcW w:w="82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898.88</w:t>
            </w:r>
          </w:p>
        </w:tc>
        <w:tc>
          <w:tcPr>
            <w:tcW w:w="82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481.26</w:t>
            </w:r>
          </w:p>
        </w:tc>
        <w:tc>
          <w:tcPr>
            <w:tcW w:w="8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481.26</w:t>
            </w:r>
          </w:p>
        </w:tc>
        <w:tc>
          <w:tcPr>
            <w:tcW w:w="8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477.76</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417.62</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397.62</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 xml:space="preserve">  404001</w:t>
            </w:r>
          </w:p>
        </w:tc>
        <w:tc>
          <w:tcPr>
            <w:tcW w:w="246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 xml:space="preserve">  </w:t>
            </w:r>
            <w:r>
              <w:rPr>
                <w:rFonts w:hint="eastAsia"/>
                <w:sz w:val="18"/>
                <w:szCs w:val="18"/>
              </w:rPr>
              <w:t>新乡市卫滨区健康路街道办事处本级</w:t>
            </w:r>
          </w:p>
        </w:tc>
        <w:tc>
          <w:tcPr>
            <w:tcW w:w="82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477.76</w:t>
            </w:r>
          </w:p>
        </w:tc>
        <w:tc>
          <w:tcPr>
            <w:tcW w:w="82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477.76</w:t>
            </w:r>
          </w:p>
        </w:tc>
        <w:tc>
          <w:tcPr>
            <w:tcW w:w="8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477.76</w:t>
            </w:r>
          </w:p>
        </w:tc>
        <w:tc>
          <w:tcPr>
            <w:tcW w:w="8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477.76</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p>
        </w:tc>
        <w:tc>
          <w:tcPr>
            <w:tcW w:w="246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 xml:space="preserve">  </w:t>
            </w:r>
            <w:r>
              <w:rPr>
                <w:rFonts w:hint="eastAsia"/>
                <w:sz w:val="18"/>
                <w:szCs w:val="18"/>
              </w:rPr>
              <w:t>新乡市卫滨区健康路街道办事处</w:t>
            </w:r>
          </w:p>
        </w:tc>
        <w:tc>
          <w:tcPr>
            <w:tcW w:w="82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421.12</w:t>
            </w:r>
          </w:p>
        </w:tc>
        <w:tc>
          <w:tcPr>
            <w:tcW w:w="82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8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8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417.62</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397.62</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c>
          <w:tcPr>
            <w:tcW w:w="5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vAlign w:val="center"/>
          </w:tcPr>
          <w:p>
            <w:pPr>
              <w:widowControl/>
              <w:jc w:val="right"/>
              <w:rPr>
                <w:rFonts w:ascii="宋体" w:cs="宋体"/>
                <w:kern w:val="0"/>
                <w:sz w:val="18"/>
                <w:szCs w:val="18"/>
              </w:rPr>
            </w:pPr>
            <w:r>
              <w:rPr>
                <w:rFonts w:hint="eastAsia" w:ascii="宋体" w:hAnsi="宋体" w:cs="宋体"/>
                <w:kern w:val="0"/>
                <w:sz w:val="18"/>
                <w:szCs w:val="18"/>
              </w:rPr>
              <w:t>预算</w:t>
            </w:r>
            <w:r>
              <w:rPr>
                <w:rFonts w:ascii="宋体" w:hAnsi="宋体" w:cs="宋体"/>
                <w:kern w:val="0"/>
                <w:sz w:val="18"/>
                <w:szCs w:val="18"/>
              </w:rPr>
              <w:t>03</w:t>
            </w:r>
            <w:r>
              <w:rPr>
                <w:rFonts w:hint="eastAsia" w:ascii="宋体" w:hAnsi="宋体" w:cs="宋体"/>
                <w:kern w:val="0"/>
                <w:sz w:val="18"/>
                <w:szCs w:val="18"/>
              </w:rPr>
              <w:t>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vAlign w:val="center"/>
          </w:tcPr>
          <w:p>
            <w:pPr>
              <w:widowControl/>
              <w:jc w:val="center"/>
              <w:rPr>
                <w:rFonts w:ascii="宋体" w:cs="宋体"/>
                <w:b/>
                <w:bCs/>
                <w:kern w:val="0"/>
                <w:sz w:val="38"/>
                <w:szCs w:val="38"/>
              </w:rPr>
            </w:pPr>
            <w:r>
              <w:rPr>
                <w:rFonts w:ascii="宋体" w:hAnsi="宋体" w:cs="宋体"/>
                <w:b/>
                <w:bCs/>
                <w:kern w:val="0"/>
                <w:sz w:val="38"/>
                <w:szCs w:val="38"/>
              </w:rPr>
              <w:t>2024</w:t>
            </w:r>
            <w:r>
              <w:rPr>
                <w:rFonts w:hint="eastAsia" w:ascii="宋体" w:hAnsi="宋体" w:cs="宋体"/>
                <w:b/>
                <w:bCs/>
                <w:kern w:val="0"/>
                <w:sz w:val="38"/>
                <w:szCs w:val="38"/>
              </w:rPr>
              <w:t>年部门支出预算表</w:t>
            </w:r>
          </w:p>
        </w:tc>
      </w:tr>
      <w:tr>
        <w:tblPrEx>
          <w:tblLayout w:type="fixed"/>
          <w:tblCellMar>
            <w:top w:w="0" w:type="dxa"/>
            <w:left w:w="108" w:type="dxa"/>
            <w:bottom w:w="0" w:type="dxa"/>
            <w:right w:w="108" w:type="dxa"/>
          </w:tblCellMar>
        </w:tblPrEx>
        <w:trPr>
          <w:trHeight w:val="285" w:hRule="atLeast"/>
        </w:trPr>
        <w:tc>
          <w:tcPr>
            <w:tcW w:w="13640" w:type="dxa"/>
            <w:gridSpan w:val="13"/>
            <w:tcBorders>
              <w:top w:val="nil"/>
              <w:left w:val="nil"/>
              <w:bottom w:val="nil"/>
              <w:right w:val="nil"/>
            </w:tcBorders>
            <w:vAlign w:val="center"/>
          </w:tcPr>
          <w:p>
            <w:pPr>
              <w:widowControl/>
              <w:rPr>
                <w:rFonts w:ascii="宋体" w:cs="宋体"/>
                <w:kern w:val="0"/>
                <w:sz w:val="18"/>
                <w:szCs w:val="18"/>
              </w:rPr>
            </w:pPr>
            <w:r>
              <w:rPr>
                <w:rFonts w:hint="eastAsia" w:ascii="宋体" w:hAnsi="宋体" w:cs="宋体"/>
                <w:kern w:val="0"/>
                <w:sz w:val="18"/>
                <w:szCs w:val="18"/>
              </w:rPr>
              <w:t>部门名称：新乡市卫滨区健康路街道办事处</w:t>
            </w:r>
          </w:p>
        </w:tc>
        <w:tc>
          <w:tcPr>
            <w:tcW w:w="1401" w:type="dxa"/>
            <w:gridSpan w:val="2"/>
            <w:tcBorders>
              <w:top w:val="nil"/>
              <w:left w:val="nil"/>
              <w:bottom w:val="nil"/>
              <w:right w:val="nil"/>
            </w:tcBorders>
            <w:vAlign w:val="center"/>
          </w:tcPr>
          <w:p>
            <w:pPr>
              <w:widowControl/>
              <w:jc w:val="center"/>
              <w:rPr>
                <w:rFonts w:asci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合计</w:t>
            </w:r>
          </w:p>
        </w:tc>
        <w:tc>
          <w:tcPr>
            <w:tcW w:w="5812"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基本支出</w:t>
            </w:r>
            <w:r>
              <w:rPr>
                <w:rFonts w:ascii="宋体" w:hAnsi="宋体" w:cs="宋体"/>
                <w:kern w:val="0"/>
                <w:sz w:val="18"/>
                <w:szCs w:val="18"/>
              </w:rPr>
              <w:t xml:space="preserve">  </w:t>
            </w:r>
          </w:p>
        </w:tc>
        <w:tc>
          <w:tcPr>
            <w:tcW w:w="340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03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人员经费</w:t>
            </w:r>
          </w:p>
        </w:tc>
        <w:tc>
          <w:tcPr>
            <w:tcW w:w="241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公用经费</w:t>
            </w:r>
          </w:p>
        </w:tc>
        <w:tc>
          <w:tcPr>
            <w:tcW w:w="113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小计</w:t>
            </w:r>
          </w:p>
        </w:tc>
        <w:tc>
          <w:tcPr>
            <w:tcW w:w="1134" w:type="dxa"/>
            <w:gridSpan w:val="2"/>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其他运转类</w:t>
            </w:r>
          </w:p>
        </w:tc>
        <w:tc>
          <w:tcPr>
            <w:tcW w:w="113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特定目标类</w:t>
            </w:r>
          </w:p>
        </w:tc>
      </w:tr>
      <w:tr>
        <w:tblPrEx>
          <w:tblLayout w:type="fixed"/>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18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对个人和家庭的补助</w:t>
            </w:r>
          </w:p>
        </w:tc>
        <w:tc>
          <w:tcPr>
            <w:tcW w:w="1427"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商品和服务支出</w:t>
            </w:r>
          </w:p>
        </w:tc>
        <w:tc>
          <w:tcPr>
            <w:tcW w:w="992"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7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259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合计</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898.88</w:t>
            </w:r>
          </w:p>
        </w:tc>
        <w:tc>
          <w:tcPr>
            <w:tcW w:w="1033"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278.76</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242.45</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23.52</w:t>
            </w:r>
          </w:p>
        </w:tc>
        <w:tc>
          <w:tcPr>
            <w:tcW w:w="1427"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12.79</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620.12</w:t>
            </w:r>
          </w:p>
        </w:tc>
        <w:tc>
          <w:tcPr>
            <w:tcW w:w="1134"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199.00</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421.12</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 xml:space="preserve"> </w:t>
            </w:r>
          </w:p>
        </w:tc>
        <w:tc>
          <w:tcPr>
            <w:tcW w:w="500" w:type="dxa"/>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404</w:t>
            </w:r>
          </w:p>
        </w:tc>
        <w:tc>
          <w:tcPr>
            <w:tcW w:w="2595" w:type="dxa"/>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新乡市卫滨区健康路街道办事处</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898.88</w:t>
            </w:r>
          </w:p>
        </w:tc>
        <w:tc>
          <w:tcPr>
            <w:tcW w:w="1033"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278.76</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242.45</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23.52</w:t>
            </w:r>
          </w:p>
        </w:tc>
        <w:tc>
          <w:tcPr>
            <w:tcW w:w="1427"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12.79</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620.12</w:t>
            </w:r>
          </w:p>
        </w:tc>
        <w:tc>
          <w:tcPr>
            <w:tcW w:w="1134"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199.00</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421.12</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201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03</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行政运行</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215.90</w:t>
            </w:r>
          </w:p>
        </w:tc>
        <w:tc>
          <w:tcPr>
            <w:tcW w:w="1033"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215.90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180.50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22.61</w:t>
            </w:r>
          </w:p>
        </w:tc>
        <w:tc>
          <w:tcPr>
            <w:tcW w:w="1427"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12.79</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201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03</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99</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其他政府办公厅（室）及相关机构事务支出</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199.00</w:t>
            </w:r>
          </w:p>
        </w:tc>
        <w:tc>
          <w:tcPr>
            <w:tcW w:w="1033"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199.00</w:t>
            </w:r>
          </w:p>
        </w:tc>
        <w:tc>
          <w:tcPr>
            <w:tcW w:w="1134"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199.00</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207</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99</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其他文化和旅游支出</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1033"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1134"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208</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05</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05</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机关事业单位基本养老保险缴费支出</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27.41</w:t>
            </w:r>
          </w:p>
        </w:tc>
        <w:tc>
          <w:tcPr>
            <w:tcW w:w="1033"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27.41</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27.41</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208</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08</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死亡抚恤</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0.91</w:t>
            </w:r>
          </w:p>
        </w:tc>
        <w:tc>
          <w:tcPr>
            <w:tcW w:w="1033"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0.91</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0.91</w:t>
            </w:r>
          </w:p>
        </w:tc>
        <w:tc>
          <w:tcPr>
            <w:tcW w:w="142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210</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11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行政单位医疗</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1033"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221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08</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老旧小区改造</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397.62</w:t>
            </w:r>
          </w:p>
        </w:tc>
        <w:tc>
          <w:tcPr>
            <w:tcW w:w="1033"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397.62</w:t>
            </w:r>
          </w:p>
        </w:tc>
        <w:tc>
          <w:tcPr>
            <w:tcW w:w="1134"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397.62</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221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02</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住房公积金</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1033"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223</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05</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国有企业退休人员社会化管理补助支出</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c>
          <w:tcPr>
            <w:tcW w:w="1033"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c>
          <w:tcPr>
            <w:tcW w:w="1134"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vAlign w:val="center"/>
          </w:tcPr>
          <w:p>
            <w:pPr>
              <w:widowControl/>
              <w:jc w:val="right"/>
              <w:rPr>
                <w:rFonts w:ascii="宋体" w:cs="宋体"/>
                <w:kern w:val="0"/>
                <w:sz w:val="18"/>
                <w:szCs w:val="18"/>
              </w:rPr>
            </w:pPr>
            <w:r>
              <w:rPr>
                <w:rFonts w:hint="eastAsia" w:ascii="宋体" w:hAnsi="宋体" w:cs="宋体"/>
                <w:kern w:val="0"/>
                <w:sz w:val="18"/>
                <w:szCs w:val="18"/>
              </w:rPr>
              <w:t>预算</w:t>
            </w:r>
            <w:r>
              <w:rPr>
                <w:rFonts w:ascii="宋体" w:hAnsi="宋体" w:cs="宋体"/>
                <w:kern w:val="0"/>
                <w:sz w:val="18"/>
                <w:szCs w:val="18"/>
              </w:rPr>
              <w:t>04</w:t>
            </w:r>
            <w:r>
              <w:rPr>
                <w:rFonts w:hint="eastAsia" w:ascii="宋体" w:hAnsi="宋体" w:cs="宋体"/>
                <w:kern w:val="0"/>
                <w:sz w:val="18"/>
                <w:szCs w:val="18"/>
              </w:rPr>
              <w:t>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vAlign w:val="center"/>
          </w:tcPr>
          <w:p>
            <w:pPr>
              <w:widowControl/>
              <w:jc w:val="center"/>
              <w:rPr>
                <w:rFonts w:ascii="宋体" w:cs="宋体"/>
                <w:b/>
                <w:bCs/>
                <w:kern w:val="0"/>
                <w:sz w:val="38"/>
                <w:szCs w:val="38"/>
              </w:rPr>
            </w:pPr>
            <w:r>
              <w:rPr>
                <w:rFonts w:ascii="宋体" w:hAnsi="宋体" w:cs="宋体"/>
                <w:b/>
                <w:bCs/>
                <w:kern w:val="0"/>
                <w:sz w:val="38"/>
                <w:szCs w:val="38"/>
              </w:rPr>
              <w:t>2024</w:t>
            </w:r>
            <w:r>
              <w:rPr>
                <w:rFonts w:hint="eastAsia" w:ascii="宋体" w:hAnsi="宋体" w:cs="宋体"/>
                <w:b/>
                <w:bCs/>
                <w:kern w:val="0"/>
                <w:sz w:val="38"/>
                <w:szCs w:val="38"/>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部门名称：新乡市卫滨区健康路街道办事处</w:t>
            </w:r>
            <w:r>
              <w:rPr>
                <w:rFonts w:ascii="宋体" w:hAnsi="宋体" w:cs="宋体"/>
                <w:kern w:val="0"/>
                <w:sz w:val="15"/>
                <w:szCs w:val="15"/>
              </w:rPr>
              <w:t xml:space="preserve">                                                                                    </w:t>
            </w:r>
            <w:r>
              <w:rPr>
                <w:rFonts w:hint="eastAsia" w:ascii="宋体" w:hAnsi="宋体" w:cs="宋体"/>
                <w:kern w:val="0"/>
                <w:sz w:val="15"/>
                <w:szCs w:val="15"/>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收入</w:t>
            </w:r>
            <w:r>
              <w:rPr>
                <w:rFonts w:ascii="宋体" w:hAnsi="宋体" w:cs="宋体"/>
                <w:kern w:val="0"/>
                <w:sz w:val="15"/>
                <w:szCs w:val="15"/>
              </w:rPr>
              <w:t xml:space="preserve">  </w:t>
            </w:r>
          </w:p>
        </w:tc>
        <w:tc>
          <w:tcPr>
            <w:tcW w:w="7539" w:type="dxa"/>
            <w:gridSpan w:val="6"/>
            <w:tcBorders>
              <w:top w:val="single" w:color="000000" w:sz="4" w:space="0"/>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支出</w:t>
            </w:r>
            <w:r>
              <w:rPr>
                <w:rFonts w:ascii="宋体" w:hAnsi="宋体" w:cs="宋体"/>
                <w:kern w:val="0"/>
                <w:sz w:val="15"/>
                <w:szCs w:val="15"/>
              </w:rPr>
              <w:t xml:space="preserve">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项</w:t>
            </w:r>
            <w:r>
              <w:rPr>
                <w:rFonts w:ascii="宋体" w:hAnsi="宋体" w:cs="宋体"/>
                <w:kern w:val="0"/>
                <w:sz w:val="15"/>
                <w:szCs w:val="15"/>
              </w:rPr>
              <w:t xml:space="preserve"> </w:t>
            </w:r>
            <w:r>
              <w:rPr>
                <w:rFonts w:hint="eastAsia" w:ascii="宋体" w:hAnsi="宋体" w:cs="宋体"/>
                <w:kern w:val="0"/>
                <w:sz w:val="15"/>
                <w:szCs w:val="15"/>
              </w:rPr>
              <w:t>目</w:t>
            </w:r>
            <w:r>
              <w:rPr>
                <w:rFonts w:ascii="宋体" w:hAnsi="宋体" w:cs="宋体"/>
                <w:kern w:val="0"/>
                <w:sz w:val="15"/>
                <w:szCs w:val="15"/>
              </w:rPr>
              <w:t xml:space="preserve">  </w:t>
            </w:r>
          </w:p>
        </w:tc>
        <w:tc>
          <w:tcPr>
            <w:tcW w:w="840" w:type="dxa"/>
            <w:vMerge w:val="restart"/>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金　额</w:t>
            </w:r>
          </w:p>
        </w:tc>
        <w:tc>
          <w:tcPr>
            <w:tcW w:w="2640" w:type="dxa"/>
            <w:vMerge w:val="restart"/>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项</w:t>
            </w:r>
            <w:r>
              <w:rPr>
                <w:rFonts w:ascii="宋体" w:hAnsi="宋体" w:cs="宋体"/>
                <w:kern w:val="0"/>
                <w:sz w:val="15"/>
                <w:szCs w:val="15"/>
              </w:rPr>
              <w:t xml:space="preserve"> </w:t>
            </w:r>
            <w:r>
              <w:rPr>
                <w:rFonts w:hint="eastAsia" w:ascii="宋体" w:hAnsi="宋体" w:cs="宋体"/>
                <w:kern w:val="0"/>
                <w:sz w:val="15"/>
                <w:szCs w:val="15"/>
              </w:rPr>
              <w:t>目</w:t>
            </w:r>
            <w:r>
              <w:rPr>
                <w:rFonts w:ascii="宋体" w:hAnsi="宋体" w:cs="宋体"/>
                <w:kern w:val="0"/>
                <w:sz w:val="15"/>
                <w:szCs w:val="15"/>
              </w:rPr>
              <w:t xml:space="preserve">  </w:t>
            </w:r>
          </w:p>
        </w:tc>
        <w:tc>
          <w:tcPr>
            <w:tcW w:w="1085" w:type="dxa"/>
            <w:vMerge w:val="restart"/>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合计</w:t>
            </w:r>
          </w:p>
        </w:tc>
        <w:tc>
          <w:tcPr>
            <w:tcW w:w="2156" w:type="dxa"/>
            <w:gridSpan w:val="2"/>
            <w:tcBorders>
              <w:top w:val="single" w:color="000000" w:sz="4" w:space="0"/>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一般公共预算</w:t>
            </w:r>
            <w:r>
              <w:rPr>
                <w:rFonts w:ascii="宋体" w:hAnsi="宋体" w:cs="宋体"/>
                <w:kern w:val="0"/>
                <w:sz w:val="15"/>
                <w:szCs w:val="15"/>
              </w:rPr>
              <w:t xml:space="preserve">  </w:t>
            </w:r>
          </w:p>
        </w:tc>
        <w:tc>
          <w:tcPr>
            <w:tcW w:w="736" w:type="dxa"/>
            <w:vMerge w:val="restart"/>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政府性基金</w:t>
            </w:r>
            <w:r>
              <w:rPr>
                <w:rFonts w:ascii="宋体" w:hAnsi="宋体" w:cs="宋体"/>
                <w:kern w:val="0"/>
                <w:sz w:val="15"/>
                <w:szCs w:val="15"/>
              </w:rPr>
              <w:t xml:space="preserve">  </w:t>
            </w:r>
          </w:p>
        </w:tc>
        <w:tc>
          <w:tcPr>
            <w:tcW w:w="922" w:type="dxa"/>
            <w:vMerge w:val="restart"/>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国有资本经营预算</w:t>
            </w:r>
          </w:p>
        </w:tc>
      </w:tr>
      <w:tr>
        <w:tblPrEx>
          <w:tblLayout w:type="fixed"/>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p>
        </w:tc>
        <w:tc>
          <w:tcPr>
            <w:tcW w:w="1147"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小计</w:t>
            </w:r>
            <w:r>
              <w:rPr>
                <w:rFonts w:ascii="宋体" w:hAnsi="宋体" w:cs="宋体"/>
                <w:kern w:val="0"/>
                <w:sz w:val="15"/>
                <w:szCs w:val="15"/>
              </w:rPr>
              <w:t xml:space="preserve">  </w:t>
            </w:r>
          </w:p>
        </w:tc>
        <w:tc>
          <w:tcPr>
            <w:tcW w:w="1009"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一、本年收入</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481.26</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一、本年支出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898.88</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878.88</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477.76</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481.26</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（一）一般公共服务支出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414.90</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414.90</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414.90</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其中：财政拨款</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477.76</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（二）外交支出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（三）国防支出</w:t>
            </w:r>
            <w:r>
              <w:rPr>
                <w:rFonts w:ascii="宋体" w:hAnsi="宋体" w:cs="宋体"/>
                <w:kern w:val="0"/>
                <w:sz w:val="15"/>
                <w:szCs w:val="15"/>
              </w:rPr>
              <w:t>(</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（四）公共安全支出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二、上年结转</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417.62</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（五）教育支出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397.62</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（六）科学技术支出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（七）文化体育旅游与传媒支出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（八）社会保障和就业支出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28.32</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28.32</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28.32</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（九）医疗卫生与计划生育支出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（十）卫生健康支出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（十一）节能环保支出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（十二）城乡社区事务支出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（十三）农林水事务支出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（十四）交通运输支出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（十五）资源勘探信息等支出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（十六）商业服务业等支出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（十七）金融支出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（十九）援助其他地区支出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（二十）自然资源海洋气象等支出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（二十一）住房保障支出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418.30</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418.30</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（二十二）粮油物资储备支出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（二十三）国有资本经营预算</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（二十四）灾害防治及应急管理</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（二十七）预备费</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（二十九）其他支出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（三十）转移性支出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（三十一）债务还本支出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（三十二）债务付息支出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（三十三）债务发行费用支出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（三十四）抗疫特别国债安排的支出</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二、年终结转结余</w:t>
            </w:r>
          </w:p>
        </w:tc>
        <w:tc>
          <w:tcPr>
            <w:tcW w:w="1085"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1147"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100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736"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收入合计：</w:t>
            </w:r>
          </w:p>
        </w:tc>
        <w:tc>
          <w:tcPr>
            <w:tcW w:w="840" w:type="dxa"/>
            <w:tcBorders>
              <w:top w:val="nil"/>
              <w:left w:val="nil"/>
              <w:bottom w:val="single" w:color="000000" w:sz="4" w:space="0"/>
              <w:right w:val="single" w:color="000000" w:sz="4" w:space="0"/>
            </w:tcBorders>
            <w:vAlign w:val="center"/>
          </w:tcPr>
          <w:p>
            <w:pPr>
              <w:jc w:val="left"/>
              <w:rPr>
                <w:rFonts w:ascii="宋体" w:cs="宋体"/>
                <w:sz w:val="18"/>
                <w:szCs w:val="18"/>
              </w:rPr>
            </w:pPr>
            <w:r>
              <w:rPr>
                <w:sz w:val="18"/>
                <w:szCs w:val="18"/>
              </w:rPr>
              <w:t>898.88</w:t>
            </w:r>
          </w:p>
        </w:tc>
        <w:tc>
          <w:tcPr>
            <w:tcW w:w="2640" w:type="dxa"/>
            <w:tcBorders>
              <w:top w:val="nil"/>
              <w:left w:val="nil"/>
              <w:bottom w:val="single" w:color="000000" w:sz="4" w:space="0"/>
              <w:right w:val="single" w:color="000000" w:sz="4" w:space="0"/>
            </w:tcBorders>
            <w:vAlign w:val="center"/>
          </w:tcPr>
          <w:p>
            <w:pPr>
              <w:widowControl/>
              <w:spacing w:line="300" w:lineRule="exact"/>
              <w:jc w:val="left"/>
              <w:rPr>
                <w:rFonts w:ascii="宋体" w:cs="宋体"/>
                <w:kern w:val="0"/>
                <w:sz w:val="15"/>
                <w:szCs w:val="15"/>
              </w:rPr>
            </w:pPr>
            <w:r>
              <w:rPr>
                <w:rFonts w:hint="eastAsia" w:ascii="宋体" w:hAnsi="宋体" w:cs="宋体"/>
                <w:kern w:val="0"/>
                <w:sz w:val="15"/>
                <w:szCs w:val="15"/>
              </w:rPr>
              <w:t>支出合计</w:t>
            </w:r>
          </w:p>
        </w:tc>
        <w:tc>
          <w:tcPr>
            <w:tcW w:w="108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898.88</w:t>
            </w:r>
          </w:p>
        </w:tc>
        <w:tc>
          <w:tcPr>
            <w:tcW w:w="1147"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878.88</w:t>
            </w:r>
          </w:p>
        </w:tc>
        <w:tc>
          <w:tcPr>
            <w:tcW w:w="1009"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477.76</w:t>
            </w:r>
          </w:p>
        </w:tc>
        <w:tc>
          <w:tcPr>
            <w:tcW w:w="73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22"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vAlign w:val="center"/>
          </w:tcPr>
          <w:p>
            <w:pPr>
              <w:widowControl/>
              <w:jc w:val="right"/>
              <w:rPr>
                <w:rFonts w:ascii="宋体" w:cs="宋体"/>
                <w:kern w:val="0"/>
                <w:sz w:val="18"/>
                <w:szCs w:val="18"/>
              </w:rPr>
            </w:pPr>
            <w:r>
              <w:rPr>
                <w:rFonts w:hint="eastAsia" w:ascii="宋体" w:hAnsi="宋体" w:cs="宋体"/>
                <w:kern w:val="0"/>
                <w:sz w:val="18"/>
                <w:szCs w:val="18"/>
              </w:rPr>
              <w:t>预算</w:t>
            </w:r>
            <w:r>
              <w:rPr>
                <w:rFonts w:ascii="宋体" w:hAnsi="宋体" w:cs="宋体"/>
                <w:kern w:val="0"/>
                <w:sz w:val="18"/>
                <w:szCs w:val="18"/>
              </w:rPr>
              <w:t>05</w:t>
            </w:r>
            <w:r>
              <w:rPr>
                <w:rFonts w:hint="eastAsia" w:ascii="宋体" w:hAnsi="宋体" w:cs="宋体"/>
                <w:kern w:val="0"/>
                <w:sz w:val="18"/>
                <w:szCs w:val="18"/>
              </w:rPr>
              <w:t>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vAlign w:val="center"/>
          </w:tcPr>
          <w:p>
            <w:pPr>
              <w:widowControl/>
              <w:jc w:val="center"/>
              <w:rPr>
                <w:rFonts w:ascii="宋体" w:cs="宋体"/>
                <w:b/>
                <w:bCs/>
                <w:kern w:val="0"/>
                <w:sz w:val="38"/>
                <w:szCs w:val="38"/>
              </w:rPr>
            </w:pPr>
            <w:r>
              <w:rPr>
                <w:rFonts w:ascii="宋体" w:hAnsi="宋体" w:cs="宋体"/>
                <w:b/>
                <w:bCs/>
                <w:kern w:val="0"/>
                <w:sz w:val="38"/>
                <w:szCs w:val="38"/>
              </w:rPr>
              <w:t>2024</w:t>
            </w:r>
            <w:r>
              <w:rPr>
                <w:rFonts w:hint="eastAsia" w:ascii="宋体" w:hAnsi="宋体" w:cs="宋体"/>
                <w:b/>
                <w:bCs/>
                <w:kern w:val="0"/>
                <w:sz w:val="38"/>
                <w:szCs w:val="38"/>
              </w:rPr>
              <w:t>年一般公共预算支出预算表</w:t>
            </w:r>
          </w:p>
        </w:tc>
      </w:tr>
      <w:tr>
        <w:tblPrEx>
          <w:tblLayout w:type="fixed"/>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vAlign w:val="center"/>
          </w:tcPr>
          <w:p>
            <w:pPr>
              <w:widowControl/>
              <w:rPr>
                <w:rFonts w:ascii="宋体" w:cs="宋体"/>
                <w:kern w:val="0"/>
                <w:sz w:val="18"/>
                <w:szCs w:val="18"/>
              </w:rPr>
            </w:pPr>
            <w:r>
              <w:rPr>
                <w:rFonts w:hint="eastAsia" w:ascii="宋体" w:hAnsi="宋体" w:cs="宋体"/>
                <w:kern w:val="0"/>
                <w:sz w:val="18"/>
                <w:szCs w:val="18"/>
              </w:rPr>
              <w:t>部门名称：新乡市卫滨区健康路街道办事处</w:t>
            </w:r>
          </w:p>
        </w:tc>
        <w:tc>
          <w:tcPr>
            <w:tcW w:w="1180" w:type="dxa"/>
            <w:tcBorders>
              <w:top w:val="nil"/>
              <w:left w:val="nil"/>
              <w:bottom w:val="nil"/>
              <w:right w:val="nil"/>
            </w:tcBorders>
            <w:vAlign w:val="center"/>
          </w:tcPr>
          <w:p>
            <w:pPr>
              <w:widowControl/>
              <w:jc w:val="center"/>
              <w:rPr>
                <w:rFonts w:asci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合计</w:t>
            </w:r>
          </w:p>
        </w:tc>
        <w:tc>
          <w:tcPr>
            <w:tcW w:w="590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基本支出</w:t>
            </w:r>
            <w:r>
              <w:rPr>
                <w:rFonts w:ascii="宋体" w:hAnsi="宋体" w:cs="宋体"/>
                <w:kern w:val="0"/>
                <w:sz w:val="18"/>
                <w:szCs w:val="18"/>
              </w:rPr>
              <w:t xml:space="preserve">  </w:t>
            </w:r>
          </w:p>
        </w:tc>
        <w:tc>
          <w:tcPr>
            <w:tcW w:w="354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人员经费</w:t>
            </w:r>
          </w:p>
        </w:tc>
        <w:tc>
          <w:tcPr>
            <w:tcW w:w="23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公用经费</w:t>
            </w: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特定目标类</w:t>
            </w:r>
          </w:p>
        </w:tc>
      </w:tr>
      <w:tr>
        <w:tblPrEx>
          <w:tblLayout w:type="fixed"/>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18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对个人和家庭的补助</w:t>
            </w:r>
          </w:p>
        </w:tc>
        <w:tc>
          <w:tcPr>
            <w:tcW w:w="118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商品和服务支出</w:t>
            </w:r>
          </w:p>
        </w:tc>
        <w:tc>
          <w:tcPr>
            <w:tcW w:w="118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 </w:t>
            </w:r>
          </w:p>
        </w:tc>
        <w:tc>
          <w:tcPr>
            <w:tcW w:w="50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74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246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合计</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481.26</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278.76</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242.45</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23.52</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12.79</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202.50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199.00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404</w:t>
            </w:r>
          </w:p>
        </w:tc>
        <w:tc>
          <w:tcPr>
            <w:tcW w:w="246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新乡市卫滨区健康路街道办事处</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481.26</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278.76</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242.45</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23.52</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12.79</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202.50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199.00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201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03</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行政运行</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215.90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215.90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180.50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22.61</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12.79</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201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03</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99</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其他政府办公厅（室）及相关机构事务支出</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199.00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199.00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199.00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207</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99</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其他文化和旅游支出</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208</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05</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05</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机关事业单位基本养老保险缴费支出</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27.41</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27.41</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27.41</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208</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08</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死亡抚恤</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0.91</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0.91</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0.91</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210</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11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行政单位医疗</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221</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02</w:t>
            </w:r>
          </w:p>
        </w:tc>
        <w:tc>
          <w:tcPr>
            <w:tcW w:w="50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01</w:t>
            </w:r>
          </w:p>
        </w:tc>
        <w:tc>
          <w:tcPr>
            <w:tcW w:w="74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住房公积金</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50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50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246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118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c>
          <w:tcPr>
            <w:tcW w:w="118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c>
          <w:tcPr>
            <w:tcW w:w="118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c>
          <w:tcPr>
            <w:tcW w:w="118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c>
          <w:tcPr>
            <w:tcW w:w="118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c>
          <w:tcPr>
            <w:tcW w:w="118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c>
          <w:tcPr>
            <w:tcW w:w="118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c>
          <w:tcPr>
            <w:tcW w:w="118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c>
          <w:tcPr>
            <w:tcW w:w="118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pPr w:leftFromText="180" w:rightFromText="180" w:vertAnchor="text" w:horzAnchor="margin" w:tblpX="-207" w:tblpY="-940"/>
        <w:tblW w:w="16383" w:type="dxa"/>
        <w:tblInd w:w="0" w:type="dxa"/>
        <w:tblLayout w:type="fixed"/>
        <w:tblCellMar>
          <w:top w:w="0" w:type="dxa"/>
          <w:left w:w="108" w:type="dxa"/>
          <w:bottom w:w="0" w:type="dxa"/>
          <w:right w:w="108" w:type="dxa"/>
        </w:tblCellMar>
      </w:tblPr>
      <w:tblGrid>
        <w:gridCol w:w="528"/>
        <w:gridCol w:w="400"/>
        <w:gridCol w:w="20"/>
        <w:gridCol w:w="1686"/>
        <w:gridCol w:w="1149"/>
        <w:gridCol w:w="630"/>
        <w:gridCol w:w="579"/>
        <w:gridCol w:w="297"/>
        <w:gridCol w:w="1423"/>
        <w:gridCol w:w="221"/>
        <w:gridCol w:w="735"/>
        <w:gridCol w:w="840"/>
        <w:gridCol w:w="623"/>
        <w:gridCol w:w="322"/>
        <w:gridCol w:w="266"/>
        <w:gridCol w:w="469"/>
        <w:gridCol w:w="840"/>
        <w:gridCol w:w="236"/>
        <w:gridCol w:w="499"/>
        <w:gridCol w:w="712"/>
        <w:gridCol w:w="338"/>
        <w:gridCol w:w="300"/>
        <w:gridCol w:w="225"/>
        <w:gridCol w:w="735"/>
        <w:gridCol w:w="840"/>
        <w:gridCol w:w="335"/>
        <w:gridCol w:w="505"/>
        <w:gridCol w:w="630"/>
      </w:tblGrid>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4320" w:type="dxa"/>
            <w:gridSpan w:val="24"/>
            <w:tcBorders>
              <w:top w:val="nil"/>
              <w:left w:val="nil"/>
              <w:bottom w:val="nil"/>
              <w:right w:val="nil"/>
            </w:tcBorders>
            <w:vAlign w:val="center"/>
          </w:tcPr>
          <w:p>
            <w:pPr>
              <w:widowControl/>
              <w:jc w:val="right"/>
              <w:rPr>
                <w:rFonts w:hint="eastAsia" w:ascii="宋体" w:hAnsi="宋体" w:cs="宋体"/>
                <w:kern w:val="0"/>
                <w:sz w:val="18"/>
                <w:szCs w:val="18"/>
              </w:rPr>
            </w:pPr>
          </w:p>
          <w:p>
            <w:pPr>
              <w:widowControl/>
              <w:jc w:val="right"/>
              <w:rPr>
                <w:rFonts w:hint="eastAsia" w:ascii="宋体" w:hAnsi="宋体" w:cs="宋体"/>
                <w:kern w:val="0"/>
                <w:sz w:val="18"/>
                <w:szCs w:val="18"/>
              </w:rPr>
            </w:pPr>
          </w:p>
          <w:p>
            <w:pPr>
              <w:widowControl/>
              <w:jc w:val="right"/>
              <w:rPr>
                <w:rFonts w:hint="eastAsia" w:ascii="宋体" w:hAnsi="宋体" w:cs="宋体"/>
                <w:kern w:val="0"/>
                <w:sz w:val="18"/>
                <w:szCs w:val="18"/>
              </w:rPr>
            </w:pPr>
          </w:p>
          <w:p>
            <w:pPr>
              <w:widowControl/>
              <w:jc w:val="right"/>
              <w:rPr>
                <w:rFonts w:hint="eastAsia" w:ascii="宋体" w:hAnsi="宋体" w:cs="宋体"/>
                <w:kern w:val="0"/>
                <w:sz w:val="18"/>
                <w:szCs w:val="18"/>
              </w:rPr>
            </w:pPr>
          </w:p>
          <w:p>
            <w:pPr>
              <w:widowControl/>
              <w:jc w:val="right"/>
              <w:rPr>
                <w:rFonts w:hint="eastAsia" w:ascii="宋体" w:hAnsi="宋体" w:cs="宋体"/>
                <w:kern w:val="0"/>
                <w:sz w:val="18"/>
                <w:szCs w:val="18"/>
              </w:rPr>
            </w:pPr>
          </w:p>
          <w:p>
            <w:pPr>
              <w:widowControl/>
              <w:jc w:val="right"/>
              <w:rPr>
                <w:rFonts w:hint="eastAsia" w:ascii="宋体" w:hAnsi="宋体" w:cs="宋体"/>
                <w:kern w:val="0"/>
                <w:sz w:val="18"/>
                <w:szCs w:val="18"/>
              </w:rPr>
            </w:pPr>
          </w:p>
          <w:p>
            <w:pPr>
              <w:widowControl/>
              <w:jc w:val="right"/>
              <w:rPr>
                <w:rFonts w:hint="eastAsia" w:ascii="宋体" w:hAnsi="宋体" w:cs="宋体"/>
                <w:kern w:val="0"/>
                <w:sz w:val="18"/>
                <w:szCs w:val="18"/>
              </w:rPr>
            </w:pPr>
          </w:p>
          <w:p>
            <w:pPr>
              <w:widowControl/>
              <w:jc w:val="right"/>
              <w:rPr>
                <w:rFonts w:hint="eastAsia" w:ascii="宋体" w:hAnsi="宋体" w:cs="宋体"/>
                <w:kern w:val="0"/>
                <w:sz w:val="18"/>
                <w:szCs w:val="18"/>
              </w:rPr>
            </w:pPr>
          </w:p>
          <w:p>
            <w:pPr>
              <w:widowControl/>
              <w:jc w:val="right"/>
              <w:rPr>
                <w:rFonts w:ascii="宋体" w:cs="宋体"/>
                <w:kern w:val="0"/>
                <w:sz w:val="18"/>
                <w:szCs w:val="18"/>
              </w:rPr>
            </w:pPr>
            <w:r>
              <w:rPr>
                <w:rFonts w:hint="eastAsia" w:ascii="宋体" w:hAnsi="宋体" w:cs="宋体"/>
                <w:kern w:val="0"/>
                <w:sz w:val="18"/>
                <w:szCs w:val="18"/>
              </w:rPr>
              <w:t>预算</w:t>
            </w:r>
            <w:r>
              <w:rPr>
                <w:rFonts w:ascii="宋体" w:hAnsi="宋体" w:cs="宋体"/>
                <w:kern w:val="0"/>
                <w:sz w:val="18"/>
                <w:szCs w:val="18"/>
              </w:rPr>
              <w:t>06</w:t>
            </w:r>
            <w:r>
              <w:rPr>
                <w:rFonts w:hint="eastAsia" w:ascii="宋体" w:hAnsi="宋体" w:cs="宋体"/>
                <w:kern w:val="0"/>
                <w:sz w:val="18"/>
                <w:szCs w:val="18"/>
              </w:rPr>
              <w:t>表</w:t>
            </w:r>
          </w:p>
        </w:tc>
      </w:tr>
      <w:tr>
        <w:tblPrEx>
          <w:tblLayout w:type="fixed"/>
          <w:tblCellMar>
            <w:top w:w="0" w:type="dxa"/>
            <w:left w:w="108" w:type="dxa"/>
            <w:bottom w:w="0" w:type="dxa"/>
            <w:right w:w="108" w:type="dxa"/>
          </w:tblCellMar>
        </w:tblPrEx>
        <w:trPr>
          <w:gridBefore w:val="2"/>
          <w:gridAfter w:val="2"/>
          <w:wBefore w:w="928" w:type="dxa"/>
          <w:wAfter w:w="1135" w:type="dxa"/>
          <w:trHeight w:val="614" w:hRule="atLeast"/>
        </w:trPr>
        <w:tc>
          <w:tcPr>
            <w:tcW w:w="14320" w:type="dxa"/>
            <w:gridSpan w:val="24"/>
            <w:tcBorders>
              <w:top w:val="nil"/>
              <w:left w:val="nil"/>
              <w:bottom w:val="nil"/>
              <w:right w:val="nil"/>
            </w:tcBorders>
            <w:vAlign w:val="center"/>
          </w:tcPr>
          <w:p>
            <w:pPr>
              <w:widowControl/>
              <w:jc w:val="center"/>
              <w:rPr>
                <w:rFonts w:ascii="宋体" w:cs="宋体"/>
                <w:b/>
                <w:bCs/>
                <w:kern w:val="0"/>
                <w:sz w:val="38"/>
                <w:szCs w:val="38"/>
              </w:rPr>
            </w:pPr>
            <w:r>
              <w:rPr>
                <w:rFonts w:hint="eastAsia" w:ascii="宋体" w:hAnsi="宋体" w:cs="宋体"/>
                <w:b/>
                <w:bCs/>
                <w:kern w:val="0"/>
                <w:sz w:val="38"/>
                <w:szCs w:val="38"/>
              </w:rPr>
              <w:t>一般公共预算基本支出表</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1547" w:type="dxa"/>
            <w:gridSpan w:val="18"/>
            <w:tcBorders>
              <w:top w:val="nil"/>
              <w:left w:val="nil"/>
              <w:bottom w:val="nil"/>
              <w:right w:val="nil"/>
            </w:tcBorders>
            <w:vAlign w:val="center"/>
          </w:tcPr>
          <w:p>
            <w:pPr>
              <w:widowControl/>
              <w:jc w:val="left"/>
              <w:rPr>
                <w:rFonts w:ascii="宋体" w:cs="宋体"/>
                <w:kern w:val="0"/>
                <w:sz w:val="18"/>
                <w:szCs w:val="18"/>
              </w:rPr>
            </w:pPr>
            <w:r>
              <w:rPr>
                <w:rFonts w:hint="eastAsia" w:ascii="宋体" w:hAnsi="宋体" w:cs="宋体"/>
                <w:kern w:val="0"/>
                <w:sz w:val="18"/>
                <w:szCs w:val="18"/>
              </w:rPr>
              <w:t>部门名称：新乡市卫滨区健康路街道办事处</w:t>
            </w:r>
          </w:p>
        </w:tc>
        <w:tc>
          <w:tcPr>
            <w:tcW w:w="2773" w:type="dxa"/>
            <w:gridSpan w:val="6"/>
            <w:tcBorders>
              <w:top w:val="nil"/>
              <w:left w:val="nil"/>
              <w:bottom w:val="nil"/>
              <w:right w:val="nil"/>
            </w:tcBorders>
            <w:vAlign w:val="center"/>
          </w:tcPr>
          <w:p>
            <w:pPr>
              <w:widowControl/>
              <w:jc w:val="center"/>
              <w:rPr>
                <w:rFonts w:asci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4361"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部门预算支出经济分类科目</w:t>
            </w:r>
          </w:p>
        </w:tc>
        <w:tc>
          <w:tcPr>
            <w:tcW w:w="3842"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政府预算支出经济分类科目编码</w:t>
            </w:r>
          </w:p>
        </w:tc>
        <w:tc>
          <w:tcPr>
            <w:tcW w:w="6117" w:type="dxa"/>
            <w:gridSpan w:val="13"/>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本年一般公共预算基本支出</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科目编码</w:t>
            </w:r>
          </w:p>
        </w:tc>
        <w:tc>
          <w:tcPr>
            <w:tcW w:w="2655" w:type="dxa"/>
            <w:gridSpan w:val="4"/>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科目名称</w:t>
            </w:r>
          </w:p>
        </w:tc>
        <w:tc>
          <w:tcPr>
            <w:tcW w:w="1423"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科目编码</w:t>
            </w:r>
          </w:p>
        </w:tc>
        <w:tc>
          <w:tcPr>
            <w:tcW w:w="2419" w:type="dxa"/>
            <w:gridSpan w:val="4"/>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科目名称</w:t>
            </w:r>
          </w:p>
        </w:tc>
        <w:tc>
          <w:tcPr>
            <w:tcW w:w="2133" w:type="dxa"/>
            <w:gridSpan w:val="5"/>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合计</w:t>
            </w:r>
          </w:p>
        </w:tc>
        <w:tc>
          <w:tcPr>
            <w:tcW w:w="1849" w:type="dxa"/>
            <w:gridSpan w:val="4"/>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人员经费</w:t>
            </w:r>
          </w:p>
        </w:tc>
        <w:tc>
          <w:tcPr>
            <w:tcW w:w="2135" w:type="dxa"/>
            <w:gridSpan w:val="4"/>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公用经费</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合计</w:t>
            </w:r>
          </w:p>
        </w:tc>
        <w:tc>
          <w:tcPr>
            <w:tcW w:w="2655" w:type="dxa"/>
            <w:gridSpan w:val="4"/>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1423"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2419" w:type="dxa"/>
            <w:gridSpan w:val="4"/>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278.76</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265.97</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12.79</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30101</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基本工资</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50101</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工资奖金津补贴</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99.67</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99.67</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30302</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退休费</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50905</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离退休费</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22.61</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22.61</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30103</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奖金</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50101</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工资奖金津补贴</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9.65</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9.65</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30102</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津贴补贴</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50101</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工资奖金津补贴</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25.63</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25.63</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30107</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绩效工资</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50501</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工资福利支出</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45.55</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45.55</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30206</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电费</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50201</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办公经费</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2.70</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2.70</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30201</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办公费</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50201</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办公经费</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3.68</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3.68</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30228</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工会经费</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50201</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办公经费</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2.25</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2.25</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30205</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水费</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50201</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办公经费</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0.35</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0.35</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30239</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其他交通费用</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50201</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办公经费</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3.12</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3.12</w:t>
            </w:r>
          </w:p>
        </w:tc>
      </w:tr>
      <w:tr>
        <w:tblPrEx>
          <w:tblLayout w:type="fixed"/>
          <w:tblCellMar>
            <w:top w:w="0" w:type="dxa"/>
            <w:left w:w="108" w:type="dxa"/>
            <w:bottom w:w="0" w:type="dxa"/>
            <w:right w:w="108" w:type="dxa"/>
          </w:tblCellMar>
        </w:tblPrEx>
        <w:trPr>
          <w:gridBefore w:val="2"/>
          <w:gridAfter w:val="2"/>
          <w:wBefore w:w="928" w:type="dxa"/>
          <w:wAfter w:w="1135" w:type="dxa"/>
          <w:trHeight w:val="490"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30299</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其他商品和服务支出</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50299</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其他商品和服务支出</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0.69</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0.69</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30108</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机关事业单位基本养老保险缴费</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50102</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社会保障缴费</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27.41</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27.41</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30305</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生活补助</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50901</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社会福利和救助</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0.91</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0.91</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30110</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职工基本医疗保险缴费</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50102</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社会保障缴费</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928" w:type="dxa"/>
          <w:wAfter w:w="1135" w:type="dxa"/>
          <w:trHeight w:val="308" w:hRule="atLeast"/>
        </w:trPr>
        <w:tc>
          <w:tcPr>
            <w:tcW w:w="1706" w:type="dxa"/>
            <w:gridSpan w:val="2"/>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30113</w:t>
            </w:r>
          </w:p>
        </w:tc>
        <w:tc>
          <w:tcPr>
            <w:tcW w:w="2655"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住房公积金</w:t>
            </w:r>
          </w:p>
        </w:tc>
        <w:tc>
          <w:tcPr>
            <w:tcW w:w="1423"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50103</w:t>
            </w:r>
          </w:p>
        </w:tc>
        <w:tc>
          <w:tcPr>
            <w:tcW w:w="2419" w:type="dxa"/>
            <w:gridSpan w:val="4"/>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住房公积金</w:t>
            </w:r>
          </w:p>
        </w:tc>
        <w:tc>
          <w:tcPr>
            <w:tcW w:w="2133" w:type="dxa"/>
            <w:gridSpan w:val="5"/>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1849"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2135" w:type="dxa"/>
            <w:gridSpan w:val="4"/>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91" w:hRule="atLeast"/>
        </w:trPr>
        <w:tc>
          <w:tcPr>
            <w:tcW w:w="16383" w:type="dxa"/>
            <w:gridSpan w:val="28"/>
            <w:tcBorders>
              <w:top w:val="nil"/>
              <w:left w:val="nil"/>
              <w:bottom w:val="nil"/>
              <w:right w:val="nil"/>
            </w:tcBorders>
            <w:vAlign w:val="center"/>
          </w:tcPr>
          <w:p>
            <w:pPr>
              <w:widowControl/>
              <w:spacing w:line="560" w:lineRule="exact"/>
              <w:ind w:right="360"/>
              <w:rPr>
                <w:rFonts w:ascii="宋体" w:cs="宋体"/>
                <w:kern w:val="0"/>
                <w:sz w:val="18"/>
                <w:szCs w:val="18"/>
              </w:rPr>
            </w:pPr>
          </w:p>
        </w:tc>
      </w:tr>
      <w:tr>
        <w:tblPrEx>
          <w:tblLayout w:type="fixed"/>
          <w:tblCellMar>
            <w:top w:w="0" w:type="dxa"/>
            <w:left w:w="108" w:type="dxa"/>
            <w:bottom w:w="0" w:type="dxa"/>
            <w:right w:w="108" w:type="dxa"/>
          </w:tblCellMar>
        </w:tblPrEx>
        <w:trPr>
          <w:trHeight w:val="614" w:hRule="atLeast"/>
        </w:trPr>
        <w:tc>
          <w:tcPr>
            <w:tcW w:w="16383" w:type="dxa"/>
            <w:gridSpan w:val="28"/>
            <w:tcBorders>
              <w:top w:val="nil"/>
              <w:left w:val="nil"/>
              <w:bottom w:val="nil"/>
              <w:right w:val="nil"/>
            </w:tcBorders>
            <w:vAlign w:val="center"/>
          </w:tcPr>
          <w:p>
            <w:pPr>
              <w:widowControl/>
              <w:spacing w:line="560" w:lineRule="exact"/>
              <w:rPr>
                <w:rFonts w:ascii="宋体" w:cs="宋体"/>
                <w:b/>
                <w:bCs/>
                <w:kern w:val="0"/>
                <w:sz w:val="38"/>
                <w:szCs w:val="38"/>
              </w:rPr>
            </w:pPr>
          </w:p>
          <w:p>
            <w:pPr>
              <w:widowControl/>
              <w:tabs>
                <w:tab w:val="left" w:pos="1063"/>
                <w:tab w:val="right" w:pos="16287"/>
              </w:tabs>
              <w:spacing w:line="560" w:lineRule="exact"/>
              <w:jc w:val="both"/>
              <w:rPr>
                <w:rFonts w:hint="eastAsia" w:ascii="宋体" w:hAnsi="宋体" w:cs="宋体"/>
                <w:kern w:val="0"/>
                <w:sz w:val="18"/>
                <w:szCs w:val="18"/>
              </w:rPr>
            </w:pPr>
          </w:p>
          <w:p>
            <w:pPr>
              <w:widowControl/>
              <w:tabs>
                <w:tab w:val="left" w:pos="1063"/>
                <w:tab w:val="right" w:pos="16287"/>
              </w:tabs>
              <w:spacing w:line="560" w:lineRule="exact"/>
              <w:jc w:val="right"/>
              <w:rPr>
                <w:rFonts w:ascii="宋体" w:cs="宋体"/>
                <w:b/>
                <w:bCs/>
                <w:kern w:val="0"/>
                <w:sz w:val="38"/>
                <w:szCs w:val="38"/>
              </w:rPr>
            </w:pPr>
            <w:bookmarkStart w:id="0" w:name="_GoBack"/>
            <w:bookmarkEnd w:id="0"/>
            <w:r>
              <w:rPr>
                <w:rFonts w:hint="eastAsia" w:ascii="宋体" w:hAnsi="宋体" w:cs="宋体"/>
                <w:kern w:val="0"/>
                <w:sz w:val="18"/>
                <w:szCs w:val="18"/>
              </w:rPr>
              <w:t>预算</w:t>
            </w:r>
            <w:r>
              <w:rPr>
                <w:rFonts w:ascii="宋体" w:hAnsi="宋体" w:cs="宋体"/>
                <w:kern w:val="0"/>
                <w:sz w:val="18"/>
                <w:szCs w:val="18"/>
              </w:rPr>
              <w:t>07</w:t>
            </w:r>
            <w:r>
              <w:rPr>
                <w:rFonts w:hint="eastAsia" w:ascii="宋体" w:hAnsi="宋体" w:cs="宋体"/>
                <w:kern w:val="0"/>
                <w:sz w:val="18"/>
                <w:szCs w:val="18"/>
              </w:rPr>
              <w:t>表</w:t>
            </w:r>
          </w:p>
          <w:p>
            <w:pPr>
              <w:widowControl/>
              <w:spacing w:line="560" w:lineRule="exact"/>
              <w:jc w:val="center"/>
              <w:rPr>
                <w:rFonts w:ascii="宋体" w:cs="宋体"/>
                <w:b/>
                <w:bCs/>
                <w:kern w:val="0"/>
                <w:sz w:val="38"/>
                <w:szCs w:val="38"/>
              </w:rPr>
            </w:pPr>
            <w:r>
              <w:rPr>
                <w:rFonts w:ascii="宋体" w:hAnsi="宋体" w:cs="宋体"/>
                <w:b/>
                <w:bCs/>
                <w:kern w:val="0"/>
                <w:sz w:val="38"/>
                <w:szCs w:val="38"/>
              </w:rPr>
              <w:t>2024</w:t>
            </w:r>
            <w:r>
              <w:rPr>
                <w:rFonts w:hint="eastAsia" w:ascii="宋体" w:hAnsi="宋体" w:cs="宋体"/>
                <w:b/>
                <w:bCs/>
                <w:kern w:val="0"/>
                <w:sz w:val="38"/>
                <w:szCs w:val="38"/>
              </w:rPr>
              <w:t>年支出经济分类汇总表</w:t>
            </w:r>
          </w:p>
        </w:tc>
      </w:tr>
      <w:tr>
        <w:tblPrEx>
          <w:tblLayout w:type="fixed"/>
          <w:tblCellMar>
            <w:top w:w="0" w:type="dxa"/>
            <w:left w:w="108" w:type="dxa"/>
            <w:bottom w:w="0" w:type="dxa"/>
            <w:right w:w="108" w:type="dxa"/>
          </w:tblCellMar>
        </w:tblPrEx>
        <w:trPr>
          <w:trHeight w:val="350" w:hRule="atLeast"/>
        </w:trPr>
        <w:tc>
          <w:tcPr>
            <w:tcW w:w="3783" w:type="dxa"/>
            <w:gridSpan w:val="5"/>
            <w:tcBorders>
              <w:top w:val="nil"/>
              <w:left w:val="nil"/>
              <w:bottom w:val="nil"/>
              <w:right w:val="nil"/>
            </w:tcBorders>
            <w:vAlign w:val="center"/>
          </w:tcPr>
          <w:p>
            <w:pPr>
              <w:widowControl/>
              <w:spacing w:line="320" w:lineRule="exact"/>
              <w:jc w:val="left"/>
              <w:rPr>
                <w:rFonts w:ascii="宋体" w:cs="宋体"/>
                <w:kern w:val="0"/>
                <w:sz w:val="15"/>
                <w:szCs w:val="15"/>
              </w:rPr>
            </w:pPr>
            <w:r>
              <w:rPr>
                <w:rFonts w:hint="eastAsia" w:ascii="宋体" w:hAnsi="宋体" w:cs="宋体"/>
                <w:kern w:val="0"/>
                <w:sz w:val="15"/>
                <w:szCs w:val="15"/>
              </w:rPr>
              <w:t>部门名称：新乡市卫滨区健康路街道办事处</w:t>
            </w:r>
          </w:p>
        </w:tc>
        <w:tc>
          <w:tcPr>
            <w:tcW w:w="5936" w:type="dxa"/>
            <w:gridSpan w:val="10"/>
            <w:tcBorders>
              <w:top w:val="nil"/>
              <w:left w:val="nil"/>
              <w:bottom w:val="nil"/>
              <w:right w:val="nil"/>
            </w:tcBorders>
            <w:vAlign w:val="center"/>
          </w:tcPr>
          <w:p>
            <w:pPr>
              <w:widowControl/>
              <w:spacing w:line="320" w:lineRule="exact"/>
              <w:rPr>
                <w:rFonts w:ascii="宋体" w:cs="宋体"/>
                <w:kern w:val="0"/>
                <w:sz w:val="15"/>
                <w:szCs w:val="15"/>
              </w:rPr>
            </w:pPr>
          </w:p>
        </w:tc>
        <w:tc>
          <w:tcPr>
            <w:tcW w:w="6664" w:type="dxa"/>
            <w:gridSpan w:val="13"/>
            <w:tcBorders>
              <w:top w:val="nil"/>
              <w:left w:val="nil"/>
              <w:bottom w:val="nil"/>
              <w:right w:val="nil"/>
            </w:tcBorders>
            <w:vAlign w:val="center"/>
          </w:tcPr>
          <w:p>
            <w:pPr>
              <w:widowControl/>
              <w:spacing w:line="320" w:lineRule="exact"/>
              <w:jc w:val="center"/>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单位：万元</w:t>
            </w:r>
          </w:p>
        </w:tc>
      </w:tr>
      <w:tr>
        <w:tblPrEx>
          <w:tblLayout w:type="fixed"/>
          <w:tblCellMar>
            <w:top w:w="0" w:type="dxa"/>
            <w:left w:w="108" w:type="dxa"/>
            <w:bottom w:w="0" w:type="dxa"/>
            <w:right w:w="108" w:type="dxa"/>
          </w:tblCellMar>
        </w:tblPrEx>
        <w:trPr>
          <w:trHeight w:val="170" w:hRule="atLeast"/>
        </w:trPr>
        <w:tc>
          <w:tcPr>
            <w:tcW w:w="3783"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部门预算经济分类</w:t>
            </w:r>
            <w:r>
              <w:rPr>
                <w:rFonts w:ascii="宋体" w:hAnsi="宋体" w:cs="宋体"/>
                <w:kern w:val="0"/>
                <w:sz w:val="15"/>
                <w:szCs w:val="15"/>
              </w:rPr>
              <w:t xml:space="preserve">  </w:t>
            </w:r>
          </w:p>
        </w:tc>
        <w:tc>
          <w:tcPr>
            <w:tcW w:w="3150" w:type="dxa"/>
            <w:gridSpan w:val="5"/>
            <w:tcBorders>
              <w:top w:val="single" w:color="000000" w:sz="4" w:space="0"/>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政府预算经济分类</w:t>
            </w:r>
          </w:p>
        </w:tc>
        <w:tc>
          <w:tcPr>
            <w:tcW w:w="73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总计</w:t>
            </w:r>
          </w:p>
        </w:tc>
        <w:tc>
          <w:tcPr>
            <w:tcW w:w="1785" w:type="dxa"/>
            <w:gridSpan w:val="3"/>
            <w:tcBorders>
              <w:top w:val="single" w:color="000000" w:sz="4" w:space="0"/>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一般公共预算</w:t>
            </w:r>
          </w:p>
        </w:tc>
        <w:tc>
          <w:tcPr>
            <w:tcW w:w="735"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国有资本经营预算</w:t>
            </w:r>
          </w:p>
        </w:tc>
        <w:tc>
          <w:tcPr>
            <w:tcW w:w="735"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上年结转结余</w:t>
            </w:r>
          </w:p>
        </w:tc>
        <w:tc>
          <w:tcPr>
            <w:tcW w:w="10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财政专户管理资金收入</w:t>
            </w:r>
          </w:p>
        </w:tc>
        <w:tc>
          <w:tcPr>
            <w:tcW w:w="525"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事业收入</w:t>
            </w:r>
          </w:p>
        </w:tc>
        <w:tc>
          <w:tcPr>
            <w:tcW w:w="73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上级补助收入</w:t>
            </w:r>
          </w:p>
        </w:tc>
        <w:tc>
          <w:tcPr>
            <w:tcW w:w="84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附属单位上缴收入</w:t>
            </w:r>
          </w:p>
        </w:tc>
        <w:tc>
          <w:tcPr>
            <w:tcW w:w="84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事业单位经营收入</w:t>
            </w:r>
          </w:p>
        </w:tc>
        <w:tc>
          <w:tcPr>
            <w:tcW w:w="63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其他收入</w:t>
            </w:r>
            <w:r>
              <w:rPr>
                <w:rFonts w:ascii="宋体" w:hAnsi="宋体" w:cs="宋体"/>
                <w:kern w:val="0"/>
                <w:sz w:val="15"/>
                <w:szCs w:val="15"/>
              </w:rPr>
              <w:t xml:space="preserve">  </w:t>
            </w:r>
          </w:p>
        </w:tc>
      </w:tr>
      <w:tr>
        <w:tblPrEx>
          <w:tblLayout w:type="fixed"/>
          <w:tblCellMar>
            <w:top w:w="0" w:type="dxa"/>
            <w:left w:w="108" w:type="dxa"/>
            <w:bottom w:w="0" w:type="dxa"/>
            <w:right w:w="108" w:type="dxa"/>
          </w:tblCellMar>
        </w:tblPrEx>
        <w:trPr>
          <w:trHeight w:val="181" w:hRule="atLeast"/>
        </w:trPr>
        <w:tc>
          <w:tcPr>
            <w:tcW w:w="528" w:type="dxa"/>
            <w:tcBorders>
              <w:top w:val="nil"/>
              <w:left w:val="single" w:color="000000" w:sz="4" w:space="0"/>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类</w:t>
            </w:r>
          </w:p>
        </w:tc>
        <w:tc>
          <w:tcPr>
            <w:tcW w:w="42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款</w:t>
            </w:r>
          </w:p>
        </w:tc>
        <w:tc>
          <w:tcPr>
            <w:tcW w:w="2835" w:type="dxa"/>
            <w:gridSpan w:val="2"/>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科目名称</w:t>
            </w:r>
          </w:p>
        </w:tc>
        <w:tc>
          <w:tcPr>
            <w:tcW w:w="630" w:type="dxa"/>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ascii="宋体" w:hAnsi="宋体" w:cs="宋体"/>
                <w:kern w:val="0"/>
                <w:sz w:val="15"/>
                <w:szCs w:val="15"/>
              </w:rPr>
              <w:t xml:space="preserve"> </w:t>
            </w:r>
            <w:r>
              <w:rPr>
                <w:rFonts w:hint="eastAsia" w:ascii="宋体" w:hAnsi="宋体" w:cs="宋体"/>
                <w:kern w:val="0"/>
                <w:sz w:val="15"/>
                <w:szCs w:val="15"/>
              </w:rPr>
              <w:t>类</w:t>
            </w:r>
          </w:p>
        </w:tc>
        <w:tc>
          <w:tcPr>
            <w:tcW w:w="579" w:type="dxa"/>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款</w:t>
            </w:r>
          </w:p>
        </w:tc>
        <w:tc>
          <w:tcPr>
            <w:tcW w:w="1941" w:type="dxa"/>
            <w:gridSpan w:val="3"/>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科目名称</w:t>
            </w: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p>
        </w:tc>
        <w:tc>
          <w:tcPr>
            <w:tcW w:w="840" w:type="dxa"/>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小计</w:t>
            </w:r>
          </w:p>
        </w:tc>
        <w:tc>
          <w:tcPr>
            <w:tcW w:w="945" w:type="dxa"/>
            <w:gridSpan w:val="2"/>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其中：财政拨款</w:t>
            </w:r>
          </w:p>
        </w:tc>
        <w:tc>
          <w:tcPr>
            <w:tcW w:w="73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p>
        </w:tc>
        <w:tc>
          <w:tcPr>
            <w:tcW w:w="52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p>
        </w:tc>
        <w:tc>
          <w:tcPr>
            <w:tcW w:w="84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p>
        </w:tc>
        <w:tc>
          <w:tcPr>
            <w:tcW w:w="6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00" w:lineRule="exact"/>
              <w:jc w:val="center"/>
              <w:rPr>
                <w:rFonts w:ascii="宋体" w:cs="宋体"/>
                <w:kern w:val="0"/>
                <w:sz w:val="15"/>
                <w:szCs w:val="15"/>
              </w:rPr>
            </w:pPr>
          </w:p>
        </w:tc>
      </w:tr>
      <w:tr>
        <w:tblPrEx>
          <w:tblLayout w:type="fixed"/>
          <w:tblCellMar>
            <w:top w:w="0" w:type="dxa"/>
            <w:left w:w="108" w:type="dxa"/>
            <w:bottom w:w="0" w:type="dxa"/>
            <w:right w:w="108" w:type="dxa"/>
          </w:tblCellMar>
        </w:tblPrEx>
        <w:trPr>
          <w:trHeight w:val="228" w:hRule="atLeast"/>
        </w:trPr>
        <w:tc>
          <w:tcPr>
            <w:tcW w:w="528" w:type="dxa"/>
            <w:tcBorders>
              <w:top w:val="nil"/>
              <w:left w:val="single" w:color="000000" w:sz="4" w:space="0"/>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42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2835" w:type="dxa"/>
            <w:gridSpan w:val="2"/>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合计</w:t>
            </w:r>
          </w:p>
        </w:tc>
        <w:tc>
          <w:tcPr>
            <w:tcW w:w="630" w:type="dxa"/>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　</w:t>
            </w:r>
          </w:p>
        </w:tc>
        <w:tc>
          <w:tcPr>
            <w:tcW w:w="579" w:type="dxa"/>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　</w:t>
            </w:r>
          </w:p>
        </w:tc>
        <w:tc>
          <w:tcPr>
            <w:tcW w:w="1941" w:type="dxa"/>
            <w:gridSpan w:val="3"/>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spacing w:line="200" w:lineRule="exact"/>
              <w:jc w:val="right"/>
              <w:rPr>
                <w:rFonts w:ascii="宋体" w:cs="宋体"/>
                <w:sz w:val="18"/>
                <w:szCs w:val="18"/>
              </w:rPr>
            </w:pPr>
            <w:r>
              <w:rPr>
                <w:sz w:val="18"/>
                <w:szCs w:val="18"/>
              </w:rPr>
              <w:t>898.88</w:t>
            </w:r>
          </w:p>
        </w:tc>
        <w:tc>
          <w:tcPr>
            <w:tcW w:w="840" w:type="dxa"/>
            <w:tcBorders>
              <w:top w:val="nil"/>
              <w:left w:val="nil"/>
              <w:bottom w:val="single" w:color="000000" w:sz="4" w:space="0"/>
              <w:right w:val="single" w:color="000000" w:sz="4" w:space="0"/>
            </w:tcBorders>
            <w:vAlign w:val="center"/>
          </w:tcPr>
          <w:p>
            <w:pPr>
              <w:spacing w:line="200" w:lineRule="exact"/>
              <w:jc w:val="right"/>
              <w:rPr>
                <w:rFonts w:ascii="宋体" w:cs="宋体"/>
                <w:sz w:val="18"/>
                <w:szCs w:val="18"/>
              </w:rPr>
            </w:pPr>
            <w:r>
              <w:rPr>
                <w:sz w:val="18"/>
                <w:szCs w:val="18"/>
              </w:rPr>
              <w:t>481.26</w:t>
            </w:r>
          </w:p>
        </w:tc>
        <w:tc>
          <w:tcPr>
            <w:tcW w:w="945" w:type="dxa"/>
            <w:gridSpan w:val="2"/>
            <w:tcBorders>
              <w:top w:val="nil"/>
              <w:left w:val="nil"/>
              <w:bottom w:val="single" w:color="000000" w:sz="4" w:space="0"/>
              <w:right w:val="single" w:color="000000" w:sz="4" w:space="0"/>
            </w:tcBorders>
            <w:vAlign w:val="center"/>
          </w:tcPr>
          <w:p>
            <w:pPr>
              <w:spacing w:line="200" w:lineRule="exact"/>
              <w:jc w:val="right"/>
              <w:rPr>
                <w:rFonts w:ascii="宋体" w:cs="宋体"/>
                <w:sz w:val="18"/>
                <w:szCs w:val="18"/>
              </w:rPr>
            </w:pPr>
            <w:r>
              <w:rPr>
                <w:sz w:val="18"/>
                <w:szCs w:val="18"/>
              </w:rPr>
              <w:t>477.76</w:t>
            </w:r>
          </w:p>
        </w:tc>
        <w:tc>
          <w:tcPr>
            <w:tcW w:w="735" w:type="dxa"/>
            <w:gridSpan w:val="2"/>
            <w:tcBorders>
              <w:top w:val="nil"/>
              <w:left w:val="nil"/>
              <w:bottom w:val="single" w:color="000000" w:sz="4" w:space="0"/>
              <w:right w:val="single" w:color="000000" w:sz="4" w:space="0"/>
            </w:tcBorders>
            <w:vAlign w:val="center"/>
          </w:tcPr>
          <w:p>
            <w:pPr>
              <w:spacing w:line="200" w:lineRule="exact"/>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spacing w:line="200" w:lineRule="exact"/>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spacing w:line="200" w:lineRule="exact"/>
              <w:jc w:val="right"/>
              <w:rPr>
                <w:rFonts w:ascii="宋体" w:cs="宋体"/>
                <w:sz w:val="18"/>
                <w:szCs w:val="18"/>
              </w:rPr>
            </w:pPr>
            <w:r>
              <w:rPr>
                <w:sz w:val="18"/>
                <w:szCs w:val="18"/>
              </w:rPr>
              <w:t>417.62</w:t>
            </w:r>
          </w:p>
        </w:tc>
        <w:tc>
          <w:tcPr>
            <w:tcW w:w="1050" w:type="dxa"/>
            <w:gridSpan w:val="2"/>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20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05"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404</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　</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新乡市卫滨区健康路街道办事处</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　</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　</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　</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898.88</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481.26</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477.76</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417.62</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195"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301</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基本工资</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501</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工资奖金津补贴</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99.67</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99.67</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99.67</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171"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303</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02</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退休费</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509</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05</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离退休费</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22.61</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22.61</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22.61</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301</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03</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奖金</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501</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工资奖金津补贴</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9.65</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9.65</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9.65</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301</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02</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津贴补贴</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501</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工资奖金津补贴</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25.63</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25.63</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25.63</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301</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07</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绩效工资</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505</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工资福利支出</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45.55</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45.55</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45.55</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302</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06</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电费</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502</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办公经费</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2.70</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2.70</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2.70</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302</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办公费</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502</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办公经费</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43.44</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43.44</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43.44</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302</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28</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工会经费</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502</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办公经费</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2.25</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2.25</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2.25</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302</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05</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水费</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502</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办公经费</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0.35</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0.35</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0.35</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302</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39</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其他交通费用</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502</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办公经费</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3.12</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3.12</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3.12</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302</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99</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其他商品和服务支出</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502</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99</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其他商品和服务支出</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486.15</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68.53</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65.03</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417.62</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301</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99</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其他工资福利支出</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505</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工资福利支出</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50.00</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50.00</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50.00</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302</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07</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邮电费</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502</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办公经费</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4.20</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4.20</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4.20</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302</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28</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工会经费</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505</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02</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商品和服务支出</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9.00</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9.00</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9.00</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302</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办公费</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505</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02</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商品和服务支出</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31.70</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31.70</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31.70</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301</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08</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机关事业单位基本养老保险缴费</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501</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02</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社会保障缴费</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27.41</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27.41</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27.41</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303</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05</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生活补助</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509</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01</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社会福利和救助</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0.91</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0.91</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0.91</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r>
      <w:tr>
        <w:tblPrEx>
          <w:tblLayout w:type="fixed"/>
          <w:tblCellMar>
            <w:top w:w="0" w:type="dxa"/>
            <w:left w:w="108" w:type="dxa"/>
            <w:bottom w:w="0" w:type="dxa"/>
            <w:right w:w="108" w:type="dxa"/>
          </w:tblCellMar>
        </w:tblPrEx>
        <w:trPr>
          <w:trHeight w:val="308"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301</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10</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职工基本医疗保险缴费</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501</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02</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社会保障缴费</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13.86</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p>
        </w:tc>
      </w:tr>
      <w:tr>
        <w:tblPrEx>
          <w:tblLayout w:type="fixed"/>
          <w:tblCellMar>
            <w:top w:w="0" w:type="dxa"/>
            <w:left w:w="108" w:type="dxa"/>
            <w:bottom w:w="0" w:type="dxa"/>
            <w:right w:w="108" w:type="dxa"/>
          </w:tblCellMar>
        </w:tblPrEx>
        <w:trPr>
          <w:trHeight w:val="393" w:hRule="atLeast"/>
        </w:trPr>
        <w:tc>
          <w:tcPr>
            <w:tcW w:w="528" w:type="dxa"/>
            <w:tcBorders>
              <w:top w:val="nil"/>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301</w:t>
            </w:r>
          </w:p>
        </w:tc>
        <w:tc>
          <w:tcPr>
            <w:tcW w:w="420"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13</w:t>
            </w:r>
          </w:p>
        </w:tc>
        <w:tc>
          <w:tcPr>
            <w:tcW w:w="2835" w:type="dxa"/>
            <w:gridSpan w:val="2"/>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住房公积金</w:t>
            </w:r>
          </w:p>
        </w:tc>
        <w:tc>
          <w:tcPr>
            <w:tcW w:w="630"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501</w:t>
            </w:r>
          </w:p>
        </w:tc>
        <w:tc>
          <w:tcPr>
            <w:tcW w:w="579" w:type="dxa"/>
            <w:tcBorders>
              <w:top w:val="nil"/>
              <w:left w:val="nil"/>
              <w:bottom w:val="single" w:color="000000" w:sz="4" w:space="0"/>
              <w:right w:val="single" w:color="000000" w:sz="4" w:space="0"/>
            </w:tcBorders>
            <w:vAlign w:val="center"/>
          </w:tcPr>
          <w:p>
            <w:pPr>
              <w:jc w:val="center"/>
              <w:rPr>
                <w:rFonts w:ascii="宋体" w:cs="宋体"/>
                <w:sz w:val="18"/>
                <w:szCs w:val="18"/>
              </w:rPr>
            </w:pPr>
            <w:r>
              <w:rPr>
                <w:sz w:val="18"/>
                <w:szCs w:val="18"/>
              </w:rPr>
              <w:t>03</w:t>
            </w:r>
          </w:p>
        </w:tc>
        <w:tc>
          <w:tcPr>
            <w:tcW w:w="1941" w:type="dxa"/>
            <w:gridSpan w:val="3"/>
            <w:tcBorders>
              <w:top w:val="nil"/>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住房公积金</w:t>
            </w:r>
          </w:p>
        </w:tc>
        <w:tc>
          <w:tcPr>
            <w:tcW w:w="73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94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20.68</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84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735" w:type="dxa"/>
            <w:gridSpan w:val="2"/>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525"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735"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840" w:type="dxa"/>
            <w:gridSpan w:val="2"/>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c>
          <w:tcPr>
            <w:tcW w:w="630" w:type="dxa"/>
            <w:tcBorders>
              <w:top w:val="nil"/>
              <w:left w:val="nil"/>
              <w:bottom w:val="single" w:color="000000" w:sz="4" w:space="0"/>
              <w:right w:val="single" w:color="000000" w:sz="4" w:space="0"/>
            </w:tcBorders>
            <w:vAlign w:val="center"/>
          </w:tcPr>
          <w:p>
            <w:pPr>
              <w:widowControl/>
              <w:spacing w:line="320" w:lineRule="exact"/>
              <w:jc w:val="center"/>
              <w:rPr>
                <w:rFonts w:asci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PrEx>
        <w:trPr>
          <w:trHeight w:val="285" w:hRule="atLeast"/>
        </w:trPr>
        <w:tc>
          <w:tcPr>
            <w:tcW w:w="13032" w:type="dxa"/>
            <w:gridSpan w:val="6"/>
            <w:tcBorders>
              <w:top w:val="nil"/>
              <w:left w:val="nil"/>
              <w:bottom w:val="nil"/>
              <w:right w:val="nil"/>
            </w:tcBorders>
            <w:vAlign w:val="center"/>
          </w:tcPr>
          <w:p>
            <w:pPr>
              <w:widowControl/>
              <w:jc w:val="right"/>
              <w:rPr>
                <w:rFonts w:ascii="宋体" w:cs="宋体"/>
                <w:kern w:val="0"/>
                <w:sz w:val="18"/>
                <w:szCs w:val="18"/>
              </w:rPr>
            </w:pPr>
            <w:r>
              <w:rPr>
                <w:rFonts w:hint="eastAsia" w:ascii="宋体" w:hAnsi="宋体" w:cs="宋体"/>
                <w:kern w:val="0"/>
                <w:sz w:val="18"/>
                <w:szCs w:val="18"/>
              </w:rPr>
              <w:t>预算</w:t>
            </w:r>
            <w:r>
              <w:rPr>
                <w:rFonts w:ascii="宋体" w:hAnsi="宋体" w:cs="宋体"/>
                <w:kern w:val="0"/>
                <w:sz w:val="18"/>
                <w:szCs w:val="18"/>
              </w:rPr>
              <w:t>08</w:t>
            </w:r>
            <w:r>
              <w:rPr>
                <w:rFonts w:hint="eastAsia" w:ascii="宋体" w:hAnsi="宋体" w:cs="宋体"/>
                <w:kern w:val="0"/>
                <w:sz w:val="18"/>
                <w:szCs w:val="18"/>
              </w:rPr>
              <w:t>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vAlign w:val="center"/>
          </w:tcPr>
          <w:p>
            <w:pPr>
              <w:widowControl/>
              <w:jc w:val="center"/>
              <w:rPr>
                <w:rFonts w:ascii="宋体" w:cs="宋体"/>
                <w:b/>
                <w:bCs/>
                <w:kern w:val="0"/>
                <w:sz w:val="38"/>
                <w:szCs w:val="38"/>
              </w:rPr>
            </w:pPr>
            <w:r>
              <w:rPr>
                <w:rFonts w:ascii="宋体" w:hAnsi="宋体" w:cs="宋体"/>
                <w:b/>
                <w:bCs/>
                <w:kern w:val="0"/>
                <w:sz w:val="38"/>
                <w:szCs w:val="38"/>
              </w:rPr>
              <w:t>2024</w:t>
            </w:r>
            <w:r>
              <w:rPr>
                <w:rFonts w:hint="eastAsia" w:ascii="宋体" w:hAnsi="宋体" w:cs="宋体"/>
                <w:b/>
                <w:bCs/>
                <w:kern w:val="0"/>
                <w:sz w:val="38"/>
                <w:szCs w:val="38"/>
              </w:rPr>
              <w:t>年一般公共预算“三公”经费预算表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vAlign w:val="center"/>
          </w:tcPr>
          <w:p>
            <w:pPr>
              <w:widowControl/>
              <w:jc w:val="left"/>
              <w:rPr>
                <w:rFonts w:ascii="宋体" w:cs="宋体"/>
                <w:kern w:val="0"/>
                <w:sz w:val="18"/>
                <w:szCs w:val="18"/>
              </w:rPr>
            </w:pPr>
            <w:r>
              <w:rPr>
                <w:rFonts w:hint="eastAsia" w:ascii="宋体" w:hAnsi="宋体" w:cs="宋体"/>
                <w:kern w:val="0"/>
                <w:sz w:val="18"/>
                <w:szCs w:val="18"/>
              </w:rPr>
              <w:t>部门名称</w:t>
            </w:r>
            <w:r>
              <w:rPr>
                <w:rFonts w:ascii="宋体" w:hAnsi="宋体" w:cs="宋体"/>
                <w:kern w:val="0"/>
                <w:sz w:val="18"/>
                <w:szCs w:val="18"/>
              </w:rPr>
              <w:t xml:space="preserve">: </w:t>
            </w:r>
            <w:r>
              <w:rPr>
                <w:rFonts w:hint="eastAsia" w:ascii="宋体" w:hAnsi="宋体" w:cs="宋体"/>
                <w:kern w:val="0"/>
                <w:sz w:val="18"/>
                <w:szCs w:val="18"/>
              </w:rPr>
              <w:t>新乡市卫滨区健康路街道办事处</w:t>
            </w:r>
          </w:p>
        </w:tc>
        <w:tc>
          <w:tcPr>
            <w:tcW w:w="2340" w:type="dxa"/>
            <w:tcBorders>
              <w:top w:val="nil"/>
              <w:left w:val="nil"/>
              <w:bottom w:val="nil"/>
              <w:right w:val="nil"/>
            </w:tcBorders>
            <w:vAlign w:val="center"/>
          </w:tcPr>
          <w:p>
            <w:pPr>
              <w:widowControl/>
              <w:jc w:val="center"/>
              <w:rPr>
                <w:rFonts w:asci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75"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vAlign w:val="center"/>
          </w:tcPr>
          <w:p>
            <w:pPr>
              <w:widowControl/>
              <w:jc w:val="right"/>
              <w:rPr>
                <w:rFonts w:ascii="宋体" w:cs="宋体"/>
                <w:kern w:val="0"/>
                <w:sz w:val="18"/>
                <w:szCs w:val="18"/>
              </w:rPr>
            </w:pPr>
            <w:r>
              <w:rPr>
                <w:rFonts w:ascii="宋体" w:cs="宋体"/>
                <w:kern w:val="0"/>
                <w:sz w:val="18"/>
                <w:szCs w:val="18"/>
              </w:rPr>
              <w:t>0</w:t>
            </w:r>
          </w:p>
        </w:tc>
        <w:tc>
          <w:tcPr>
            <w:tcW w:w="178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ascii="宋体" w:cs="宋体"/>
                <w:kern w:val="0"/>
                <w:sz w:val="18"/>
                <w:szCs w:val="18"/>
              </w:rPr>
              <w:t>0</w:t>
            </w:r>
          </w:p>
        </w:tc>
        <w:tc>
          <w:tcPr>
            <w:tcW w:w="187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ascii="宋体" w:cs="宋体"/>
                <w:kern w:val="0"/>
                <w:sz w:val="18"/>
                <w:szCs w:val="18"/>
              </w:rPr>
              <w:t>0</w:t>
            </w:r>
          </w:p>
        </w:tc>
        <w:tc>
          <w:tcPr>
            <w:tcW w:w="23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ascii="宋体" w:cs="宋体"/>
                <w:kern w:val="0"/>
                <w:sz w:val="18"/>
                <w:szCs w:val="18"/>
              </w:rPr>
              <w:t>0</w:t>
            </w:r>
          </w:p>
        </w:tc>
        <w:tc>
          <w:tcPr>
            <w:tcW w:w="23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ascii="宋体" w:cs="宋体"/>
                <w:kern w:val="0"/>
                <w:sz w:val="18"/>
                <w:szCs w:val="18"/>
              </w:rPr>
              <w:t>0</w:t>
            </w:r>
          </w:p>
        </w:tc>
        <w:tc>
          <w:tcPr>
            <w:tcW w:w="2340"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ascii="宋体" w:cs="宋体"/>
                <w:kern w:val="0"/>
                <w:sz w:val="18"/>
                <w:szCs w:val="18"/>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vAlign w:val="center"/>
          </w:tcPr>
          <w:p>
            <w:pPr>
              <w:widowControl/>
              <w:jc w:val="left"/>
              <w:rPr>
                <w:rFonts w:asci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w:t>
            </w:r>
            <w:r>
              <w:rPr>
                <w:rFonts w:ascii="宋体" w:hAnsi="宋体" w:cs="宋体"/>
                <w:kern w:val="0"/>
                <w:sz w:val="18"/>
                <w:szCs w:val="18"/>
              </w:rPr>
              <w:t>1</w:t>
            </w:r>
            <w:r>
              <w:rPr>
                <w:rFonts w:hint="eastAsia" w:ascii="宋体" w:hAnsi="宋体" w:cs="宋体"/>
                <w:kern w:val="0"/>
                <w:sz w:val="18"/>
                <w:szCs w:val="18"/>
              </w:rPr>
              <w:t>）因公出国（境）费，指单位工作人员公务出国（境）的住宿费、旅费、伙食补助费、杂费、培训费等支出。（</w:t>
            </w:r>
            <w:r>
              <w:rPr>
                <w:rFonts w:ascii="宋体" w:hAnsi="宋体" w:cs="宋体"/>
                <w:kern w:val="0"/>
                <w:sz w:val="18"/>
                <w:szCs w:val="18"/>
              </w:rPr>
              <w:t>2</w:t>
            </w:r>
            <w:r>
              <w:rPr>
                <w:rFonts w:hint="eastAsia" w:ascii="宋体" w:hAnsi="宋体" w:cs="宋体"/>
                <w:kern w:val="0"/>
                <w:sz w:val="18"/>
                <w:szCs w:val="18"/>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宋体" w:hAnsi="宋体" w:cs="宋体"/>
                <w:kern w:val="0"/>
                <w:sz w:val="18"/>
                <w:szCs w:val="18"/>
              </w:rPr>
              <w:t>3</w:t>
            </w:r>
            <w:r>
              <w:rPr>
                <w:rFonts w:hint="eastAsia" w:ascii="宋体" w:hAnsi="宋体" w:cs="宋体"/>
                <w:kern w:val="0"/>
                <w:sz w:val="18"/>
                <w:szCs w:val="18"/>
              </w:rPr>
              <w:t>）公务接待费，指单位按规定开支的各类公务接待（含外宾接待）支出。</w:t>
            </w:r>
          </w:p>
          <w:p>
            <w:pPr>
              <w:widowControl/>
              <w:jc w:val="left"/>
              <w:rPr>
                <w:rFonts w:ascii="宋体" w:cs="宋体"/>
                <w:kern w:val="0"/>
                <w:sz w:val="18"/>
                <w:szCs w:val="18"/>
              </w:rPr>
            </w:pPr>
            <w:r>
              <w:rPr>
                <w:rFonts w:hint="eastAsia" w:ascii="宋体" w:hAnsi="宋体" w:cs="宋体"/>
                <w:kern w:val="0"/>
                <w:sz w:val="18"/>
                <w:szCs w:val="18"/>
              </w:rPr>
              <w:t>我们单位没有此项支出，故此表无数据</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vAlign w:val="center"/>
          </w:tcPr>
          <w:p>
            <w:pPr>
              <w:widowControl/>
              <w:jc w:val="right"/>
              <w:textAlignment w:val="center"/>
              <w:rPr>
                <w:rFonts w:ascii="宋体" w:cs="宋体"/>
                <w:color w:val="000000"/>
                <w:sz w:val="18"/>
                <w:szCs w:val="18"/>
              </w:rPr>
            </w:pPr>
            <w:r>
              <w:rPr>
                <w:rFonts w:hint="eastAsia" w:ascii="宋体" w:hAnsi="宋体" w:cs="宋体"/>
                <w:color w:val="000000"/>
                <w:kern w:val="0"/>
                <w:sz w:val="18"/>
                <w:szCs w:val="18"/>
              </w:rPr>
              <w:t>预算</w:t>
            </w:r>
            <w:r>
              <w:rPr>
                <w:rFonts w:ascii="宋体" w:hAnsi="宋体" w:cs="宋体"/>
                <w:color w:val="000000"/>
                <w:kern w:val="0"/>
                <w:sz w:val="18"/>
                <w:szCs w:val="18"/>
              </w:rPr>
              <w:t>09</w:t>
            </w:r>
            <w:r>
              <w:rPr>
                <w:rFonts w:hint="eastAsia" w:ascii="宋体" w:hAnsi="宋体" w:cs="宋体"/>
                <w:color w:val="000000"/>
                <w:kern w:val="0"/>
                <w:sz w:val="18"/>
                <w:szCs w:val="18"/>
              </w:rPr>
              <w:t>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vAlign w:val="center"/>
          </w:tcPr>
          <w:p>
            <w:pPr>
              <w:widowControl/>
              <w:jc w:val="center"/>
              <w:textAlignment w:val="center"/>
              <w:rPr>
                <w:rFonts w:ascii="宋体" w:cs="宋体"/>
                <w:b/>
                <w:bCs/>
                <w:color w:val="000000"/>
                <w:sz w:val="38"/>
                <w:szCs w:val="38"/>
              </w:rPr>
            </w:pPr>
            <w:r>
              <w:rPr>
                <w:rFonts w:ascii="宋体" w:hAnsi="宋体" w:cs="宋体"/>
                <w:b/>
                <w:bCs/>
                <w:color w:val="000000"/>
                <w:kern w:val="0"/>
                <w:sz w:val="38"/>
                <w:szCs w:val="38"/>
              </w:rPr>
              <w:t>2024</w:t>
            </w:r>
            <w:r>
              <w:rPr>
                <w:rFonts w:hint="eastAsia" w:ascii="宋体" w:hAnsi="宋体" w:cs="宋体"/>
                <w:b/>
                <w:bCs/>
                <w:color w:val="000000"/>
                <w:kern w:val="0"/>
                <w:sz w:val="38"/>
                <w:szCs w:val="38"/>
              </w:rPr>
              <w:t>年政府性基金支出预算表</w:t>
            </w:r>
          </w:p>
        </w:tc>
      </w:tr>
      <w:tr>
        <w:tblPrEx>
          <w:tblLayout w:type="fixed"/>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vAlign w:val="center"/>
          </w:tcPr>
          <w:p>
            <w:pPr>
              <w:widowControl/>
              <w:jc w:val="left"/>
              <w:textAlignment w:val="center"/>
              <w:rPr>
                <w:rFonts w:ascii="宋体" w:cs="宋体"/>
                <w:color w:val="000000"/>
                <w:sz w:val="18"/>
                <w:szCs w:val="18"/>
              </w:rPr>
            </w:pPr>
            <w:r>
              <w:rPr>
                <w:rFonts w:hint="eastAsia" w:ascii="宋体" w:hAnsi="宋体" w:cs="宋体"/>
                <w:color w:val="000000"/>
                <w:kern w:val="0"/>
                <w:sz w:val="18"/>
                <w:szCs w:val="18"/>
              </w:rPr>
              <w:t>部门名称：</w:t>
            </w:r>
            <w:r>
              <w:rPr>
                <w:rFonts w:hint="eastAsia" w:ascii="宋体" w:hAnsi="宋体" w:cs="宋体"/>
                <w:kern w:val="0"/>
                <w:sz w:val="18"/>
                <w:szCs w:val="18"/>
              </w:rPr>
              <w:t>新乡市卫滨区健康路街道办事处</w:t>
            </w:r>
          </w:p>
        </w:tc>
        <w:tc>
          <w:tcPr>
            <w:tcW w:w="1230" w:type="dxa"/>
            <w:tcBorders>
              <w:top w:val="nil"/>
              <w:left w:val="nil"/>
              <w:bottom w:val="nil"/>
              <w:right w:val="nil"/>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基本支出</w:t>
            </w:r>
            <w:r>
              <w:rPr>
                <w:rFonts w:ascii="宋体" w:hAnsi="宋体" w:cs="宋体"/>
                <w:color w:val="000000"/>
                <w:kern w:val="0"/>
                <w:sz w:val="18"/>
                <w:szCs w:val="18"/>
              </w:rPr>
              <w:t xml:space="preserve">  </w:t>
            </w:r>
          </w:p>
        </w:tc>
        <w:tc>
          <w:tcPr>
            <w:tcW w:w="35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ascii="宋体" w:hAnsi="宋体" w:cs="宋体"/>
                <w:color w:val="000000"/>
                <w:kern w:val="0"/>
                <w:sz w:val="18"/>
                <w:szCs w:val="18"/>
              </w:rPr>
              <w:t xml:space="preserve"> </w:t>
            </w:r>
          </w:p>
        </w:tc>
        <w:tc>
          <w:tcPr>
            <w:tcW w:w="4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vAlign w:val="center"/>
          </w:tcPr>
          <w:p>
            <w:pPr>
              <w:tabs>
                <w:tab w:val="left" w:pos="252"/>
              </w:tabs>
              <w:jc w:val="left"/>
              <w:rPr>
                <w:rFonts w:ascii="宋体" w:cs="宋体"/>
                <w:color w:val="000000"/>
                <w:sz w:val="18"/>
                <w:szCs w:val="18"/>
              </w:rPr>
            </w:pPr>
            <w:r>
              <w:rPr>
                <w:rFonts w:asci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r>
              <w:rPr>
                <w:rFonts w:asci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r>
              <w:rPr>
                <w:rFonts w:asci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r>
              <w:rPr>
                <w:rFonts w:asci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r>
              <w:rPr>
                <w:rFonts w:asci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r>
              <w:rPr>
                <w:rFonts w:asci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r>
              <w:rPr>
                <w:rFonts w:asci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r>
              <w:rPr>
                <w:rFonts w:ascii="宋体" w:cs="宋体"/>
                <w:color w:val="000000"/>
                <w:sz w:val="18"/>
                <w:szCs w:val="18"/>
              </w:rPr>
              <w:t>0</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r>
              <w:rPr>
                <w:rFonts w:ascii="宋体" w:cs="宋体"/>
                <w:color w:val="000000"/>
                <w:sz w:val="18"/>
                <w:szCs w:val="18"/>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vAlign w:val="center"/>
          </w:tcPr>
          <w:p>
            <w:pPr>
              <w:rPr>
                <w:rFonts w:asci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vAlign w:val="center"/>
          </w:tcPr>
          <w:p>
            <w:pPr>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vAlign w:val="center"/>
          </w:tcPr>
          <w:p>
            <w:pPr>
              <w:rPr>
                <w:rFonts w:asci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vAlign w:val="center"/>
          </w:tcPr>
          <w:p>
            <w:pPr>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18"/>
                <w:szCs w:val="18"/>
              </w:rPr>
            </w:pPr>
          </w:p>
        </w:tc>
      </w:tr>
    </w:tbl>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360" w:lineRule="auto"/>
        <w:ind w:right="51"/>
        <w:jc w:val="left"/>
        <w:rPr>
          <w:rFonts w:ascii="仿宋_GB2312" w:eastAsia="仿宋_GB2312"/>
          <w:sz w:val="32"/>
          <w:szCs w:val="32"/>
        </w:rPr>
      </w:pPr>
      <w:r>
        <w:rPr>
          <w:rFonts w:hint="eastAsia" w:ascii="宋体" w:hAnsi="宋体" w:cs="宋体"/>
          <w:kern w:val="0"/>
          <w:sz w:val="18"/>
          <w:szCs w:val="18"/>
        </w:rPr>
        <w:t>说明：我们单位没有政府性基金收入，也没有使用政府性基金安排支出，故此表无数据。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pPr w:leftFromText="180" w:rightFromText="180" w:vertAnchor="text" w:horzAnchor="margin" w:tblpXSpec="center" w:tblpY="-1848"/>
        <w:tblW w:w="15461" w:type="dxa"/>
        <w:tblInd w:w="0" w:type="dxa"/>
        <w:tblLayout w:type="fixed"/>
        <w:tblCellMar>
          <w:top w:w="0" w:type="dxa"/>
          <w:left w:w="108" w:type="dxa"/>
          <w:bottom w:w="0" w:type="dxa"/>
          <w:right w:w="108" w:type="dxa"/>
        </w:tblCellMar>
      </w:tblPr>
      <w:tblGrid>
        <w:gridCol w:w="1260"/>
        <w:gridCol w:w="2730"/>
        <w:gridCol w:w="1680"/>
        <w:gridCol w:w="945"/>
        <w:gridCol w:w="1050"/>
        <w:gridCol w:w="1050"/>
        <w:gridCol w:w="1260"/>
        <w:gridCol w:w="1076"/>
        <w:gridCol w:w="1050"/>
        <w:gridCol w:w="1260"/>
        <w:gridCol w:w="945"/>
        <w:gridCol w:w="1155"/>
      </w:tblGrid>
      <w:tr>
        <w:tblPrEx>
          <w:tblLayout w:type="fixed"/>
          <w:tblCellMar>
            <w:top w:w="0" w:type="dxa"/>
            <w:left w:w="108" w:type="dxa"/>
            <w:bottom w:w="0" w:type="dxa"/>
            <w:right w:w="108" w:type="dxa"/>
          </w:tblCellMar>
        </w:tblPrEx>
        <w:trPr>
          <w:trHeight w:val="285" w:hRule="atLeast"/>
        </w:trPr>
        <w:tc>
          <w:tcPr>
            <w:tcW w:w="15461" w:type="dxa"/>
            <w:gridSpan w:val="12"/>
            <w:tcBorders>
              <w:top w:val="nil"/>
              <w:left w:val="nil"/>
              <w:bottom w:val="nil"/>
              <w:right w:val="nil"/>
            </w:tcBorders>
            <w:vAlign w:val="center"/>
          </w:tcPr>
          <w:p>
            <w:pPr>
              <w:widowControl/>
              <w:ind w:right="360"/>
              <w:rPr>
                <w:rFonts w:ascii="宋体" w:cs="宋体"/>
                <w:kern w:val="0"/>
                <w:sz w:val="18"/>
                <w:szCs w:val="18"/>
              </w:rPr>
            </w:pPr>
          </w:p>
          <w:p>
            <w:pPr>
              <w:widowControl/>
              <w:jc w:val="right"/>
              <w:rPr>
                <w:rFonts w:ascii="宋体" w:cs="宋体"/>
                <w:kern w:val="0"/>
                <w:sz w:val="18"/>
                <w:szCs w:val="18"/>
              </w:rPr>
            </w:pPr>
          </w:p>
          <w:p>
            <w:pPr>
              <w:widowControl/>
              <w:jc w:val="right"/>
              <w:rPr>
                <w:rFonts w:ascii="宋体" w:cs="宋体"/>
                <w:kern w:val="0"/>
                <w:sz w:val="18"/>
                <w:szCs w:val="18"/>
              </w:rPr>
            </w:pPr>
            <w:r>
              <w:rPr>
                <w:rFonts w:hint="eastAsia" w:ascii="宋体" w:hAnsi="宋体" w:cs="宋体"/>
                <w:kern w:val="0"/>
                <w:sz w:val="18"/>
                <w:szCs w:val="18"/>
              </w:rPr>
              <w:t>预算</w:t>
            </w:r>
            <w:r>
              <w:rPr>
                <w:rFonts w:ascii="宋体" w:hAnsi="宋体" w:cs="宋体"/>
                <w:kern w:val="0"/>
                <w:sz w:val="18"/>
                <w:szCs w:val="18"/>
              </w:rPr>
              <w:t>10</w:t>
            </w:r>
            <w:r>
              <w:rPr>
                <w:rFonts w:hint="eastAsia" w:ascii="宋体" w:hAnsi="宋体" w:cs="宋体"/>
                <w:kern w:val="0"/>
                <w:sz w:val="18"/>
                <w:szCs w:val="18"/>
              </w:rPr>
              <w:t>表</w:t>
            </w:r>
          </w:p>
        </w:tc>
      </w:tr>
      <w:tr>
        <w:tblPrEx>
          <w:tblLayout w:type="fixed"/>
          <w:tblCellMar>
            <w:top w:w="0" w:type="dxa"/>
            <w:left w:w="108" w:type="dxa"/>
            <w:bottom w:w="0" w:type="dxa"/>
            <w:right w:w="108" w:type="dxa"/>
          </w:tblCellMar>
        </w:tblPrEx>
        <w:trPr>
          <w:trHeight w:val="570" w:hRule="atLeast"/>
        </w:trPr>
        <w:tc>
          <w:tcPr>
            <w:tcW w:w="15461" w:type="dxa"/>
            <w:gridSpan w:val="12"/>
            <w:tcBorders>
              <w:top w:val="nil"/>
              <w:left w:val="nil"/>
              <w:bottom w:val="nil"/>
              <w:right w:val="nil"/>
            </w:tcBorders>
            <w:vAlign w:val="center"/>
          </w:tcPr>
          <w:p>
            <w:pPr>
              <w:widowControl/>
              <w:jc w:val="center"/>
              <w:rPr>
                <w:rFonts w:ascii="宋体" w:cs="宋体"/>
                <w:b/>
                <w:bCs/>
                <w:kern w:val="0"/>
                <w:sz w:val="38"/>
                <w:szCs w:val="38"/>
              </w:rPr>
            </w:pPr>
            <w:r>
              <w:rPr>
                <w:rFonts w:hint="eastAsia" w:ascii="宋体" w:hAnsi="宋体" w:cs="宋体"/>
                <w:b/>
                <w:bCs/>
                <w:kern w:val="0"/>
                <w:sz w:val="38"/>
                <w:szCs w:val="38"/>
              </w:rPr>
              <w:t>项目支出预算表</w:t>
            </w:r>
          </w:p>
        </w:tc>
      </w:tr>
      <w:tr>
        <w:tblPrEx>
          <w:tblLayout w:type="fixed"/>
          <w:tblCellMar>
            <w:top w:w="0" w:type="dxa"/>
            <w:left w:w="108" w:type="dxa"/>
            <w:bottom w:w="0" w:type="dxa"/>
            <w:right w:w="108" w:type="dxa"/>
          </w:tblCellMar>
        </w:tblPrEx>
        <w:trPr>
          <w:trHeight w:val="285" w:hRule="atLeast"/>
        </w:trPr>
        <w:tc>
          <w:tcPr>
            <w:tcW w:w="14306" w:type="dxa"/>
            <w:gridSpan w:val="11"/>
            <w:tcBorders>
              <w:top w:val="nil"/>
              <w:left w:val="nil"/>
              <w:bottom w:val="nil"/>
              <w:right w:val="nil"/>
            </w:tcBorders>
            <w:vAlign w:val="center"/>
          </w:tcPr>
          <w:p>
            <w:pPr>
              <w:widowControl/>
              <w:jc w:val="left"/>
              <w:rPr>
                <w:rFonts w:ascii="宋体" w:cs="宋体"/>
                <w:kern w:val="0"/>
                <w:sz w:val="18"/>
                <w:szCs w:val="18"/>
              </w:rPr>
            </w:pPr>
            <w:r>
              <w:rPr>
                <w:rFonts w:hint="eastAsia" w:ascii="宋体" w:hAnsi="宋体" w:cs="宋体"/>
                <w:kern w:val="0"/>
                <w:sz w:val="18"/>
                <w:szCs w:val="18"/>
              </w:rPr>
              <w:t>部门名称：新乡市卫滨区健康路街道办事处</w:t>
            </w:r>
          </w:p>
        </w:tc>
        <w:tc>
          <w:tcPr>
            <w:tcW w:w="1155" w:type="dxa"/>
            <w:tcBorders>
              <w:top w:val="nil"/>
              <w:left w:val="nil"/>
              <w:bottom w:val="nil"/>
              <w:right w:val="nil"/>
            </w:tcBorders>
            <w:vAlign w:val="center"/>
          </w:tcPr>
          <w:p>
            <w:pPr>
              <w:widowControl/>
              <w:jc w:val="right"/>
              <w:rPr>
                <w:rFonts w:asci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类型</w:t>
            </w:r>
          </w:p>
        </w:tc>
        <w:tc>
          <w:tcPr>
            <w:tcW w:w="27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项目名称</w:t>
            </w:r>
          </w:p>
        </w:tc>
        <w:tc>
          <w:tcPr>
            <w:tcW w:w="16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项目单位</w:t>
            </w: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合计</w:t>
            </w:r>
          </w:p>
        </w:tc>
        <w:tc>
          <w:tcPr>
            <w:tcW w:w="336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本年拨款</w:t>
            </w:r>
          </w:p>
        </w:tc>
        <w:tc>
          <w:tcPr>
            <w:tcW w:w="3386"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财政拨款结转结余</w:t>
            </w: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财政专户管理资金</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454"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7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6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05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一般公共预算</w:t>
            </w:r>
          </w:p>
        </w:tc>
        <w:tc>
          <w:tcPr>
            <w:tcW w:w="105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政府性基金预算</w:t>
            </w:r>
          </w:p>
        </w:tc>
        <w:tc>
          <w:tcPr>
            <w:tcW w:w="126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国有资本经营预算</w:t>
            </w:r>
          </w:p>
        </w:tc>
        <w:tc>
          <w:tcPr>
            <w:tcW w:w="1076"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一般公共预算</w:t>
            </w:r>
          </w:p>
        </w:tc>
        <w:tc>
          <w:tcPr>
            <w:tcW w:w="105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政府性基金预算</w:t>
            </w:r>
          </w:p>
        </w:tc>
        <w:tc>
          <w:tcPr>
            <w:tcW w:w="126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国有资本经营预算</w:t>
            </w: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260"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73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168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94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620.12</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202.50</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76"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397.62</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c>
          <w:tcPr>
            <w:tcW w:w="94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15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26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　</w:t>
            </w:r>
          </w:p>
        </w:tc>
        <w:tc>
          <w:tcPr>
            <w:tcW w:w="2730"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404</w:t>
            </w:r>
          </w:p>
        </w:tc>
        <w:tc>
          <w:tcPr>
            <w:tcW w:w="168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新乡市卫滨区健康路街道办事处</w:t>
            </w:r>
          </w:p>
        </w:tc>
        <w:tc>
          <w:tcPr>
            <w:tcW w:w="94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620.12</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202.50</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76"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397.62</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c>
          <w:tcPr>
            <w:tcW w:w="94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15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26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其他运转类</w:t>
            </w:r>
          </w:p>
        </w:tc>
        <w:tc>
          <w:tcPr>
            <w:tcW w:w="273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劳务费</w:t>
            </w:r>
          </w:p>
        </w:tc>
        <w:tc>
          <w:tcPr>
            <w:tcW w:w="168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新乡市卫滨区健康路街道办事处本级</w:t>
            </w:r>
          </w:p>
        </w:tc>
        <w:tc>
          <w:tcPr>
            <w:tcW w:w="94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50.00</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50.00</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7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4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15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26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其他运转类</w:t>
            </w:r>
          </w:p>
        </w:tc>
        <w:tc>
          <w:tcPr>
            <w:tcW w:w="273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改善办公及日常运转经费</w:t>
            </w:r>
          </w:p>
        </w:tc>
        <w:tc>
          <w:tcPr>
            <w:tcW w:w="168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新乡市卫滨区健康路街道办事处本级</w:t>
            </w:r>
          </w:p>
        </w:tc>
        <w:tc>
          <w:tcPr>
            <w:tcW w:w="94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149.00</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149.00</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7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4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15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26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特定目标类</w:t>
            </w:r>
          </w:p>
        </w:tc>
        <w:tc>
          <w:tcPr>
            <w:tcW w:w="273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新财预【</w:t>
            </w:r>
            <w:r>
              <w:rPr>
                <w:sz w:val="18"/>
                <w:szCs w:val="18"/>
              </w:rPr>
              <w:t>2023</w:t>
            </w:r>
            <w:r>
              <w:rPr>
                <w:rFonts w:hint="eastAsia"/>
                <w:sz w:val="18"/>
                <w:szCs w:val="18"/>
              </w:rPr>
              <w:t>】</w:t>
            </w:r>
            <w:r>
              <w:rPr>
                <w:sz w:val="18"/>
                <w:szCs w:val="18"/>
              </w:rPr>
              <w:t>381</w:t>
            </w:r>
            <w:r>
              <w:rPr>
                <w:rFonts w:hint="eastAsia"/>
                <w:sz w:val="18"/>
                <w:szCs w:val="18"/>
              </w:rPr>
              <w:t>号关于提前下达</w:t>
            </w:r>
            <w:r>
              <w:rPr>
                <w:sz w:val="18"/>
                <w:szCs w:val="18"/>
              </w:rPr>
              <w:t>2024</w:t>
            </w:r>
            <w:r>
              <w:rPr>
                <w:rFonts w:hint="eastAsia"/>
                <w:sz w:val="18"/>
                <w:szCs w:val="18"/>
              </w:rPr>
              <w:t>年公共图书馆、美术馆、文化馆（站）免费开放补助资金预算的通知</w:t>
            </w:r>
          </w:p>
        </w:tc>
        <w:tc>
          <w:tcPr>
            <w:tcW w:w="168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新乡市卫滨区健康路街道办事处</w:t>
            </w:r>
          </w:p>
        </w:tc>
        <w:tc>
          <w:tcPr>
            <w:tcW w:w="94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7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4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c>
          <w:tcPr>
            <w:tcW w:w="115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r>
      <w:tr>
        <w:tblPrEx>
          <w:tblLayout w:type="fixed"/>
          <w:tblCellMar>
            <w:top w:w="0" w:type="dxa"/>
            <w:left w:w="108" w:type="dxa"/>
            <w:bottom w:w="0" w:type="dxa"/>
            <w:right w:w="108" w:type="dxa"/>
          </w:tblCellMar>
        </w:tblPrEx>
        <w:trPr>
          <w:trHeight w:val="679" w:hRule="atLeast"/>
        </w:trPr>
        <w:tc>
          <w:tcPr>
            <w:tcW w:w="126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特定目标类</w:t>
            </w:r>
          </w:p>
        </w:tc>
        <w:tc>
          <w:tcPr>
            <w:tcW w:w="273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新财预</w:t>
            </w:r>
            <w:r>
              <w:rPr>
                <w:sz w:val="18"/>
                <w:szCs w:val="18"/>
              </w:rPr>
              <w:t>2023.213</w:t>
            </w:r>
            <w:r>
              <w:rPr>
                <w:rFonts w:hint="eastAsia"/>
                <w:sz w:val="18"/>
                <w:szCs w:val="18"/>
              </w:rPr>
              <w:t>老旧小区改造</w:t>
            </w:r>
          </w:p>
        </w:tc>
        <w:tc>
          <w:tcPr>
            <w:tcW w:w="168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新乡市卫滨区健康路街道办事处</w:t>
            </w:r>
          </w:p>
        </w:tc>
        <w:tc>
          <w:tcPr>
            <w:tcW w:w="94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74.01</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76"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74.01</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4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c>
          <w:tcPr>
            <w:tcW w:w="115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r>
      <w:tr>
        <w:tblPrEx>
          <w:tblLayout w:type="fixed"/>
          <w:tblCellMar>
            <w:top w:w="0" w:type="dxa"/>
            <w:left w:w="108" w:type="dxa"/>
            <w:bottom w:w="0" w:type="dxa"/>
            <w:right w:w="108" w:type="dxa"/>
          </w:tblCellMar>
        </w:tblPrEx>
        <w:trPr>
          <w:trHeight w:val="679" w:hRule="atLeast"/>
        </w:trPr>
        <w:tc>
          <w:tcPr>
            <w:tcW w:w="126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特定目标类</w:t>
            </w:r>
          </w:p>
        </w:tc>
        <w:tc>
          <w:tcPr>
            <w:tcW w:w="273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新财预</w:t>
            </w:r>
            <w:r>
              <w:rPr>
                <w:sz w:val="18"/>
                <w:szCs w:val="18"/>
              </w:rPr>
              <w:t>2023.34</w:t>
            </w:r>
            <w:r>
              <w:rPr>
                <w:rFonts w:hint="eastAsia"/>
                <w:sz w:val="18"/>
                <w:szCs w:val="18"/>
              </w:rPr>
              <w:t>老旧小区改造</w:t>
            </w:r>
          </w:p>
        </w:tc>
        <w:tc>
          <w:tcPr>
            <w:tcW w:w="168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新乡市卫滨区健康路街道办事处</w:t>
            </w:r>
          </w:p>
        </w:tc>
        <w:tc>
          <w:tcPr>
            <w:tcW w:w="94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323.61</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76"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323.61</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94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c>
          <w:tcPr>
            <w:tcW w:w="115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p>
        </w:tc>
      </w:tr>
      <w:tr>
        <w:tblPrEx>
          <w:tblLayout w:type="fixed"/>
          <w:tblCellMar>
            <w:top w:w="0" w:type="dxa"/>
            <w:left w:w="108" w:type="dxa"/>
            <w:bottom w:w="0" w:type="dxa"/>
            <w:right w:w="108" w:type="dxa"/>
          </w:tblCellMar>
        </w:tblPrEx>
        <w:trPr>
          <w:trHeight w:val="679" w:hRule="atLeast"/>
        </w:trPr>
        <w:tc>
          <w:tcPr>
            <w:tcW w:w="1260"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特定目标类</w:t>
            </w:r>
          </w:p>
        </w:tc>
        <w:tc>
          <w:tcPr>
            <w:tcW w:w="273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提前下达</w:t>
            </w:r>
            <w:r>
              <w:rPr>
                <w:sz w:val="18"/>
                <w:szCs w:val="18"/>
              </w:rPr>
              <w:t>2023</w:t>
            </w:r>
            <w:r>
              <w:rPr>
                <w:rFonts w:hint="eastAsia"/>
                <w:sz w:val="18"/>
                <w:szCs w:val="18"/>
              </w:rPr>
              <w:t>年国有企业退休人员社会化管理补助资金</w:t>
            </w:r>
          </w:p>
        </w:tc>
        <w:tc>
          <w:tcPr>
            <w:tcW w:w="1680"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新乡市卫滨区健康路街道办事处</w:t>
            </w:r>
          </w:p>
        </w:tc>
        <w:tc>
          <w:tcPr>
            <w:tcW w:w="94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76"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050" w:type="dxa"/>
            <w:tcBorders>
              <w:top w:val="nil"/>
              <w:left w:val="nil"/>
              <w:bottom w:val="single" w:color="000000" w:sz="4" w:space="0"/>
              <w:right w:val="single" w:color="000000" w:sz="4" w:space="0"/>
            </w:tcBorders>
            <w:vAlign w:val="center"/>
          </w:tcPr>
          <w:p>
            <w:pPr>
              <w:jc w:val="right"/>
              <w:rPr>
                <w:rFonts w:ascii="宋体" w:cs="宋体"/>
                <w:sz w:val="18"/>
                <w:szCs w:val="18"/>
              </w:rPr>
            </w:pPr>
            <w:r>
              <w:rPr>
                <w:rFonts w:hint="eastAsia"/>
                <w:sz w:val="18"/>
                <w:szCs w:val="18"/>
              </w:rPr>
              <w:t>　</w:t>
            </w:r>
          </w:p>
        </w:tc>
        <w:tc>
          <w:tcPr>
            <w:tcW w:w="1260"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20.00</w:t>
            </w:r>
          </w:p>
        </w:tc>
        <w:tc>
          <w:tcPr>
            <w:tcW w:w="94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15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134" w:right="567" w:bottom="1134"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6"/>
        <w:tblW w:w="9440" w:type="dxa"/>
        <w:tblInd w:w="93" w:type="dxa"/>
        <w:tblLayout w:type="fixed"/>
        <w:tblCellMar>
          <w:top w:w="0" w:type="dxa"/>
          <w:left w:w="108" w:type="dxa"/>
          <w:bottom w:w="0" w:type="dxa"/>
          <w:right w:w="108" w:type="dxa"/>
        </w:tblCellMar>
      </w:tblPr>
      <w:tblGrid>
        <w:gridCol w:w="6"/>
        <w:gridCol w:w="1359"/>
        <w:gridCol w:w="1459"/>
        <w:gridCol w:w="2199"/>
        <w:gridCol w:w="1179"/>
        <w:gridCol w:w="3238"/>
      </w:tblGrid>
      <w:tr>
        <w:tblPrEx>
          <w:tblLayout w:type="fixed"/>
          <w:tblCellMar>
            <w:top w:w="0" w:type="dxa"/>
            <w:left w:w="108" w:type="dxa"/>
            <w:bottom w:w="0" w:type="dxa"/>
            <w:right w:w="108" w:type="dxa"/>
          </w:tblCellMar>
        </w:tblPrEx>
        <w:trPr>
          <w:trHeight w:val="285" w:hRule="atLeast"/>
        </w:trPr>
        <w:tc>
          <w:tcPr>
            <w:tcW w:w="9440" w:type="dxa"/>
            <w:gridSpan w:val="6"/>
            <w:tcBorders>
              <w:top w:val="nil"/>
              <w:left w:val="nil"/>
              <w:bottom w:val="nil"/>
              <w:right w:val="nil"/>
            </w:tcBorders>
            <w:vAlign w:val="center"/>
          </w:tcPr>
          <w:p>
            <w:pPr>
              <w:widowControl/>
              <w:jc w:val="right"/>
              <w:rPr>
                <w:rFonts w:ascii="宋体" w:cs="宋体"/>
                <w:kern w:val="0"/>
                <w:sz w:val="18"/>
                <w:szCs w:val="18"/>
              </w:rPr>
            </w:pPr>
            <w:r>
              <w:rPr>
                <w:rFonts w:hint="eastAsia" w:ascii="宋体" w:hAnsi="宋体" w:cs="宋体"/>
                <w:kern w:val="0"/>
                <w:sz w:val="18"/>
                <w:szCs w:val="18"/>
              </w:rPr>
              <w:t>预算</w:t>
            </w:r>
            <w:r>
              <w:rPr>
                <w:rFonts w:ascii="宋体" w:hAnsi="宋体" w:cs="宋体"/>
                <w:kern w:val="0"/>
                <w:sz w:val="18"/>
                <w:szCs w:val="18"/>
              </w:rPr>
              <w:t>11</w:t>
            </w:r>
            <w:r>
              <w:rPr>
                <w:rFonts w:hint="eastAsia" w:ascii="宋体" w:hAnsi="宋体" w:cs="宋体"/>
                <w:kern w:val="0"/>
                <w:sz w:val="18"/>
                <w:szCs w:val="18"/>
              </w:rPr>
              <w:t>表</w:t>
            </w:r>
          </w:p>
        </w:tc>
      </w:tr>
      <w:tr>
        <w:tblPrEx>
          <w:tblLayout w:type="fixed"/>
          <w:tblCellMar>
            <w:top w:w="0" w:type="dxa"/>
            <w:left w:w="108" w:type="dxa"/>
            <w:bottom w:w="0" w:type="dxa"/>
            <w:right w:w="108" w:type="dxa"/>
          </w:tblCellMar>
        </w:tblPrEx>
        <w:trPr>
          <w:trHeight w:val="570" w:hRule="atLeast"/>
        </w:trPr>
        <w:tc>
          <w:tcPr>
            <w:tcW w:w="9440" w:type="dxa"/>
            <w:gridSpan w:val="6"/>
            <w:tcBorders>
              <w:top w:val="nil"/>
              <w:left w:val="nil"/>
              <w:bottom w:val="nil"/>
              <w:right w:val="nil"/>
            </w:tcBorders>
            <w:vAlign w:val="center"/>
          </w:tcPr>
          <w:p>
            <w:pPr>
              <w:widowControl/>
              <w:jc w:val="center"/>
              <w:rPr>
                <w:rFonts w:ascii="宋体" w:cs="宋体"/>
                <w:b/>
                <w:bCs/>
                <w:kern w:val="0"/>
                <w:sz w:val="38"/>
                <w:szCs w:val="38"/>
              </w:rPr>
            </w:pPr>
            <w:r>
              <w:rPr>
                <w:rFonts w:hint="eastAsia" w:ascii="宋体" w:hAnsi="宋体" w:cs="宋体"/>
                <w:b/>
                <w:bCs/>
                <w:kern w:val="0"/>
                <w:sz w:val="38"/>
                <w:szCs w:val="38"/>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6"/>
            <w:tcBorders>
              <w:top w:val="nil"/>
              <w:left w:val="nil"/>
              <w:bottom w:val="nil"/>
              <w:right w:val="nil"/>
            </w:tcBorders>
            <w:vAlign w:val="center"/>
          </w:tcPr>
          <w:p>
            <w:pPr>
              <w:widowControl/>
              <w:jc w:val="center"/>
              <w:rPr>
                <w:rFonts w:ascii="宋体" w:cs="宋体"/>
                <w:b/>
                <w:bCs/>
                <w:kern w:val="0"/>
                <w:sz w:val="24"/>
                <w:szCs w:val="24"/>
              </w:rPr>
            </w:pPr>
            <w:r>
              <w:rPr>
                <w:rFonts w:hint="eastAsia" w:ascii="宋体" w:hAnsi="宋体" w:cs="宋体"/>
                <w:b/>
                <w:bCs/>
                <w:kern w:val="0"/>
                <w:sz w:val="24"/>
                <w:szCs w:val="24"/>
              </w:rPr>
              <w:t>（</w:t>
            </w:r>
            <w:r>
              <w:rPr>
                <w:rFonts w:ascii="宋体" w:hAnsi="宋体" w:cs="宋体"/>
                <w:b/>
                <w:bCs/>
                <w:kern w:val="0"/>
                <w:sz w:val="24"/>
                <w:szCs w:val="24"/>
              </w:rPr>
              <w:t>2024</w:t>
            </w:r>
            <w:r>
              <w:rPr>
                <w:rFonts w:hint="eastAsia" w:ascii="宋体" w:hAnsi="宋体" w:cs="宋体"/>
                <w:b/>
                <w:bCs/>
                <w:kern w:val="0"/>
                <w:sz w:val="24"/>
                <w:szCs w:val="24"/>
              </w:rPr>
              <w:t>年度）</w:t>
            </w:r>
            <w:r>
              <w:rPr>
                <w:rFonts w:ascii="宋体" w:hAnsi="宋体" w:cs="宋体"/>
                <w:b/>
                <w:bCs/>
                <w:kern w:val="0"/>
                <w:sz w:val="24"/>
                <w:szCs w:val="24"/>
              </w:rPr>
              <w:t xml:space="preserve">  </w:t>
            </w:r>
          </w:p>
        </w:tc>
      </w:tr>
      <w:tr>
        <w:tblPrEx>
          <w:tblLayout w:type="fixed"/>
          <w:tblCellMar>
            <w:top w:w="0" w:type="dxa"/>
            <w:left w:w="108" w:type="dxa"/>
            <w:bottom w:w="0" w:type="dxa"/>
            <w:right w:w="108" w:type="dxa"/>
          </w:tblCellMar>
        </w:tblPrEx>
        <w:trPr>
          <w:trHeight w:val="285" w:hRule="atLeast"/>
        </w:trPr>
        <w:tc>
          <w:tcPr>
            <w:tcW w:w="9440" w:type="dxa"/>
            <w:gridSpan w:val="6"/>
            <w:tcBorders>
              <w:top w:val="nil"/>
              <w:left w:val="nil"/>
              <w:bottom w:val="single" w:color="000000" w:sz="4" w:space="0"/>
              <w:right w:val="nil"/>
            </w:tcBorders>
            <w:vAlign w:val="center"/>
          </w:tcPr>
          <w:p>
            <w:pPr>
              <w:widowControl/>
              <w:jc w:val="center"/>
              <w:rPr>
                <w:rFonts w:ascii="宋体" w:cs="宋体"/>
                <w:kern w:val="0"/>
                <w:sz w:val="18"/>
                <w:szCs w:val="18"/>
              </w:rPr>
            </w:pPr>
            <w:r>
              <w:rPr>
                <w:rFonts w:hint="eastAsia" w:ascii="宋体" w:hAnsi="宋体" w:cs="宋体"/>
                <w:kern w:val="0"/>
                <w:sz w:val="18"/>
                <w:szCs w:val="18"/>
              </w:rPr>
              <w:t>部门名称：新乡市卫滨区健康路街道办事处</w:t>
            </w:r>
            <w:r>
              <w:rPr>
                <w:rFonts w:ascii="宋体" w:hAnsi="宋体" w:cs="宋体"/>
                <w:kern w:val="0"/>
                <w:sz w:val="18"/>
                <w:szCs w:val="18"/>
              </w:rPr>
              <w:t xml:space="preserve">                                                   </w:t>
            </w: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855" w:hRule="atLeast"/>
        </w:trPr>
        <w:tc>
          <w:tcPr>
            <w:tcW w:w="136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年度履职目标</w:t>
            </w:r>
          </w:p>
        </w:tc>
        <w:tc>
          <w:tcPr>
            <w:tcW w:w="807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cs="宋体"/>
                <w:kern w:val="0"/>
                <w:sz w:val="18"/>
                <w:szCs w:val="18"/>
              </w:rPr>
              <w:t>目标</w:t>
            </w:r>
            <w:r>
              <w:rPr>
                <w:rFonts w:ascii="宋体" w:cs="宋体"/>
                <w:kern w:val="0"/>
                <w:sz w:val="18"/>
                <w:szCs w:val="18"/>
              </w:rPr>
              <w:t>1</w:t>
            </w:r>
            <w:r>
              <w:rPr>
                <w:rFonts w:hint="eastAsia" w:ascii="宋体" w:cs="宋体"/>
                <w:kern w:val="0"/>
                <w:sz w:val="18"/>
                <w:szCs w:val="18"/>
              </w:rPr>
              <w:t>：办公耗材、办公家具、宣传材料、固定资产、邮电费、水电报刊杂志、办公设备、取暖设施、固定资产、消防器材、招商引资、办公印刷费、在职人员职业年金、工会经费、党建纪检支出、疫情防汛支出等维持日常工作运转支出。</w:t>
            </w:r>
          </w:p>
          <w:p>
            <w:pPr>
              <w:widowControl/>
              <w:jc w:val="left"/>
              <w:rPr>
                <w:rFonts w:ascii="宋体" w:cs="宋体"/>
                <w:kern w:val="0"/>
                <w:sz w:val="18"/>
                <w:szCs w:val="18"/>
              </w:rPr>
            </w:pPr>
            <w:r>
              <w:rPr>
                <w:rFonts w:hint="eastAsia" w:ascii="宋体" w:cs="宋体"/>
                <w:kern w:val="0"/>
                <w:sz w:val="18"/>
                <w:szCs w:val="18"/>
              </w:rPr>
              <w:t>目标</w:t>
            </w:r>
            <w:r>
              <w:rPr>
                <w:rFonts w:ascii="宋体" w:cs="宋体"/>
                <w:kern w:val="0"/>
                <w:sz w:val="18"/>
                <w:szCs w:val="18"/>
              </w:rPr>
              <w:t>2</w:t>
            </w:r>
            <w:r>
              <w:rPr>
                <w:rFonts w:hint="eastAsia" w:ascii="宋体" w:cs="宋体"/>
                <w:kern w:val="0"/>
                <w:sz w:val="18"/>
                <w:szCs w:val="18"/>
              </w:rPr>
              <w:t>：辖区保洁人员劳务经费，聘用人员劳务经费，党建专职人员工资。</w:t>
            </w:r>
          </w:p>
          <w:p>
            <w:pPr>
              <w:widowControl/>
              <w:jc w:val="left"/>
              <w:rPr>
                <w:rFonts w:ascii="宋体" w:cs="宋体"/>
                <w:kern w:val="0"/>
                <w:sz w:val="18"/>
                <w:szCs w:val="18"/>
              </w:rPr>
            </w:pPr>
            <w:r>
              <w:rPr>
                <w:rFonts w:hint="eastAsia" w:ascii="宋体" w:cs="宋体"/>
                <w:kern w:val="0"/>
                <w:sz w:val="18"/>
                <w:szCs w:val="18"/>
              </w:rPr>
              <w:t>目标</w:t>
            </w:r>
            <w:r>
              <w:rPr>
                <w:rFonts w:ascii="宋体" w:cs="宋体"/>
                <w:kern w:val="0"/>
                <w:sz w:val="18"/>
                <w:szCs w:val="18"/>
              </w:rPr>
              <w:t>3</w:t>
            </w:r>
            <w:r>
              <w:rPr>
                <w:rFonts w:hint="eastAsia" w:ascii="宋体" w:cs="宋体"/>
                <w:kern w:val="0"/>
                <w:sz w:val="18"/>
                <w:szCs w:val="18"/>
              </w:rPr>
              <w:t>：老旧小区改造支出。</w:t>
            </w:r>
          </w:p>
          <w:p>
            <w:pPr>
              <w:widowControl/>
              <w:jc w:val="left"/>
              <w:rPr>
                <w:rFonts w:ascii="宋体" w:cs="宋体"/>
                <w:kern w:val="0"/>
                <w:sz w:val="18"/>
                <w:szCs w:val="18"/>
              </w:rPr>
            </w:pPr>
            <w:r>
              <w:rPr>
                <w:rFonts w:hint="eastAsia" w:ascii="宋体" w:cs="宋体"/>
                <w:kern w:val="0"/>
                <w:sz w:val="18"/>
                <w:szCs w:val="18"/>
              </w:rPr>
              <w:t>目标</w:t>
            </w:r>
            <w:r>
              <w:rPr>
                <w:rFonts w:ascii="宋体" w:cs="宋体"/>
                <w:kern w:val="0"/>
                <w:sz w:val="18"/>
                <w:szCs w:val="18"/>
              </w:rPr>
              <w:t>4</w:t>
            </w:r>
            <w:r>
              <w:rPr>
                <w:rFonts w:hint="eastAsia" w:ascii="宋体" w:cs="宋体"/>
                <w:kern w:val="0"/>
                <w:sz w:val="18"/>
                <w:szCs w:val="18"/>
              </w:rPr>
              <w:t>：老旧小区改造支出。</w:t>
            </w:r>
          </w:p>
          <w:p>
            <w:pPr>
              <w:widowControl/>
              <w:jc w:val="left"/>
              <w:rPr>
                <w:rFonts w:ascii="宋体" w:cs="宋体"/>
                <w:kern w:val="0"/>
                <w:sz w:val="18"/>
                <w:szCs w:val="18"/>
              </w:rPr>
            </w:pPr>
            <w:r>
              <w:rPr>
                <w:rFonts w:hint="eastAsia" w:ascii="宋体" w:cs="宋体"/>
                <w:kern w:val="0"/>
                <w:sz w:val="18"/>
                <w:szCs w:val="18"/>
              </w:rPr>
              <w:t>目标</w:t>
            </w:r>
            <w:r>
              <w:rPr>
                <w:rFonts w:ascii="宋体" w:cs="宋体"/>
                <w:kern w:val="0"/>
                <w:sz w:val="18"/>
                <w:szCs w:val="18"/>
              </w:rPr>
              <w:t>5</w:t>
            </w:r>
            <w:r>
              <w:rPr>
                <w:rFonts w:hint="eastAsia" w:ascii="宋体" w:cs="宋体"/>
                <w:kern w:val="0"/>
                <w:sz w:val="18"/>
                <w:szCs w:val="18"/>
              </w:rPr>
              <w:t>：国有企业退休人员社会化管理补助支出。</w:t>
            </w:r>
          </w:p>
          <w:p>
            <w:pPr>
              <w:widowControl/>
              <w:jc w:val="left"/>
              <w:rPr>
                <w:rFonts w:ascii="宋体" w:cs="宋体"/>
                <w:kern w:val="0"/>
                <w:sz w:val="18"/>
                <w:szCs w:val="18"/>
              </w:rPr>
            </w:pPr>
            <w:r>
              <w:rPr>
                <w:rFonts w:hint="eastAsia" w:ascii="宋体" w:cs="宋体"/>
                <w:kern w:val="0"/>
                <w:sz w:val="18"/>
                <w:szCs w:val="18"/>
              </w:rPr>
              <w:t>目标</w:t>
            </w:r>
            <w:r>
              <w:rPr>
                <w:rFonts w:ascii="宋体" w:cs="宋体"/>
                <w:kern w:val="0"/>
                <w:sz w:val="18"/>
                <w:szCs w:val="18"/>
              </w:rPr>
              <w:t>6</w:t>
            </w:r>
            <w:r>
              <w:rPr>
                <w:rFonts w:hint="eastAsia" w:ascii="宋体" w:cs="宋体"/>
                <w:kern w:val="0"/>
                <w:sz w:val="18"/>
                <w:szCs w:val="18"/>
              </w:rPr>
              <w:t>：公共图书馆、美术馆、文化馆免费开放补助。</w:t>
            </w:r>
          </w:p>
        </w:tc>
      </w:tr>
      <w:tr>
        <w:tblPrEx>
          <w:tblLayout w:type="fixed"/>
          <w:tblCellMar>
            <w:top w:w="0" w:type="dxa"/>
            <w:left w:w="108" w:type="dxa"/>
            <w:bottom w:w="0" w:type="dxa"/>
            <w:right w:w="108" w:type="dxa"/>
          </w:tblCellMar>
        </w:tblPrEx>
        <w:trPr>
          <w:trHeight w:val="285" w:hRule="atLeast"/>
        </w:trPr>
        <w:tc>
          <w:tcPr>
            <w:tcW w:w="1365"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年度主要任务</w:t>
            </w:r>
          </w:p>
        </w:tc>
        <w:tc>
          <w:tcPr>
            <w:tcW w:w="365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任务名称</w:t>
            </w:r>
          </w:p>
        </w:tc>
        <w:tc>
          <w:tcPr>
            <w:tcW w:w="4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主要内容</w:t>
            </w:r>
          </w:p>
        </w:tc>
      </w:tr>
      <w:tr>
        <w:tblPrEx>
          <w:tblLayout w:type="fixed"/>
          <w:tblCellMar>
            <w:top w:w="0" w:type="dxa"/>
            <w:left w:w="108" w:type="dxa"/>
            <w:bottom w:w="0" w:type="dxa"/>
            <w:right w:w="108" w:type="dxa"/>
          </w:tblCellMar>
        </w:tblPrEx>
        <w:trPr>
          <w:trHeight w:val="454" w:hRule="atLeast"/>
        </w:trPr>
        <w:tc>
          <w:tcPr>
            <w:tcW w:w="136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658"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改善办公及日常运转经费</w:t>
            </w:r>
          </w:p>
        </w:tc>
        <w:tc>
          <w:tcPr>
            <w:tcW w:w="4417"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办公耗材、办公家具、宣传材料、固定资产、邮电费、水电报刊杂志、办公设备、取暖设施、固定资产、消防器材、招商引资、办公印刷费、在职人员职业年金、工会经费、党建纪检支出、疫情防汛支出等维持日常工作运转支出。</w:t>
            </w:r>
          </w:p>
        </w:tc>
      </w:tr>
      <w:tr>
        <w:tblPrEx>
          <w:tblLayout w:type="fixed"/>
          <w:tblCellMar>
            <w:top w:w="0" w:type="dxa"/>
            <w:left w:w="108" w:type="dxa"/>
            <w:bottom w:w="0" w:type="dxa"/>
            <w:right w:w="108" w:type="dxa"/>
          </w:tblCellMar>
        </w:tblPrEx>
        <w:trPr>
          <w:trHeight w:val="454" w:hRule="atLeast"/>
        </w:trPr>
        <w:tc>
          <w:tcPr>
            <w:tcW w:w="136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658"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劳务费</w:t>
            </w:r>
          </w:p>
        </w:tc>
        <w:tc>
          <w:tcPr>
            <w:tcW w:w="4417"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辖区保洁人员劳务经费，聘用人员劳务经费，党建专职人员工资。</w:t>
            </w:r>
          </w:p>
        </w:tc>
      </w:tr>
      <w:tr>
        <w:tblPrEx>
          <w:tblLayout w:type="fixed"/>
          <w:tblCellMar>
            <w:top w:w="0" w:type="dxa"/>
            <w:left w:w="108" w:type="dxa"/>
            <w:bottom w:w="0" w:type="dxa"/>
            <w:right w:w="108" w:type="dxa"/>
          </w:tblCellMar>
        </w:tblPrEx>
        <w:trPr>
          <w:trHeight w:val="454" w:hRule="atLeast"/>
        </w:trPr>
        <w:tc>
          <w:tcPr>
            <w:tcW w:w="136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658"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新财预</w:t>
            </w:r>
            <w:r>
              <w:rPr>
                <w:sz w:val="18"/>
                <w:szCs w:val="18"/>
              </w:rPr>
              <w:t>2023.213</w:t>
            </w:r>
            <w:r>
              <w:rPr>
                <w:rFonts w:hint="eastAsia"/>
                <w:sz w:val="18"/>
                <w:szCs w:val="18"/>
              </w:rPr>
              <w:t>老旧小区改造</w:t>
            </w:r>
          </w:p>
        </w:tc>
        <w:tc>
          <w:tcPr>
            <w:tcW w:w="4417"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老旧小区改造支出。</w:t>
            </w:r>
          </w:p>
        </w:tc>
      </w:tr>
      <w:tr>
        <w:tblPrEx>
          <w:tblLayout w:type="fixed"/>
          <w:tblCellMar>
            <w:top w:w="0" w:type="dxa"/>
            <w:left w:w="108" w:type="dxa"/>
            <w:bottom w:w="0" w:type="dxa"/>
            <w:right w:w="108" w:type="dxa"/>
          </w:tblCellMar>
        </w:tblPrEx>
        <w:trPr>
          <w:trHeight w:val="454" w:hRule="atLeast"/>
        </w:trPr>
        <w:tc>
          <w:tcPr>
            <w:tcW w:w="136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658"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新财预</w:t>
            </w:r>
            <w:r>
              <w:rPr>
                <w:sz w:val="18"/>
                <w:szCs w:val="18"/>
              </w:rPr>
              <w:t>2023.34</w:t>
            </w:r>
            <w:r>
              <w:rPr>
                <w:rFonts w:hint="eastAsia"/>
                <w:sz w:val="18"/>
                <w:szCs w:val="18"/>
              </w:rPr>
              <w:t>老旧小区改造</w:t>
            </w:r>
          </w:p>
        </w:tc>
        <w:tc>
          <w:tcPr>
            <w:tcW w:w="4417"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老旧小区改造支出。</w:t>
            </w:r>
          </w:p>
        </w:tc>
      </w:tr>
      <w:tr>
        <w:tblPrEx>
          <w:tblLayout w:type="fixed"/>
          <w:tblCellMar>
            <w:top w:w="0" w:type="dxa"/>
            <w:left w:w="108" w:type="dxa"/>
            <w:bottom w:w="0" w:type="dxa"/>
            <w:right w:w="108" w:type="dxa"/>
          </w:tblCellMar>
        </w:tblPrEx>
        <w:trPr>
          <w:trHeight w:val="904" w:hRule="atLeast"/>
        </w:trPr>
        <w:tc>
          <w:tcPr>
            <w:tcW w:w="136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658"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提前下达</w:t>
            </w:r>
            <w:r>
              <w:rPr>
                <w:sz w:val="18"/>
                <w:szCs w:val="18"/>
              </w:rPr>
              <w:t>2023</w:t>
            </w:r>
            <w:r>
              <w:rPr>
                <w:rFonts w:hint="eastAsia"/>
                <w:sz w:val="18"/>
                <w:szCs w:val="18"/>
              </w:rPr>
              <w:t>年国有企业退休人员社会化管理补助资金</w:t>
            </w:r>
          </w:p>
        </w:tc>
        <w:tc>
          <w:tcPr>
            <w:tcW w:w="4417"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cs="宋体"/>
                <w:sz w:val="18"/>
                <w:szCs w:val="18"/>
              </w:rPr>
            </w:pPr>
            <w:r>
              <w:rPr>
                <w:rFonts w:hint="eastAsia"/>
                <w:sz w:val="18"/>
                <w:szCs w:val="18"/>
              </w:rPr>
              <w:t>国有企业退休人员社会化管理补助支出。</w:t>
            </w:r>
          </w:p>
        </w:tc>
      </w:tr>
      <w:tr>
        <w:tblPrEx>
          <w:tblLayout w:type="fixed"/>
          <w:tblCellMar>
            <w:top w:w="0" w:type="dxa"/>
            <w:left w:w="108" w:type="dxa"/>
            <w:bottom w:w="0" w:type="dxa"/>
            <w:right w:w="108" w:type="dxa"/>
          </w:tblCellMar>
        </w:tblPrEx>
        <w:trPr>
          <w:trHeight w:val="285" w:hRule="atLeast"/>
        </w:trPr>
        <w:tc>
          <w:tcPr>
            <w:tcW w:w="136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658" w:type="dxa"/>
            <w:gridSpan w:val="2"/>
            <w:tcBorders>
              <w:top w:val="single" w:color="000000" w:sz="4" w:space="0"/>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新财预【</w:t>
            </w:r>
            <w:r>
              <w:rPr>
                <w:sz w:val="18"/>
                <w:szCs w:val="18"/>
              </w:rPr>
              <w:t>2023</w:t>
            </w:r>
            <w:r>
              <w:rPr>
                <w:rFonts w:hint="eastAsia"/>
                <w:sz w:val="18"/>
                <w:szCs w:val="18"/>
              </w:rPr>
              <w:t>】</w:t>
            </w:r>
            <w:r>
              <w:rPr>
                <w:sz w:val="18"/>
                <w:szCs w:val="18"/>
              </w:rPr>
              <w:t>381</w:t>
            </w:r>
            <w:r>
              <w:rPr>
                <w:rFonts w:hint="eastAsia"/>
                <w:sz w:val="18"/>
                <w:szCs w:val="18"/>
              </w:rPr>
              <w:t>号关于提前下达</w:t>
            </w:r>
            <w:r>
              <w:rPr>
                <w:sz w:val="18"/>
                <w:szCs w:val="18"/>
              </w:rPr>
              <w:t>2024</w:t>
            </w:r>
            <w:r>
              <w:rPr>
                <w:rFonts w:hint="eastAsia"/>
                <w:sz w:val="18"/>
                <w:szCs w:val="18"/>
              </w:rPr>
              <w:t>年公共图书馆、美术馆、文化馆（站）免费开放补助资金预算</w:t>
            </w:r>
          </w:p>
        </w:tc>
        <w:tc>
          <w:tcPr>
            <w:tcW w:w="4417" w:type="dxa"/>
            <w:gridSpan w:val="2"/>
            <w:tcBorders>
              <w:top w:val="single" w:color="000000" w:sz="4" w:space="0"/>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公共图书馆、美术馆、文化馆免费开放补助。</w:t>
            </w:r>
          </w:p>
        </w:tc>
      </w:tr>
      <w:tr>
        <w:tblPrEx>
          <w:tblLayout w:type="fixed"/>
          <w:tblCellMar>
            <w:top w:w="0" w:type="dxa"/>
            <w:left w:w="108" w:type="dxa"/>
            <w:bottom w:w="0" w:type="dxa"/>
            <w:right w:w="108" w:type="dxa"/>
          </w:tblCellMar>
        </w:tblPrEx>
        <w:trPr>
          <w:trHeight w:val="285" w:hRule="atLeast"/>
        </w:trPr>
        <w:tc>
          <w:tcPr>
            <w:tcW w:w="1365" w:type="dxa"/>
            <w:gridSpan w:val="2"/>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预算情况</w:t>
            </w:r>
            <w:r>
              <w:rPr>
                <w:rFonts w:ascii="宋体" w:hAnsi="宋体" w:cs="宋体"/>
                <w:kern w:val="0"/>
                <w:sz w:val="18"/>
                <w:szCs w:val="18"/>
              </w:rPr>
              <w:t xml:space="preserve">  </w:t>
            </w:r>
          </w:p>
        </w:tc>
        <w:tc>
          <w:tcPr>
            <w:tcW w:w="3658"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部门预算总额（万元）</w:t>
            </w:r>
          </w:p>
        </w:tc>
        <w:tc>
          <w:tcPr>
            <w:tcW w:w="4417" w:type="dxa"/>
            <w:gridSpan w:val="2"/>
            <w:tcBorders>
              <w:top w:val="single" w:color="000000" w:sz="4" w:space="0"/>
              <w:left w:val="nil"/>
              <w:bottom w:val="single" w:color="000000" w:sz="4" w:space="0"/>
              <w:right w:val="single" w:color="000000" w:sz="4" w:space="0"/>
            </w:tcBorders>
            <w:vAlign w:val="center"/>
          </w:tcPr>
          <w:p>
            <w:pPr>
              <w:jc w:val="center"/>
              <w:rPr>
                <w:rFonts w:ascii="宋体" w:cs="宋体"/>
                <w:sz w:val="18"/>
                <w:szCs w:val="18"/>
              </w:rPr>
            </w:pPr>
            <w:r>
              <w:rPr>
                <w:sz w:val="18"/>
                <w:szCs w:val="18"/>
              </w:rPr>
              <w:t>898.88</w:t>
            </w:r>
          </w:p>
        </w:tc>
      </w:tr>
      <w:tr>
        <w:tblPrEx>
          <w:tblLayout w:type="fixed"/>
          <w:tblCellMar>
            <w:top w:w="0" w:type="dxa"/>
            <w:left w:w="108" w:type="dxa"/>
            <w:bottom w:w="0" w:type="dxa"/>
            <w:right w:w="108" w:type="dxa"/>
          </w:tblCellMar>
        </w:tblPrEx>
        <w:trPr>
          <w:trHeight w:val="285"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658"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ascii="宋体" w:hAnsi="宋体" w:cs="宋体"/>
                <w:kern w:val="0"/>
                <w:sz w:val="18"/>
                <w:szCs w:val="18"/>
              </w:rPr>
              <w:t>1</w:t>
            </w:r>
            <w:r>
              <w:rPr>
                <w:rFonts w:hint="eastAsia" w:ascii="宋体" w:hAnsi="宋体" w:cs="宋体"/>
                <w:kern w:val="0"/>
                <w:sz w:val="18"/>
                <w:szCs w:val="18"/>
              </w:rPr>
              <w:t>、资金来源：（</w:t>
            </w:r>
            <w:r>
              <w:rPr>
                <w:rFonts w:ascii="宋体" w:hAnsi="宋体" w:cs="宋体"/>
                <w:kern w:val="0"/>
                <w:sz w:val="18"/>
                <w:szCs w:val="18"/>
              </w:rPr>
              <w:t>1</w:t>
            </w:r>
            <w:r>
              <w:rPr>
                <w:rFonts w:hint="eastAsia" w:ascii="宋体" w:hAnsi="宋体" w:cs="宋体"/>
                <w:kern w:val="0"/>
                <w:sz w:val="18"/>
                <w:szCs w:val="18"/>
              </w:rPr>
              <w:t>）政府预算资金</w:t>
            </w:r>
          </w:p>
        </w:tc>
        <w:tc>
          <w:tcPr>
            <w:tcW w:w="4417" w:type="dxa"/>
            <w:gridSpan w:val="2"/>
            <w:tcBorders>
              <w:top w:val="single" w:color="000000" w:sz="4" w:space="0"/>
              <w:left w:val="nil"/>
              <w:bottom w:val="single" w:color="000000" w:sz="4" w:space="0"/>
              <w:right w:val="single" w:color="000000" w:sz="4" w:space="0"/>
            </w:tcBorders>
            <w:vAlign w:val="center"/>
          </w:tcPr>
          <w:p>
            <w:pPr>
              <w:jc w:val="center"/>
              <w:rPr>
                <w:rFonts w:ascii="宋体" w:cs="宋体"/>
                <w:sz w:val="18"/>
                <w:szCs w:val="18"/>
              </w:rPr>
            </w:pPr>
            <w:r>
              <w:rPr>
                <w:sz w:val="18"/>
                <w:szCs w:val="18"/>
              </w:rPr>
              <w:t>898.88</w:t>
            </w:r>
          </w:p>
        </w:tc>
      </w:tr>
      <w:tr>
        <w:tblPrEx>
          <w:tblLayout w:type="fixed"/>
          <w:tblCellMar>
            <w:top w:w="0" w:type="dxa"/>
            <w:left w:w="108" w:type="dxa"/>
            <w:bottom w:w="0" w:type="dxa"/>
            <w:right w:w="108" w:type="dxa"/>
          </w:tblCellMar>
        </w:tblPrEx>
        <w:trPr>
          <w:trHeight w:val="285"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658"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）财政专户管理资金</w:t>
            </w:r>
          </w:p>
        </w:tc>
        <w:tc>
          <w:tcPr>
            <w:tcW w:w="4417" w:type="dxa"/>
            <w:gridSpan w:val="2"/>
            <w:tcBorders>
              <w:top w:val="single" w:color="000000" w:sz="4" w:space="0"/>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658"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w:t>
            </w:r>
            <w:r>
              <w:rPr>
                <w:rFonts w:ascii="宋体" w:hAnsi="宋体" w:cs="宋体"/>
                <w:kern w:val="0"/>
                <w:sz w:val="18"/>
                <w:szCs w:val="18"/>
              </w:rPr>
              <w:t>3</w:t>
            </w:r>
            <w:r>
              <w:rPr>
                <w:rFonts w:hint="eastAsia" w:ascii="宋体" w:hAnsi="宋体" w:cs="宋体"/>
                <w:kern w:val="0"/>
                <w:sz w:val="18"/>
                <w:szCs w:val="18"/>
              </w:rPr>
              <w:t>）单位资金</w:t>
            </w:r>
          </w:p>
        </w:tc>
        <w:tc>
          <w:tcPr>
            <w:tcW w:w="4417" w:type="dxa"/>
            <w:gridSpan w:val="2"/>
            <w:tcBorders>
              <w:top w:val="single" w:color="000000" w:sz="4" w:space="0"/>
              <w:left w:val="nil"/>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658"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ascii="宋体" w:hAnsi="宋体" w:cs="宋体"/>
                <w:kern w:val="0"/>
                <w:sz w:val="18"/>
                <w:szCs w:val="18"/>
              </w:rPr>
              <w:t>2</w:t>
            </w:r>
            <w:r>
              <w:rPr>
                <w:rFonts w:hint="eastAsia" w:ascii="宋体" w:hAnsi="宋体" w:cs="宋体"/>
                <w:kern w:val="0"/>
                <w:sz w:val="18"/>
                <w:szCs w:val="18"/>
              </w:rPr>
              <w:t>、资金结构：（</w:t>
            </w:r>
            <w:r>
              <w:rPr>
                <w:rFonts w:ascii="宋体" w:hAnsi="宋体" w:cs="宋体"/>
                <w:kern w:val="0"/>
                <w:sz w:val="18"/>
                <w:szCs w:val="18"/>
              </w:rPr>
              <w:t>1</w:t>
            </w:r>
            <w:r>
              <w:rPr>
                <w:rFonts w:hint="eastAsia" w:ascii="宋体" w:hAnsi="宋体" w:cs="宋体"/>
                <w:kern w:val="0"/>
                <w:sz w:val="18"/>
                <w:szCs w:val="18"/>
              </w:rPr>
              <w:t>）基本支出</w:t>
            </w:r>
          </w:p>
        </w:tc>
        <w:tc>
          <w:tcPr>
            <w:tcW w:w="4417" w:type="dxa"/>
            <w:gridSpan w:val="2"/>
            <w:tcBorders>
              <w:top w:val="single" w:color="000000" w:sz="4" w:space="0"/>
              <w:left w:val="nil"/>
              <w:bottom w:val="single" w:color="000000" w:sz="4" w:space="0"/>
              <w:right w:val="single" w:color="000000" w:sz="4" w:space="0"/>
            </w:tcBorders>
            <w:vAlign w:val="center"/>
          </w:tcPr>
          <w:p>
            <w:pPr>
              <w:jc w:val="center"/>
              <w:rPr>
                <w:rFonts w:ascii="宋体" w:cs="宋体"/>
                <w:sz w:val="18"/>
                <w:szCs w:val="18"/>
              </w:rPr>
            </w:pPr>
            <w:r>
              <w:rPr>
                <w:sz w:val="18"/>
                <w:szCs w:val="18"/>
              </w:rPr>
              <w:t>278.76</w:t>
            </w:r>
          </w:p>
        </w:tc>
      </w:tr>
      <w:tr>
        <w:tblPrEx>
          <w:tblLayout w:type="fixed"/>
          <w:tblCellMar>
            <w:top w:w="0" w:type="dxa"/>
            <w:left w:w="108" w:type="dxa"/>
            <w:bottom w:w="0" w:type="dxa"/>
            <w:right w:w="108" w:type="dxa"/>
          </w:tblCellMar>
        </w:tblPrEx>
        <w:trPr>
          <w:trHeight w:val="285"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658"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）项目支出</w:t>
            </w:r>
          </w:p>
        </w:tc>
        <w:tc>
          <w:tcPr>
            <w:tcW w:w="4417" w:type="dxa"/>
            <w:gridSpan w:val="2"/>
            <w:tcBorders>
              <w:top w:val="single" w:color="000000" w:sz="4" w:space="0"/>
              <w:left w:val="nil"/>
              <w:bottom w:val="single" w:color="000000" w:sz="4" w:space="0"/>
              <w:right w:val="single" w:color="000000" w:sz="4" w:space="0"/>
            </w:tcBorders>
            <w:vAlign w:val="center"/>
          </w:tcPr>
          <w:p>
            <w:pPr>
              <w:jc w:val="center"/>
              <w:rPr>
                <w:rFonts w:ascii="宋体" w:cs="宋体"/>
                <w:sz w:val="18"/>
                <w:szCs w:val="18"/>
              </w:rPr>
            </w:pPr>
            <w:r>
              <w:rPr>
                <w:sz w:val="18"/>
                <w:szCs w:val="18"/>
              </w:rPr>
              <w:t>620.12</w:t>
            </w:r>
          </w:p>
        </w:tc>
      </w:tr>
      <w:tr>
        <w:tblPrEx>
          <w:tblLayout w:type="fixed"/>
          <w:tblCellMar>
            <w:top w:w="0" w:type="dxa"/>
            <w:left w:w="108" w:type="dxa"/>
            <w:bottom w:w="0" w:type="dxa"/>
            <w:right w:w="108" w:type="dxa"/>
          </w:tblCellMar>
        </w:tblPrEx>
        <w:trPr>
          <w:trHeight w:val="285" w:hRule="atLeast"/>
        </w:trPr>
        <w:tc>
          <w:tcPr>
            <w:tcW w:w="1365" w:type="dxa"/>
            <w:gridSpan w:val="2"/>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一级指标</w:t>
            </w:r>
          </w:p>
        </w:tc>
        <w:tc>
          <w:tcPr>
            <w:tcW w:w="1459"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二级指标</w:t>
            </w:r>
          </w:p>
        </w:tc>
        <w:tc>
          <w:tcPr>
            <w:tcW w:w="2199"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三级指标</w:t>
            </w:r>
          </w:p>
        </w:tc>
        <w:tc>
          <w:tcPr>
            <w:tcW w:w="1179"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指标值</w:t>
            </w:r>
          </w:p>
        </w:tc>
        <w:tc>
          <w:tcPr>
            <w:tcW w:w="3238"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指标值说明</w:t>
            </w:r>
          </w:p>
        </w:tc>
      </w:tr>
      <w:tr>
        <w:tblPrEx>
          <w:tblLayout w:type="fixed"/>
          <w:tblCellMar>
            <w:top w:w="0" w:type="dxa"/>
            <w:left w:w="108" w:type="dxa"/>
            <w:bottom w:w="0" w:type="dxa"/>
            <w:right w:w="108" w:type="dxa"/>
          </w:tblCellMar>
        </w:tblPrEx>
        <w:trPr>
          <w:trHeight w:val="1808" w:hRule="atLeast"/>
        </w:trPr>
        <w:tc>
          <w:tcPr>
            <w:tcW w:w="1365" w:type="dxa"/>
            <w:gridSpan w:val="2"/>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投入管理指标</w:t>
            </w:r>
            <w:r>
              <w:rPr>
                <w:rFonts w:ascii="宋体" w:hAnsi="宋体" w:cs="宋体"/>
                <w:kern w:val="0"/>
                <w:sz w:val="18"/>
                <w:szCs w:val="18"/>
              </w:rPr>
              <w:t xml:space="preserve">  </w:t>
            </w:r>
          </w:p>
        </w:tc>
        <w:tc>
          <w:tcPr>
            <w:tcW w:w="1459"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工作目标管理</w:t>
            </w:r>
            <w:r>
              <w:rPr>
                <w:rFonts w:ascii="宋体" w:hAnsi="宋体" w:cs="宋体"/>
                <w:kern w:val="0"/>
                <w:sz w:val="18"/>
                <w:szCs w:val="18"/>
              </w:rPr>
              <w:t xml:space="preserve">  </w:t>
            </w:r>
          </w:p>
        </w:tc>
        <w:tc>
          <w:tcPr>
            <w:tcW w:w="2199"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年度履职目标相关性</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相关</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1.</w:t>
            </w:r>
            <w:r>
              <w:rPr>
                <w:rFonts w:hint="eastAsia"/>
                <w:sz w:val="18"/>
                <w:szCs w:val="18"/>
              </w:rPr>
              <w:t>年度履职目标是否符合国家、省委省政府战略部署和发展规划，与国家、省宏观政策、行业政策一致；</w:t>
            </w:r>
            <w:r>
              <w:rPr>
                <w:sz w:val="18"/>
                <w:szCs w:val="18"/>
              </w:rPr>
              <w:t>2.</w:t>
            </w:r>
            <w:r>
              <w:rPr>
                <w:rFonts w:hint="eastAsia"/>
                <w:sz w:val="18"/>
                <w:szCs w:val="18"/>
              </w:rPr>
              <w:t>年度履职目标是否与部门职责、工作规划和重点工作相关；</w:t>
            </w:r>
            <w:r>
              <w:rPr>
                <w:sz w:val="18"/>
                <w:szCs w:val="18"/>
              </w:rPr>
              <w:t>3.</w:t>
            </w:r>
            <w:r>
              <w:rPr>
                <w:rFonts w:hint="eastAsia"/>
                <w:sz w:val="18"/>
                <w:szCs w:val="18"/>
              </w:rPr>
              <w:t>确定的预算项目是否合理，是否与工作目标密切相关；</w:t>
            </w:r>
            <w:r>
              <w:rPr>
                <w:sz w:val="18"/>
                <w:szCs w:val="18"/>
              </w:rPr>
              <w:t>4.</w:t>
            </w:r>
            <w:r>
              <w:rPr>
                <w:rFonts w:hint="eastAsia"/>
                <w:sz w:val="18"/>
                <w:szCs w:val="18"/>
              </w:rPr>
              <w:t>工作任务和项目预算安排是否合理。</w:t>
            </w:r>
          </w:p>
        </w:tc>
      </w:tr>
      <w:tr>
        <w:tblPrEx>
          <w:tblLayout w:type="fixed"/>
          <w:tblCellMar>
            <w:top w:w="0" w:type="dxa"/>
            <w:left w:w="108" w:type="dxa"/>
            <w:bottom w:w="0" w:type="dxa"/>
            <w:right w:w="108" w:type="dxa"/>
          </w:tblCellMar>
        </w:tblPrEx>
        <w:trPr>
          <w:trHeight w:val="1583"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工作任务科学性</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科学</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1.</w:t>
            </w:r>
            <w:r>
              <w:rPr>
                <w:rFonts w:hint="eastAsia"/>
                <w:sz w:val="18"/>
                <w:szCs w:val="18"/>
              </w:rPr>
              <w:t>工作任务是否有明确的绩效目标，绩效目标是否与部门年度履职目标一致，是否能体现工作任务的产出和效果；</w:t>
            </w:r>
            <w:r>
              <w:rPr>
                <w:sz w:val="18"/>
                <w:szCs w:val="18"/>
              </w:rPr>
              <w:t>2.</w:t>
            </w:r>
            <w:r>
              <w:rPr>
                <w:rFonts w:hint="eastAsia"/>
                <w:sz w:val="18"/>
                <w:szCs w:val="18"/>
              </w:rPr>
              <w:t>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1583"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绩效指标合理性</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合理</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1.</w:t>
            </w:r>
            <w:r>
              <w:rPr>
                <w:rFonts w:hint="eastAsia"/>
                <w:sz w:val="18"/>
                <w:szCs w:val="18"/>
              </w:rPr>
              <w:t>工作任务、预算项目绩效指标设置是否准确反映部门绩效完成情况；</w:t>
            </w:r>
            <w:r>
              <w:rPr>
                <w:sz w:val="18"/>
                <w:szCs w:val="18"/>
              </w:rPr>
              <w:t>2.</w:t>
            </w:r>
            <w:r>
              <w:rPr>
                <w:rFonts w:hint="eastAsia"/>
                <w:sz w:val="18"/>
                <w:szCs w:val="18"/>
              </w:rPr>
              <w:t>工作任务、预算项目绩效指标是否清晰、细化、可评价、可衡量；</w:t>
            </w:r>
            <w:r>
              <w:rPr>
                <w:sz w:val="18"/>
                <w:szCs w:val="18"/>
              </w:rPr>
              <w:t>3.</w:t>
            </w:r>
            <w:r>
              <w:rPr>
                <w:rFonts w:hint="eastAsia"/>
                <w:sz w:val="18"/>
                <w:szCs w:val="18"/>
              </w:rPr>
              <w:t>工作任务、预算项目绩效指标的评价标准是否清晰、可衡量；</w:t>
            </w:r>
            <w:r>
              <w:rPr>
                <w:sz w:val="18"/>
                <w:szCs w:val="18"/>
              </w:rPr>
              <w:t>4.</w:t>
            </w:r>
            <w:r>
              <w:rPr>
                <w:rFonts w:hint="eastAsia"/>
                <w:sz w:val="18"/>
                <w:szCs w:val="18"/>
              </w:rPr>
              <w:t>是否与部门年度的任务数或计划数相对应。</w:t>
            </w:r>
          </w:p>
        </w:tc>
      </w:tr>
      <w:tr>
        <w:tblPrEx>
          <w:tblLayout w:type="fixed"/>
          <w:tblCellMar>
            <w:top w:w="0" w:type="dxa"/>
            <w:left w:w="108" w:type="dxa"/>
            <w:bottom w:w="0" w:type="dxa"/>
            <w:right w:w="108" w:type="dxa"/>
          </w:tblCellMar>
        </w:tblPrEx>
        <w:trPr>
          <w:trHeight w:val="679"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预算和财务管理</w:t>
            </w:r>
            <w:r>
              <w:rPr>
                <w:rFonts w:ascii="宋体" w:hAnsi="宋体" w:cs="宋体"/>
                <w:kern w:val="0"/>
                <w:sz w:val="18"/>
                <w:szCs w:val="18"/>
              </w:rPr>
              <w:t xml:space="preserve">  </w:t>
            </w:r>
          </w:p>
        </w:tc>
        <w:tc>
          <w:tcPr>
            <w:tcW w:w="2199"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预算编制完整性</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完整</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1.</w:t>
            </w:r>
            <w:r>
              <w:rPr>
                <w:rFonts w:hint="eastAsia"/>
                <w:sz w:val="18"/>
                <w:szCs w:val="18"/>
              </w:rPr>
              <w:t>部门所有收入是否全部纳入部门预算；</w:t>
            </w:r>
            <w:r>
              <w:rPr>
                <w:sz w:val="18"/>
                <w:szCs w:val="18"/>
              </w:rPr>
              <w:t>2.</w:t>
            </w:r>
            <w:r>
              <w:rPr>
                <w:rFonts w:hint="eastAsia"/>
                <w:sz w:val="18"/>
                <w:szCs w:val="18"/>
              </w:rPr>
              <w:t>部门支出预算是否统筹各类资金来源，全部纳入部门预算管理。</w:t>
            </w:r>
          </w:p>
        </w:tc>
      </w:tr>
      <w:tr>
        <w:tblPrEx>
          <w:tblLayout w:type="fixed"/>
          <w:tblCellMar>
            <w:top w:w="0" w:type="dxa"/>
            <w:left w:w="108" w:type="dxa"/>
            <w:bottom w:w="0" w:type="dxa"/>
            <w:right w:w="108" w:type="dxa"/>
          </w:tblCellMar>
        </w:tblPrEx>
        <w:trPr>
          <w:trHeight w:val="679"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专项资金细化率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95%</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专项资金细化率</w:t>
            </w:r>
            <w:r>
              <w:rPr>
                <w:sz w:val="18"/>
                <w:szCs w:val="18"/>
              </w:rPr>
              <w:t>=</w:t>
            </w:r>
            <w:r>
              <w:rPr>
                <w:rFonts w:hint="eastAsia"/>
                <w:sz w:val="18"/>
                <w:szCs w:val="18"/>
              </w:rPr>
              <w:t>（已细化到具体市县和承担单位的资金数</w:t>
            </w:r>
            <w:r>
              <w:rPr>
                <w:sz w:val="18"/>
                <w:szCs w:val="18"/>
              </w:rPr>
              <w:t>/</w:t>
            </w:r>
            <w:r>
              <w:rPr>
                <w:rFonts w:hint="eastAsia"/>
                <w:sz w:val="18"/>
                <w:szCs w:val="18"/>
              </w:rPr>
              <w:t>部门参与分配资金总数）×</w:t>
            </w:r>
            <w:r>
              <w:rPr>
                <w:sz w:val="18"/>
                <w:szCs w:val="18"/>
              </w:rPr>
              <w:t>100%</w:t>
            </w:r>
            <w:r>
              <w:rPr>
                <w:rFonts w:hint="eastAsia"/>
                <w:sz w:val="18"/>
                <w:szCs w:val="18"/>
              </w:rPr>
              <w:t>。</w:t>
            </w:r>
          </w:p>
        </w:tc>
      </w:tr>
      <w:tr>
        <w:tblPrEx>
          <w:tblLayout w:type="fixed"/>
          <w:tblCellMar>
            <w:top w:w="0" w:type="dxa"/>
            <w:left w:w="108" w:type="dxa"/>
            <w:bottom w:w="0" w:type="dxa"/>
            <w:right w:w="108" w:type="dxa"/>
          </w:tblCellMar>
        </w:tblPrEx>
        <w:trPr>
          <w:trHeight w:val="904"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预算执行率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95%</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预算执行率</w:t>
            </w:r>
            <w:r>
              <w:rPr>
                <w:sz w:val="18"/>
                <w:szCs w:val="18"/>
              </w:rPr>
              <w:t>=</w:t>
            </w:r>
            <w:r>
              <w:rPr>
                <w:rFonts w:hint="eastAsia"/>
                <w:sz w:val="18"/>
                <w:szCs w:val="18"/>
              </w:rPr>
              <w:t>（预算完成数</w:t>
            </w:r>
            <w:r>
              <w:rPr>
                <w:sz w:val="18"/>
                <w:szCs w:val="18"/>
              </w:rPr>
              <w:t>/</w:t>
            </w:r>
            <w:r>
              <w:rPr>
                <w:rFonts w:hint="eastAsia"/>
                <w:sz w:val="18"/>
                <w:szCs w:val="18"/>
              </w:rPr>
              <w:t>预算数）×</w:t>
            </w:r>
            <w:r>
              <w:rPr>
                <w:sz w:val="18"/>
                <w:szCs w:val="18"/>
              </w:rPr>
              <w:t>100%</w:t>
            </w:r>
            <w:r>
              <w:rPr>
                <w:rFonts w:hint="eastAsia"/>
                <w:sz w:val="18"/>
                <w:szCs w:val="18"/>
              </w:rPr>
              <w:t>。预算完成数指部门实际执行的预算数；预算数指财政部门批复的本年度部门的（调整）预算数。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1583"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预算调整率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1%</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预算调整率</w:t>
            </w:r>
            <w:r>
              <w:rPr>
                <w:sz w:val="18"/>
                <w:szCs w:val="18"/>
              </w:rPr>
              <w:t>=</w:t>
            </w:r>
            <w:r>
              <w:rPr>
                <w:rFonts w:hint="eastAsia"/>
                <w:sz w:val="18"/>
                <w:szCs w:val="18"/>
              </w:rPr>
              <w:t>（预算调整数</w:t>
            </w:r>
            <w:r>
              <w:rPr>
                <w:sz w:val="18"/>
                <w:szCs w:val="18"/>
              </w:rPr>
              <w:t>-</w:t>
            </w:r>
            <w:r>
              <w:rPr>
                <w:rFonts w:hint="eastAsia"/>
                <w:sz w:val="18"/>
                <w:szCs w:val="18"/>
              </w:rPr>
              <w:t>年初预算数）</w:t>
            </w:r>
            <w:r>
              <w:rPr>
                <w:sz w:val="18"/>
                <w:szCs w:val="18"/>
              </w:rPr>
              <w:t>/</w:t>
            </w:r>
            <w:r>
              <w:rPr>
                <w:rFonts w:hint="eastAsia"/>
                <w:sz w:val="18"/>
                <w:szCs w:val="18"/>
              </w:rPr>
              <w:t>年初预算数×</w:t>
            </w:r>
            <w:r>
              <w:rPr>
                <w:sz w:val="18"/>
                <w:szCs w:val="18"/>
              </w:rPr>
              <w:t>100%</w:t>
            </w:r>
            <w:r>
              <w:rPr>
                <w:rFonts w:hint="eastAsia"/>
                <w:sz w:val="18"/>
                <w:szCs w:val="18"/>
              </w:rPr>
              <w:t>。预算调整数：部门在本年度内涉及预算的追加、追减或结构调整的资金总和（因落实国家政策、发生不可抗力、上级部门或本级党委政府临时交办而产生的调整除外）。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1129"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结转结余率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5%</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结转结余率</w:t>
            </w:r>
            <w:r>
              <w:rPr>
                <w:sz w:val="18"/>
                <w:szCs w:val="18"/>
              </w:rPr>
              <w:t>=</w:t>
            </w:r>
            <w:r>
              <w:rPr>
                <w:rFonts w:hint="eastAsia"/>
                <w:sz w:val="18"/>
                <w:szCs w:val="18"/>
              </w:rPr>
              <w:t>结转结余总额</w:t>
            </w:r>
            <w:r>
              <w:rPr>
                <w:sz w:val="18"/>
                <w:szCs w:val="18"/>
              </w:rPr>
              <w:t>/</w:t>
            </w:r>
            <w:r>
              <w:rPr>
                <w:rFonts w:hint="eastAsia"/>
                <w:sz w:val="18"/>
                <w:szCs w:val="18"/>
              </w:rPr>
              <w:t>预算数</w:t>
            </w:r>
            <w:r>
              <w:rPr>
                <w:sz w:val="18"/>
                <w:szCs w:val="18"/>
              </w:rPr>
              <w:t>*100%</w:t>
            </w:r>
            <w:r>
              <w:rPr>
                <w:rFonts w:hint="eastAsia"/>
                <w:sz w:val="18"/>
                <w:szCs w:val="18"/>
              </w:rPr>
              <w:t>。结转结余总额是指部门本年度的结转结余资金之和。预算数是指财政部门批复的本年度部门的（调整）预算数。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“三公经费”控制率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100%</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“三公经费”控制率</w:t>
            </w:r>
            <w:r>
              <w:rPr>
                <w:sz w:val="18"/>
                <w:szCs w:val="18"/>
              </w:rPr>
              <w:t>=</w:t>
            </w:r>
            <w:r>
              <w:rPr>
                <w:rFonts w:hint="eastAsia"/>
                <w:sz w:val="18"/>
                <w:szCs w:val="18"/>
              </w:rPr>
              <w:t>本年度“三公经费”实际支出数</w:t>
            </w:r>
            <w:r>
              <w:rPr>
                <w:sz w:val="18"/>
                <w:szCs w:val="18"/>
              </w:rPr>
              <w:t>/</w:t>
            </w:r>
            <w:r>
              <w:rPr>
                <w:rFonts w:hint="eastAsia"/>
                <w:sz w:val="18"/>
                <w:szCs w:val="18"/>
              </w:rPr>
              <w:t>“三公经费”预算数</w:t>
            </w:r>
            <w:r>
              <w:rPr>
                <w:sz w:val="18"/>
                <w:szCs w:val="18"/>
              </w:rPr>
              <w:t>*100%</w:t>
            </w:r>
          </w:p>
        </w:tc>
      </w:tr>
      <w:tr>
        <w:tblPrEx>
          <w:tblLayout w:type="fixed"/>
          <w:tblCellMar>
            <w:top w:w="0" w:type="dxa"/>
            <w:left w:w="108" w:type="dxa"/>
            <w:bottom w:w="0" w:type="dxa"/>
            <w:right w:w="108" w:type="dxa"/>
          </w:tblCellMar>
        </w:tblPrEx>
        <w:trPr>
          <w:trHeight w:val="1129"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政府采购执行率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95%</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政府采购执行率</w:t>
            </w:r>
            <w:r>
              <w:rPr>
                <w:sz w:val="18"/>
                <w:szCs w:val="18"/>
              </w:rPr>
              <w:t>=</w:t>
            </w:r>
            <w:r>
              <w:rPr>
                <w:rFonts w:hint="eastAsia"/>
                <w:sz w:val="18"/>
                <w:szCs w:val="18"/>
              </w:rPr>
              <w:t>（实际政府采购金额</w:t>
            </w:r>
            <w:r>
              <w:rPr>
                <w:sz w:val="18"/>
                <w:szCs w:val="18"/>
              </w:rPr>
              <w:t>/</w:t>
            </w:r>
            <w:r>
              <w:rPr>
                <w:rFonts w:hint="eastAsia"/>
                <w:sz w:val="18"/>
                <w:szCs w:val="18"/>
              </w:rPr>
              <w:t>政府采购预算数）×</w:t>
            </w:r>
            <w:r>
              <w:rPr>
                <w:sz w:val="18"/>
                <w:szCs w:val="18"/>
              </w:rPr>
              <w:t>100%</w:t>
            </w:r>
            <w:r>
              <w:rPr>
                <w:rFonts w:hint="eastAsia"/>
                <w:sz w:val="18"/>
                <w:szCs w:val="18"/>
              </w:rPr>
              <w:t>。政府采购预算：采购机关根据事业发展计划和行政任务编制的、并经过规定程序批准的年度政府采购计划。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决算真实性</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真实</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2940"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资金使用合规性</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合规</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部门（单位）是否按照相关法律法规以及资金管理办法规定的用途使用预算资金，用以反映和考核部门</w:t>
            </w:r>
            <w:r>
              <w:rPr>
                <w:sz w:val="18"/>
                <w:szCs w:val="18"/>
              </w:rPr>
              <w:t>(</w:t>
            </w:r>
            <w:r>
              <w:rPr>
                <w:rFonts w:hint="eastAsia"/>
                <w:sz w:val="18"/>
                <w:szCs w:val="18"/>
              </w:rPr>
              <w:t>单位）预算资金的规范运行情况。</w:t>
            </w:r>
            <w:r>
              <w:rPr>
                <w:sz w:val="18"/>
                <w:szCs w:val="18"/>
              </w:rPr>
              <w:t>1.</w:t>
            </w:r>
            <w:r>
              <w:rPr>
                <w:rFonts w:hint="eastAsia"/>
                <w:sz w:val="18"/>
                <w:szCs w:val="18"/>
              </w:rPr>
              <w:t>是否符合国家财经法规和财务管理制度规定以及有关专项资金管理办法的规定；</w:t>
            </w:r>
            <w:r>
              <w:rPr>
                <w:sz w:val="18"/>
                <w:szCs w:val="18"/>
              </w:rPr>
              <w:t>2.</w:t>
            </w:r>
            <w:r>
              <w:rPr>
                <w:rFonts w:hint="eastAsia"/>
                <w:sz w:val="18"/>
                <w:szCs w:val="18"/>
              </w:rPr>
              <w:t>资金的拨付是否有完整的审批程序和手续；</w:t>
            </w:r>
            <w:r>
              <w:rPr>
                <w:sz w:val="18"/>
                <w:szCs w:val="18"/>
              </w:rPr>
              <w:t>3.</w:t>
            </w:r>
            <w:r>
              <w:rPr>
                <w:rFonts w:hint="eastAsia"/>
                <w:sz w:val="18"/>
                <w:szCs w:val="18"/>
              </w:rPr>
              <w:t>项目的重大开支是否经过评估论证；</w:t>
            </w:r>
            <w:r>
              <w:rPr>
                <w:sz w:val="18"/>
                <w:szCs w:val="18"/>
              </w:rPr>
              <w:t>4.</w:t>
            </w:r>
            <w:r>
              <w:rPr>
                <w:rFonts w:hint="eastAsia"/>
                <w:sz w:val="18"/>
                <w:szCs w:val="18"/>
              </w:rPr>
              <w:t>是否符合部门预算批复的用途；</w:t>
            </w:r>
            <w:r>
              <w:rPr>
                <w:sz w:val="18"/>
                <w:szCs w:val="18"/>
              </w:rPr>
              <w:t>5.</w:t>
            </w:r>
            <w:r>
              <w:rPr>
                <w:rFonts w:hint="eastAsia"/>
                <w:sz w:val="18"/>
                <w:szCs w:val="18"/>
              </w:rPr>
              <w:t>是否存在截留支出情况；</w:t>
            </w:r>
            <w:r>
              <w:rPr>
                <w:sz w:val="18"/>
                <w:szCs w:val="18"/>
              </w:rPr>
              <w:t>6.</w:t>
            </w:r>
            <w:r>
              <w:rPr>
                <w:rFonts w:hint="eastAsia"/>
                <w:sz w:val="18"/>
                <w:szCs w:val="18"/>
              </w:rPr>
              <w:t>是否存在挤占支出情况；</w:t>
            </w:r>
            <w:r>
              <w:rPr>
                <w:sz w:val="18"/>
                <w:szCs w:val="18"/>
              </w:rPr>
              <w:t>7.</w:t>
            </w:r>
            <w:r>
              <w:rPr>
                <w:rFonts w:hint="eastAsia"/>
                <w:sz w:val="18"/>
                <w:szCs w:val="18"/>
              </w:rPr>
              <w:t>是否存在挪用支出情况；</w:t>
            </w:r>
            <w:r>
              <w:rPr>
                <w:sz w:val="18"/>
                <w:szCs w:val="18"/>
              </w:rPr>
              <w:t>8.</w:t>
            </w:r>
            <w:r>
              <w:rPr>
                <w:rFonts w:hint="eastAsia"/>
                <w:sz w:val="18"/>
                <w:szCs w:val="18"/>
              </w:rPr>
              <w:t>是否存在虚列支出情况。</w:t>
            </w:r>
          </w:p>
        </w:tc>
      </w:tr>
      <w:tr>
        <w:tblPrEx>
          <w:tblLayout w:type="fixed"/>
          <w:tblCellMar>
            <w:top w:w="0" w:type="dxa"/>
            <w:left w:w="108" w:type="dxa"/>
            <w:bottom w:w="0" w:type="dxa"/>
            <w:right w:w="108" w:type="dxa"/>
          </w:tblCellMar>
        </w:tblPrEx>
        <w:trPr>
          <w:trHeight w:val="2037"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管理制度健全性</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健全</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部门（单位）为加强预算管理，规范财务行为而制定的管理制度是否健全完整，用以反映和考核部门（单位）预算管理制度为完成主要职责或促成事业发展的保障情况。</w:t>
            </w:r>
            <w:r>
              <w:rPr>
                <w:sz w:val="18"/>
                <w:szCs w:val="18"/>
              </w:rPr>
              <w:t>1.</w:t>
            </w:r>
            <w:r>
              <w:rPr>
                <w:rFonts w:hint="eastAsia"/>
                <w:sz w:val="18"/>
                <w:szCs w:val="18"/>
              </w:rPr>
              <w:t>是否已制定或具有预算资金管理办法、内部管理制度、会计核算制度、会计岗位制度等管理制度；</w:t>
            </w:r>
            <w:r>
              <w:rPr>
                <w:sz w:val="18"/>
                <w:szCs w:val="18"/>
              </w:rPr>
              <w:t>2.</w:t>
            </w:r>
            <w:r>
              <w:rPr>
                <w:rFonts w:hint="eastAsia"/>
                <w:sz w:val="18"/>
                <w:szCs w:val="18"/>
              </w:rPr>
              <w:t>相关管理制度是否得到有效执行。</w:t>
            </w:r>
          </w:p>
        </w:tc>
      </w:tr>
      <w:tr>
        <w:tblPrEx>
          <w:tblLayout w:type="fixed"/>
          <w:tblCellMar>
            <w:top w:w="0" w:type="dxa"/>
            <w:left w:w="108" w:type="dxa"/>
            <w:bottom w:w="0" w:type="dxa"/>
            <w:right w:w="108" w:type="dxa"/>
          </w:tblCellMar>
        </w:tblPrEx>
        <w:trPr>
          <w:trHeight w:val="1583"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预决算信息公开性</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公开</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部门（单位）是否按照政府信息公开有关规定公开部门预算、执行、决算、监督、绩效等相关预决算信息，用以反映和考核部门（单位）预决算管理的公开透明情况。</w:t>
            </w:r>
            <w:r>
              <w:rPr>
                <w:sz w:val="18"/>
                <w:szCs w:val="18"/>
              </w:rPr>
              <w:t>1.</w:t>
            </w:r>
            <w:r>
              <w:rPr>
                <w:rFonts w:hint="eastAsia"/>
                <w:sz w:val="18"/>
                <w:szCs w:val="18"/>
              </w:rPr>
              <w:t>是否按规定内容公开预决算信息；</w:t>
            </w:r>
            <w:r>
              <w:rPr>
                <w:sz w:val="18"/>
                <w:szCs w:val="18"/>
              </w:rPr>
              <w:t>2.</w:t>
            </w:r>
            <w:r>
              <w:rPr>
                <w:rFonts w:hint="eastAsia"/>
                <w:sz w:val="18"/>
                <w:szCs w:val="18"/>
              </w:rPr>
              <w:t>是否按规定时限公开预决算信息。</w:t>
            </w:r>
          </w:p>
        </w:tc>
      </w:tr>
      <w:tr>
        <w:tblPrEx>
          <w:tblLayout w:type="fixed"/>
          <w:tblCellMar>
            <w:top w:w="0" w:type="dxa"/>
            <w:left w:w="108" w:type="dxa"/>
            <w:bottom w:w="0" w:type="dxa"/>
            <w:right w:w="108" w:type="dxa"/>
          </w:tblCellMar>
        </w:tblPrEx>
        <w:trPr>
          <w:trHeight w:val="2940"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资产管理规范性</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规范</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部门（单位）的资产配置、使用是否合规，处置是否规范，收入是否及时足额上缴，用以反映和考核部门（单位）资产管理的规范程度。</w:t>
            </w:r>
            <w:r>
              <w:rPr>
                <w:sz w:val="18"/>
                <w:szCs w:val="18"/>
              </w:rPr>
              <w:t>1.</w:t>
            </w:r>
            <w:r>
              <w:rPr>
                <w:rFonts w:hint="eastAsia"/>
                <w:sz w:val="18"/>
                <w:szCs w:val="18"/>
              </w:rPr>
              <w:t>资产是否及时规范入账，资产报表数据与会计账簿数据是否相符，资产实物与财务账、资产账是否相符；</w:t>
            </w:r>
            <w:r>
              <w:rPr>
                <w:sz w:val="18"/>
                <w:szCs w:val="18"/>
              </w:rPr>
              <w:t>2.</w:t>
            </w:r>
            <w:r>
              <w:rPr>
                <w:rFonts w:hint="eastAsia"/>
                <w:sz w:val="18"/>
                <w:szCs w:val="18"/>
              </w:rPr>
              <w:t>新增资产是否符合规定程序和规定标准，新增资产是否考虑闲置存量资产；</w:t>
            </w:r>
            <w:r>
              <w:rPr>
                <w:sz w:val="18"/>
                <w:szCs w:val="18"/>
              </w:rPr>
              <w:t>3.</w:t>
            </w:r>
            <w:r>
              <w:rPr>
                <w:rFonts w:hint="eastAsia"/>
                <w:sz w:val="18"/>
                <w:szCs w:val="18"/>
              </w:rPr>
              <w:t>资产对外有偿使用（出租出借等）、对外投资、担保、资产处置等事项是否按规定报批；</w:t>
            </w:r>
            <w:r>
              <w:rPr>
                <w:sz w:val="18"/>
                <w:szCs w:val="18"/>
              </w:rPr>
              <w:t>4.</w:t>
            </w:r>
            <w:r>
              <w:rPr>
                <w:rFonts w:hint="eastAsia"/>
                <w:sz w:val="18"/>
                <w:szCs w:val="18"/>
              </w:rPr>
              <w:t>资产收益是否及时足额上交财政。</w:t>
            </w:r>
          </w:p>
        </w:tc>
      </w:tr>
      <w:tr>
        <w:tblPrEx>
          <w:tblLayout w:type="fixed"/>
          <w:tblCellMar>
            <w:top w:w="0" w:type="dxa"/>
            <w:left w:w="108" w:type="dxa"/>
            <w:bottom w:w="0" w:type="dxa"/>
            <w:right w:w="108" w:type="dxa"/>
          </w:tblCellMar>
        </w:tblPrEx>
        <w:trPr>
          <w:trHeight w:val="1129"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绩效管理</w:t>
            </w:r>
            <w:r>
              <w:rPr>
                <w:rFonts w:ascii="宋体" w:hAnsi="宋体" w:cs="宋体"/>
                <w:kern w:val="0"/>
                <w:sz w:val="18"/>
                <w:szCs w:val="18"/>
              </w:rPr>
              <w:t xml:space="preserve">  </w:t>
            </w:r>
          </w:p>
        </w:tc>
        <w:tc>
          <w:tcPr>
            <w:tcW w:w="2199" w:type="dxa"/>
            <w:tcBorders>
              <w:top w:val="nil"/>
              <w:left w:val="nil"/>
              <w:bottom w:val="nil"/>
              <w:right w:val="nil"/>
            </w:tcBorders>
            <w:vAlign w:val="center"/>
          </w:tcPr>
          <w:p>
            <w:pPr>
              <w:rPr>
                <w:rFonts w:ascii="宋体" w:cs="宋体"/>
                <w:sz w:val="18"/>
                <w:szCs w:val="18"/>
              </w:rPr>
            </w:pPr>
            <w:r>
              <w:rPr>
                <w:rFonts w:hint="eastAsia"/>
                <w:sz w:val="18"/>
                <w:szCs w:val="18"/>
              </w:rPr>
              <w:t>绩效目标编制完成率</w:t>
            </w:r>
          </w:p>
        </w:tc>
        <w:tc>
          <w:tcPr>
            <w:tcW w:w="1179" w:type="dxa"/>
            <w:tcBorders>
              <w:top w:val="nil"/>
              <w:left w:val="single" w:color="000000" w:sz="4" w:space="0"/>
              <w:bottom w:val="single" w:color="000000" w:sz="4" w:space="0"/>
              <w:right w:val="single" w:color="000000" w:sz="4" w:space="0"/>
            </w:tcBorders>
            <w:vAlign w:val="center"/>
          </w:tcPr>
          <w:p>
            <w:pPr>
              <w:rPr>
                <w:rFonts w:ascii="宋体" w:cs="宋体"/>
                <w:sz w:val="18"/>
                <w:szCs w:val="18"/>
              </w:rPr>
            </w:pPr>
            <w:r>
              <w:rPr>
                <w:sz w:val="18"/>
                <w:szCs w:val="18"/>
              </w:rPr>
              <w:t>100%</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部门（单位）按要求编制绩效目标的项目数量占应编制绩效目标项目总数的比重。部门目标编制完成率</w:t>
            </w:r>
            <w:r>
              <w:rPr>
                <w:sz w:val="18"/>
                <w:szCs w:val="18"/>
              </w:rPr>
              <w:t>=</w:t>
            </w:r>
            <w:r>
              <w:rPr>
                <w:rFonts w:hint="eastAsia"/>
                <w:sz w:val="18"/>
                <w:szCs w:val="18"/>
              </w:rPr>
              <w:t>已完成绩效目标编制项目数量</w:t>
            </w:r>
            <w:r>
              <w:rPr>
                <w:sz w:val="18"/>
                <w:szCs w:val="18"/>
              </w:rPr>
              <w:t>/</w:t>
            </w:r>
            <w:r>
              <w:rPr>
                <w:rFonts w:hint="eastAsia"/>
                <w:sz w:val="18"/>
                <w:szCs w:val="18"/>
              </w:rPr>
              <w:t>部门应编制绩效目标项目总数</w:t>
            </w:r>
            <w:r>
              <w:rPr>
                <w:sz w:val="18"/>
                <w:szCs w:val="18"/>
              </w:rPr>
              <w:t>*100%</w:t>
            </w:r>
          </w:p>
        </w:tc>
      </w:tr>
      <w:tr>
        <w:tblPrEx>
          <w:tblLayout w:type="fixed"/>
          <w:tblCellMar>
            <w:top w:w="0" w:type="dxa"/>
            <w:left w:w="108" w:type="dxa"/>
            <w:bottom w:w="0" w:type="dxa"/>
            <w:right w:w="108" w:type="dxa"/>
          </w:tblCellMar>
        </w:tblPrEx>
        <w:trPr>
          <w:trHeight w:val="1129"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single" w:color="000000" w:sz="4" w:space="0"/>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绩效监控完成率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100%</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部门（单位）按要求实施绩效监控的项目数量占应实施绩效监控项目总数的比重。部门绩效监控完成率</w:t>
            </w:r>
            <w:r>
              <w:rPr>
                <w:sz w:val="18"/>
                <w:szCs w:val="18"/>
              </w:rPr>
              <w:t>=</w:t>
            </w:r>
            <w:r>
              <w:rPr>
                <w:rFonts w:hint="eastAsia"/>
                <w:sz w:val="18"/>
                <w:szCs w:val="18"/>
              </w:rPr>
              <w:t>已完成绩效监控项目数量</w:t>
            </w:r>
            <w:r>
              <w:rPr>
                <w:sz w:val="18"/>
                <w:szCs w:val="18"/>
              </w:rPr>
              <w:t>/</w:t>
            </w:r>
            <w:r>
              <w:rPr>
                <w:rFonts w:hint="eastAsia"/>
                <w:sz w:val="18"/>
                <w:szCs w:val="18"/>
              </w:rPr>
              <w:t>部门项目总数</w:t>
            </w:r>
            <w:r>
              <w:rPr>
                <w:sz w:val="18"/>
                <w:szCs w:val="18"/>
              </w:rPr>
              <w:t>*100%</w:t>
            </w:r>
          </w:p>
        </w:tc>
      </w:tr>
      <w:tr>
        <w:tblPrEx>
          <w:tblLayout w:type="fixed"/>
          <w:tblCellMar>
            <w:top w:w="0" w:type="dxa"/>
            <w:left w:w="108" w:type="dxa"/>
            <w:bottom w:w="0" w:type="dxa"/>
            <w:right w:w="108" w:type="dxa"/>
          </w:tblCellMar>
        </w:tblPrEx>
        <w:trPr>
          <w:trHeight w:val="904"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绩效自评完成率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100%</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部门（单位）按要求实施绩效自评的项目数量占应实施绩效自评项目总数的比重。部门绩效自评完成率</w:t>
            </w:r>
            <w:r>
              <w:rPr>
                <w:sz w:val="18"/>
                <w:szCs w:val="18"/>
              </w:rPr>
              <w:t>=</w:t>
            </w:r>
            <w:r>
              <w:rPr>
                <w:rFonts w:hint="eastAsia"/>
                <w:sz w:val="18"/>
                <w:szCs w:val="18"/>
              </w:rPr>
              <w:t>已完成评价项目数量</w:t>
            </w:r>
            <w:r>
              <w:rPr>
                <w:sz w:val="18"/>
                <w:szCs w:val="18"/>
              </w:rPr>
              <w:t>/</w:t>
            </w:r>
            <w:r>
              <w:rPr>
                <w:rFonts w:hint="eastAsia"/>
                <w:sz w:val="18"/>
                <w:szCs w:val="18"/>
              </w:rPr>
              <w:t>部门项目总数</w:t>
            </w:r>
            <w:r>
              <w:rPr>
                <w:sz w:val="18"/>
                <w:szCs w:val="18"/>
              </w:rPr>
              <w:t>*100%</w:t>
            </w:r>
          </w:p>
        </w:tc>
      </w:tr>
      <w:tr>
        <w:tblPrEx>
          <w:tblLayout w:type="fixed"/>
          <w:tblCellMar>
            <w:top w:w="0" w:type="dxa"/>
            <w:left w:w="108" w:type="dxa"/>
            <w:bottom w:w="0" w:type="dxa"/>
            <w:right w:w="108" w:type="dxa"/>
          </w:tblCellMar>
        </w:tblPrEx>
        <w:trPr>
          <w:trHeight w:val="904"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部门绩效评价完成率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100%</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部门重点绩效评价项目评价完成情况。部门绩效评价完成率</w:t>
            </w:r>
            <w:r>
              <w:rPr>
                <w:sz w:val="18"/>
                <w:szCs w:val="18"/>
              </w:rPr>
              <w:t>=</w:t>
            </w:r>
            <w:r>
              <w:rPr>
                <w:rFonts w:hint="eastAsia"/>
                <w:sz w:val="18"/>
                <w:szCs w:val="18"/>
              </w:rPr>
              <w:t>已完成评价项目数量</w:t>
            </w:r>
            <w:r>
              <w:rPr>
                <w:sz w:val="18"/>
                <w:szCs w:val="18"/>
              </w:rPr>
              <w:t>/</w:t>
            </w:r>
            <w:r>
              <w:rPr>
                <w:rFonts w:hint="eastAsia"/>
                <w:sz w:val="18"/>
                <w:szCs w:val="18"/>
              </w:rPr>
              <w:t>部门重点绩效评价项目数</w:t>
            </w:r>
            <w:r>
              <w:rPr>
                <w:sz w:val="18"/>
                <w:szCs w:val="18"/>
              </w:rPr>
              <w:t>*100%</w:t>
            </w:r>
          </w:p>
        </w:tc>
      </w:tr>
      <w:tr>
        <w:tblPrEx>
          <w:tblLayout w:type="fixed"/>
          <w:tblCellMar>
            <w:top w:w="0" w:type="dxa"/>
            <w:left w:w="108" w:type="dxa"/>
            <w:bottom w:w="0" w:type="dxa"/>
            <w:right w:w="108" w:type="dxa"/>
          </w:tblCellMar>
        </w:tblPrEx>
        <w:trPr>
          <w:trHeight w:val="1129"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评价结果应用率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100%</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绩效监控、单位自评、部门绩效评价、财政重点绩效评价结果应用情况。评价结果应用率</w:t>
            </w:r>
            <w:r>
              <w:rPr>
                <w:sz w:val="18"/>
                <w:szCs w:val="18"/>
              </w:rPr>
              <w:t>=</w:t>
            </w:r>
            <w:r>
              <w:rPr>
                <w:rFonts w:hint="eastAsia"/>
                <w:sz w:val="18"/>
                <w:szCs w:val="18"/>
              </w:rPr>
              <w:t>评价提出的意见建议采纳数</w:t>
            </w:r>
            <w:r>
              <w:rPr>
                <w:sz w:val="18"/>
                <w:szCs w:val="18"/>
              </w:rPr>
              <w:t>/</w:t>
            </w:r>
            <w:r>
              <w:rPr>
                <w:rFonts w:hint="eastAsia"/>
                <w:sz w:val="18"/>
                <w:szCs w:val="18"/>
              </w:rPr>
              <w:t>提出的意见建议总数</w:t>
            </w:r>
            <w:r>
              <w:rPr>
                <w:sz w:val="18"/>
                <w:szCs w:val="18"/>
              </w:rPr>
              <w:t>*100%</w:t>
            </w:r>
          </w:p>
        </w:tc>
      </w:tr>
      <w:tr>
        <w:tblPrEx>
          <w:tblLayout w:type="fixed"/>
          <w:tblCellMar>
            <w:top w:w="0" w:type="dxa"/>
            <w:left w:w="108" w:type="dxa"/>
            <w:bottom w:w="0" w:type="dxa"/>
            <w:right w:w="108" w:type="dxa"/>
          </w:tblCellMar>
        </w:tblPrEx>
        <w:trPr>
          <w:trHeight w:val="454" w:hRule="atLeast"/>
        </w:trPr>
        <w:tc>
          <w:tcPr>
            <w:tcW w:w="1365" w:type="dxa"/>
            <w:gridSpan w:val="2"/>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产出指标</w:t>
            </w:r>
            <w:r>
              <w:rPr>
                <w:rFonts w:ascii="宋体" w:hAnsi="宋体" w:cs="宋体"/>
                <w:kern w:val="0"/>
                <w:sz w:val="18"/>
                <w:szCs w:val="18"/>
              </w:rPr>
              <w:t xml:space="preserve">  </w:t>
            </w:r>
          </w:p>
        </w:tc>
        <w:tc>
          <w:tcPr>
            <w:tcW w:w="1459"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重点工作任务完成</w:t>
            </w: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国有企业退休人员开展活动次数</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3</w:t>
            </w:r>
            <w:r>
              <w:rPr>
                <w:rFonts w:hint="eastAsia"/>
                <w:sz w:val="18"/>
                <w:szCs w:val="18"/>
              </w:rPr>
              <w:t>次</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三馆一站免费开放率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99%</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日常运转完成率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98%</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gridBefore w:val="1"/>
          <w:wBefore w:w="6" w:type="dxa"/>
          <w:trHeight w:val="454"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工资发放率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99%</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gridBefore w:val="1"/>
          <w:wBefore w:w="6" w:type="dxa"/>
          <w:trHeight w:val="454"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老旧小区改造完成率</w:t>
            </w:r>
            <w:r>
              <w:rPr>
                <w:sz w:val="18"/>
                <w:szCs w:val="18"/>
              </w:rPr>
              <w:t>1</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95%</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gridBefore w:val="1"/>
          <w:wBefore w:w="6" w:type="dxa"/>
          <w:trHeight w:val="454"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老旧小区改造完成率</w:t>
            </w:r>
            <w:r>
              <w:rPr>
                <w:sz w:val="18"/>
                <w:szCs w:val="18"/>
              </w:rPr>
              <w:t>2</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95%</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gridBefore w:val="1"/>
          <w:wBefore w:w="6" w:type="dxa"/>
          <w:trHeight w:val="454"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履职目标实现</w:t>
            </w: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三馆一站免费开放率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99%</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gridBefore w:val="1"/>
          <w:wBefore w:w="6" w:type="dxa"/>
          <w:trHeight w:val="454"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保证日常工作开展目标实现率标实现率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95%</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gridBefore w:val="1"/>
          <w:wBefore w:w="6" w:type="dxa"/>
          <w:trHeight w:val="454"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职工工资发放率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99%</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gridBefore w:val="1"/>
          <w:wBefore w:w="6" w:type="dxa"/>
          <w:trHeight w:val="454"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老旧小区改造完成</w:t>
            </w:r>
            <w:r>
              <w:rPr>
                <w:sz w:val="18"/>
                <w:szCs w:val="18"/>
              </w:rPr>
              <w:t>1</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99%</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gridBefore w:val="1"/>
          <w:wBefore w:w="6" w:type="dxa"/>
          <w:trHeight w:val="454"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老旧小区改造完成</w:t>
            </w:r>
            <w:r>
              <w:rPr>
                <w:sz w:val="18"/>
                <w:szCs w:val="18"/>
              </w:rPr>
              <w:t>2</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95%</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gridBefore w:val="1"/>
          <w:wBefore w:w="6" w:type="dxa"/>
          <w:trHeight w:val="454"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国有企业退休人员开展活动率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95%</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gridBefore w:val="1"/>
          <w:wBefore w:w="6" w:type="dxa"/>
          <w:trHeight w:val="454" w:hRule="atLeast"/>
        </w:trPr>
        <w:tc>
          <w:tcPr>
            <w:tcW w:w="1359"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效益指标</w:t>
            </w:r>
            <w:r>
              <w:rPr>
                <w:rFonts w:ascii="宋体" w:hAnsi="宋体" w:cs="宋体"/>
                <w:kern w:val="0"/>
                <w:sz w:val="18"/>
                <w:szCs w:val="18"/>
              </w:rPr>
              <w:t xml:space="preserve">  </w:t>
            </w:r>
          </w:p>
        </w:tc>
        <w:tc>
          <w:tcPr>
            <w:tcW w:w="1459"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履职效益</w:t>
            </w: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丰富退休人员生活</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显著提升</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gridBefore w:val="1"/>
          <w:wBefore w:w="6" w:type="dxa"/>
          <w:trHeight w:val="679"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辖区居民生活品质提升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明显提升</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gridBefore w:val="1"/>
          <w:wBefore w:w="6" w:type="dxa"/>
          <w:trHeight w:val="679"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sz w:val="18"/>
                <w:szCs w:val="18"/>
              </w:rPr>
              <w:t xml:space="preserve"> </w:t>
            </w:r>
            <w:r>
              <w:rPr>
                <w:rFonts w:hint="eastAsia"/>
                <w:sz w:val="18"/>
                <w:szCs w:val="18"/>
              </w:rPr>
              <w:t>提升服务群众能力，提高工作效率</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明显提升</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gridBefore w:val="1"/>
          <w:wBefore w:w="6" w:type="dxa"/>
          <w:trHeight w:val="679"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保障职工基本生活水平，增加获得感</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保障</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gridBefore w:val="1"/>
          <w:wBefore w:w="6" w:type="dxa"/>
          <w:trHeight w:val="679"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提升改善居民居住环境</w:t>
            </w:r>
            <w:r>
              <w:rPr>
                <w:sz w:val="18"/>
                <w:szCs w:val="18"/>
              </w:rPr>
              <w:t>1</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明显提升</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gridBefore w:val="1"/>
          <w:wBefore w:w="6" w:type="dxa"/>
          <w:trHeight w:val="285"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提升改善居民居住环境</w:t>
            </w:r>
            <w:r>
              <w:rPr>
                <w:sz w:val="18"/>
                <w:szCs w:val="18"/>
              </w:rPr>
              <w:t>2</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明显提升</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gridBefore w:val="1"/>
          <w:wBefore w:w="6" w:type="dxa"/>
          <w:trHeight w:val="285"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w:t>
            </w:r>
          </w:p>
        </w:tc>
        <w:tc>
          <w:tcPr>
            <w:tcW w:w="2199"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1179"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3238"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gridBefore w:val="1"/>
          <w:wBefore w:w="6" w:type="dxa"/>
          <w:trHeight w:val="454" w:hRule="atLeast"/>
        </w:trPr>
        <w:tc>
          <w:tcPr>
            <w:tcW w:w="13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45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2199" w:type="dxa"/>
            <w:tcBorders>
              <w:top w:val="nil"/>
              <w:left w:val="nil"/>
              <w:bottom w:val="single" w:color="000000" w:sz="4" w:space="0"/>
              <w:right w:val="single" w:color="000000" w:sz="4" w:space="0"/>
            </w:tcBorders>
            <w:vAlign w:val="center"/>
          </w:tcPr>
          <w:p>
            <w:pPr>
              <w:jc w:val="left"/>
              <w:rPr>
                <w:rFonts w:ascii="宋体" w:cs="宋体"/>
                <w:sz w:val="18"/>
                <w:szCs w:val="18"/>
              </w:rPr>
            </w:pPr>
            <w:r>
              <w:rPr>
                <w:rFonts w:hint="eastAsia"/>
                <w:sz w:val="18"/>
                <w:szCs w:val="18"/>
              </w:rPr>
              <w:t>辖区居民满意度</w:t>
            </w:r>
          </w:p>
        </w:tc>
        <w:tc>
          <w:tcPr>
            <w:tcW w:w="1179"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w:t>
            </w:r>
            <w:r>
              <w:rPr>
                <w:sz w:val="18"/>
                <w:szCs w:val="18"/>
              </w:rPr>
              <w:t>95%</w:t>
            </w:r>
          </w:p>
        </w:tc>
        <w:tc>
          <w:tcPr>
            <w:tcW w:w="3238" w:type="dxa"/>
            <w:tcBorders>
              <w:top w:val="nil"/>
              <w:left w:val="nil"/>
              <w:bottom w:val="single" w:color="000000" w:sz="4" w:space="0"/>
              <w:right w:val="single" w:color="000000" w:sz="4" w:space="0"/>
            </w:tcBorders>
            <w:vAlign w:val="center"/>
          </w:tcPr>
          <w:p>
            <w:pPr>
              <w:rPr>
                <w:rFonts w:ascii="宋体" w:cs="宋体"/>
                <w:sz w:val="18"/>
                <w:szCs w:val="18"/>
              </w:rPr>
            </w:pPr>
            <w:r>
              <w:rPr>
                <w:rFonts w:hint="eastAsia"/>
                <w:sz w:val="18"/>
                <w:szCs w:val="18"/>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tbl>
      <w:tblPr>
        <w:tblStyle w:val="6"/>
        <w:tblW w:w="16048" w:type="dxa"/>
        <w:tblInd w:w="108" w:type="dxa"/>
        <w:tblLayout w:type="fixed"/>
        <w:tblCellMar>
          <w:top w:w="0" w:type="dxa"/>
          <w:left w:w="108" w:type="dxa"/>
          <w:bottom w:w="0" w:type="dxa"/>
          <w:right w:w="108" w:type="dxa"/>
        </w:tblCellMar>
      </w:tblPr>
      <w:tblGrid>
        <w:gridCol w:w="2106"/>
        <w:gridCol w:w="3144"/>
        <w:gridCol w:w="866"/>
        <w:gridCol w:w="1365"/>
        <w:gridCol w:w="1306"/>
        <w:gridCol w:w="945"/>
        <w:gridCol w:w="735"/>
        <w:gridCol w:w="840"/>
        <w:gridCol w:w="735"/>
        <w:gridCol w:w="840"/>
        <w:gridCol w:w="735"/>
        <w:gridCol w:w="840"/>
        <w:gridCol w:w="741"/>
        <w:gridCol w:w="850"/>
      </w:tblGrid>
      <w:tr>
        <w:tblPrEx>
          <w:tblLayout w:type="fixed"/>
          <w:tblCellMar>
            <w:top w:w="0" w:type="dxa"/>
            <w:left w:w="108" w:type="dxa"/>
            <w:bottom w:w="0" w:type="dxa"/>
            <w:right w:w="108" w:type="dxa"/>
          </w:tblCellMar>
        </w:tblPrEx>
        <w:trPr>
          <w:trHeight w:val="285" w:hRule="atLeast"/>
        </w:trPr>
        <w:tc>
          <w:tcPr>
            <w:tcW w:w="16048" w:type="dxa"/>
            <w:gridSpan w:val="14"/>
            <w:tcBorders>
              <w:top w:val="nil"/>
              <w:left w:val="nil"/>
              <w:bottom w:val="nil"/>
              <w:right w:val="nil"/>
            </w:tcBorders>
            <w:vAlign w:val="center"/>
          </w:tcPr>
          <w:p>
            <w:pPr>
              <w:widowControl/>
              <w:jc w:val="right"/>
              <w:rPr>
                <w:rFonts w:ascii="宋体" w:cs="宋体"/>
                <w:kern w:val="0"/>
                <w:sz w:val="18"/>
                <w:szCs w:val="18"/>
              </w:rPr>
            </w:pPr>
            <w:r>
              <w:rPr>
                <w:rFonts w:hint="eastAsia" w:ascii="宋体" w:hAnsi="宋体" w:cs="宋体"/>
                <w:kern w:val="0"/>
                <w:sz w:val="18"/>
                <w:szCs w:val="18"/>
              </w:rPr>
              <w:t>预算</w:t>
            </w:r>
            <w:r>
              <w:rPr>
                <w:rFonts w:ascii="宋体" w:hAnsi="宋体" w:cs="宋体"/>
                <w:kern w:val="0"/>
                <w:sz w:val="18"/>
                <w:szCs w:val="18"/>
              </w:rPr>
              <w:t>12</w:t>
            </w:r>
            <w:r>
              <w:rPr>
                <w:rFonts w:hint="eastAsia" w:ascii="宋体" w:hAnsi="宋体" w:cs="宋体"/>
                <w:kern w:val="0"/>
                <w:sz w:val="18"/>
                <w:szCs w:val="18"/>
              </w:rPr>
              <w:t>表</w:t>
            </w:r>
          </w:p>
        </w:tc>
      </w:tr>
      <w:tr>
        <w:tblPrEx>
          <w:tblLayout w:type="fixed"/>
          <w:tblCellMar>
            <w:top w:w="0" w:type="dxa"/>
            <w:left w:w="108" w:type="dxa"/>
            <w:bottom w:w="0" w:type="dxa"/>
            <w:right w:w="108" w:type="dxa"/>
          </w:tblCellMar>
        </w:tblPrEx>
        <w:trPr>
          <w:trHeight w:val="570" w:hRule="atLeast"/>
        </w:trPr>
        <w:tc>
          <w:tcPr>
            <w:tcW w:w="16048" w:type="dxa"/>
            <w:gridSpan w:val="14"/>
            <w:tcBorders>
              <w:top w:val="nil"/>
              <w:left w:val="nil"/>
              <w:bottom w:val="nil"/>
              <w:right w:val="nil"/>
            </w:tcBorders>
            <w:vAlign w:val="center"/>
          </w:tcPr>
          <w:p>
            <w:pPr>
              <w:widowControl/>
              <w:jc w:val="center"/>
              <w:rPr>
                <w:rFonts w:ascii="宋体" w:cs="宋体"/>
                <w:b/>
                <w:bCs/>
                <w:kern w:val="0"/>
                <w:sz w:val="38"/>
                <w:szCs w:val="38"/>
              </w:rPr>
            </w:pPr>
            <w:r>
              <w:rPr>
                <w:rFonts w:ascii="宋体" w:hAnsi="宋体" w:cs="宋体"/>
                <w:b/>
                <w:bCs/>
                <w:kern w:val="0"/>
                <w:sz w:val="38"/>
                <w:szCs w:val="38"/>
              </w:rPr>
              <w:t>2024</w:t>
            </w:r>
            <w:r>
              <w:rPr>
                <w:rFonts w:hint="eastAsia" w:ascii="宋体" w:hAnsi="宋体" w:cs="宋体"/>
                <w:b/>
                <w:bCs/>
                <w:kern w:val="0"/>
                <w:sz w:val="38"/>
                <w:szCs w:val="38"/>
              </w:rPr>
              <w:t>年度部门预算项目绩效目标汇总表</w:t>
            </w:r>
          </w:p>
        </w:tc>
      </w:tr>
      <w:tr>
        <w:tblPrEx>
          <w:tblLayout w:type="fixed"/>
          <w:tblCellMar>
            <w:top w:w="0" w:type="dxa"/>
            <w:left w:w="108" w:type="dxa"/>
            <w:bottom w:w="0" w:type="dxa"/>
            <w:right w:w="108" w:type="dxa"/>
          </w:tblCellMar>
        </w:tblPrEx>
        <w:trPr>
          <w:trHeight w:val="285" w:hRule="atLeast"/>
        </w:trPr>
        <w:tc>
          <w:tcPr>
            <w:tcW w:w="16048" w:type="dxa"/>
            <w:gridSpan w:val="14"/>
            <w:tcBorders>
              <w:top w:val="nil"/>
              <w:left w:val="nil"/>
              <w:bottom w:val="nil"/>
              <w:right w:val="nil"/>
            </w:tcBorders>
            <w:vAlign w:val="center"/>
          </w:tcPr>
          <w:p>
            <w:pPr>
              <w:widowControl/>
              <w:jc w:val="left"/>
              <w:rPr>
                <w:rFonts w:ascii="宋体" w:cs="宋体"/>
                <w:kern w:val="0"/>
                <w:sz w:val="18"/>
                <w:szCs w:val="18"/>
              </w:rPr>
            </w:pPr>
            <w:r>
              <w:rPr>
                <w:rFonts w:hint="eastAsia" w:ascii="宋体" w:hAnsi="宋体" w:cs="宋体"/>
                <w:kern w:val="0"/>
                <w:sz w:val="18"/>
                <w:szCs w:val="18"/>
              </w:rPr>
              <w:t>部门名称：新乡市卫滨区健康路街道办事处</w:t>
            </w:r>
            <w:r>
              <w:rPr>
                <w:rFonts w:ascii="宋体" w:hAnsi="宋体" w:cs="宋体"/>
                <w:kern w:val="0"/>
                <w:sz w:val="18"/>
                <w:szCs w:val="18"/>
              </w:rPr>
              <w:t xml:space="preserve">                                                                                                                          </w:t>
            </w: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单位编码（项目编码）</w:t>
            </w:r>
          </w:p>
        </w:tc>
        <w:tc>
          <w:tcPr>
            <w:tcW w:w="314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项目单位</w:t>
            </w:r>
            <w:r>
              <w:rPr>
                <w:rFonts w:ascii="宋体" w:hAnsi="宋体" w:cs="宋体"/>
                <w:kern w:val="0"/>
                <w:sz w:val="18"/>
                <w:szCs w:val="18"/>
              </w:rPr>
              <w:t xml:space="preserve"> </w:t>
            </w:r>
            <w:r>
              <w:rPr>
                <w:rFonts w:hint="eastAsia" w:ascii="宋体" w:hAnsi="宋体" w:cs="宋体"/>
                <w:kern w:val="0"/>
                <w:sz w:val="18"/>
                <w:szCs w:val="18"/>
              </w:rPr>
              <w:t>（项目名称）</w:t>
            </w:r>
          </w:p>
        </w:tc>
        <w:tc>
          <w:tcPr>
            <w:tcW w:w="4482"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项目金额（万元）</w:t>
            </w:r>
          </w:p>
        </w:tc>
        <w:tc>
          <w:tcPr>
            <w:tcW w:w="6316"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绩效目标</w:t>
            </w:r>
          </w:p>
        </w:tc>
      </w:tr>
      <w:tr>
        <w:tblPrEx>
          <w:tblLayout w:type="fixed"/>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1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4482"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57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成本指标</w:t>
            </w:r>
            <w:r>
              <w:rPr>
                <w:rFonts w:ascii="宋体" w:hAnsi="宋体" w:cs="宋体"/>
                <w:kern w:val="0"/>
                <w:sz w:val="18"/>
                <w:szCs w:val="18"/>
              </w:rPr>
              <w:t xml:space="preserve">  </w:t>
            </w:r>
          </w:p>
        </w:tc>
        <w:tc>
          <w:tcPr>
            <w:tcW w:w="157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产出指标</w:t>
            </w:r>
            <w:r>
              <w:rPr>
                <w:rFonts w:ascii="宋体" w:hAnsi="宋体" w:cs="宋体"/>
                <w:kern w:val="0"/>
                <w:sz w:val="18"/>
                <w:szCs w:val="18"/>
              </w:rPr>
              <w:t xml:space="preserve">  </w:t>
            </w:r>
          </w:p>
        </w:tc>
        <w:tc>
          <w:tcPr>
            <w:tcW w:w="157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效益指标</w:t>
            </w:r>
            <w:r>
              <w:rPr>
                <w:rFonts w:ascii="宋体" w:hAnsi="宋体" w:cs="宋体"/>
                <w:kern w:val="0"/>
                <w:sz w:val="18"/>
                <w:szCs w:val="18"/>
              </w:rPr>
              <w:t xml:space="preserve">  </w:t>
            </w:r>
          </w:p>
        </w:tc>
        <w:tc>
          <w:tcPr>
            <w:tcW w:w="159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r>
              <w:rPr>
                <w:rFonts w:ascii="宋体" w:hAnsi="宋体" w:cs="宋体"/>
                <w:kern w:val="0"/>
                <w:sz w:val="18"/>
                <w:szCs w:val="18"/>
              </w:rPr>
              <w:t xml:space="preserve">  </w:t>
            </w:r>
          </w:p>
        </w:tc>
      </w:tr>
      <w:tr>
        <w:tblPrEx>
          <w:tblLayout w:type="fixed"/>
          <w:tblCellMar>
            <w:top w:w="0" w:type="dxa"/>
            <w:left w:w="108" w:type="dxa"/>
            <w:bottom w:w="0" w:type="dxa"/>
            <w:right w:w="108" w:type="dxa"/>
          </w:tblCellMar>
        </w:tblPrEx>
        <w:trPr>
          <w:trHeight w:val="702"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31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866"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资金总额</w:t>
            </w:r>
          </w:p>
        </w:tc>
        <w:tc>
          <w:tcPr>
            <w:tcW w:w="1365"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政府预算资金</w:t>
            </w:r>
          </w:p>
        </w:tc>
        <w:tc>
          <w:tcPr>
            <w:tcW w:w="1306"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财政专户管理资金</w:t>
            </w:r>
          </w:p>
        </w:tc>
        <w:tc>
          <w:tcPr>
            <w:tcW w:w="945"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单位资金</w:t>
            </w:r>
          </w:p>
        </w:tc>
        <w:tc>
          <w:tcPr>
            <w:tcW w:w="735"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三级指标</w:t>
            </w:r>
          </w:p>
        </w:tc>
        <w:tc>
          <w:tcPr>
            <w:tcW w:w="84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指标值</w:t>
            </w:r>
          </w:p>
        </w:tc>
        <w:tc>
          <w:tcPr>
            <w:tcW w:w="735"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三级指标</w:t>
            </w:r>
          </w:p>
        </w:tc>
        <w:tc>
          <w:tcPr>
            <w:tcW w:w="84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指标值</w:t>
            </w:r>
          </w:p>
        </w:tc>
        <w:tc>
          <w:tcPr>
            <w:tcW w:w="735"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三级指标</w:t>
            </w:r>
          </w:p>
        </w:tc>
        <w:tc>
          <w:tcPr>
            <w:tcW w:w="84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指标值</w:t>
            </w:r>
          </w:p>
        </w:tc>
        <w:tc>
          <w:tcPr>
            <w:tcW w:w="741"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指标值</w:t>
            </w:r>
          </w:p>
        </w:tc>
      </w:tr>
      <w:tr>
        <w:tblPrEx>
          <w:tblLayout w:type="fixed"/>
          <w:tblCellMar>
            <w:top w:w="0" w:type="dxa"/>
            <w:left w:w="108" w:type="dxa"/>
            <w:bottom w:w="0" w:type="dxa"/>
            <w:right w:w="108" w:type="dxa"/>
          </w:tblCellMar>
        </w:tblPrEx>
        <w:trPr>
          <w:trHeight w:val="285" w:hRule="atLeast"/>
        </w:trPr>
        <w:tc>
          <w:tcPr>
            <w:tcW w:w="2106" w:type="dxa"/>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r>
              <w:rPr>
                <w:rFonts w:ascii="宋体" w:hAnsi="宋体" w:cs="宋体"/>
                <w:kern w:val="0"/>
                <w:sz w:val="18"/>
                <w:szCs w:val="18"/>
              </w:rPr>
              <w:t>404</w:t>
            </w:r>
          </w:p>
        </w:tc>
        <w:tc>
          <w:tcPr>
            <w:tcW w:w="3144"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866"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620.12</w:t>
            </w:r>
          </w:p>
        </w:tc>
        <w:tc>
          <w:tcPr>
            <w:tcW w:w="1365" w:type="dxa"/>
            <w:tcBorders>
              <w:top w:val="nil"/>
              <w:left w:val="nil"/>
              <w:bottom w:val="single" w:color="000000" w:sz="4" w:space="0"/>
              <w:right w:val="single" w:color="000000" w:sz="4" w:space="0"/>
            </w:tcBorders>
            <w:vAlign w:val="center"/>
          </w:tcPr>
          <w:p>
            <w:pPr>
              <w:jc w:val="right"/>
              <w:rPr>
                <w:rFonts w:ascii="宋体" w:cs="宋体"/>
                <w:sz w:val="18"/>
                <w:szCs w:val="18"/>
              </w:rPr>
            </w:pPr>
            <w:r>
              <w:rPr>
                <w:sz w:val="18"/>
                <w:szCs w:val="18"/>
              </w:rPr>
              <w:t>620.12</w:t>
            </w:r>
          </w:p>
        </w:tc>
        <w:tc>
          <w:tcPr>
            <w:tcW w:w="1306"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945" w:type="dxa"/>
            <w:tcBorders>
              <w:top w:val="nil"/>
              <w:left w:val="nil"/>
              <w:bottom w:val="single" w:color="000000" w:sz="4" w:space="0"/>
              <w:right w:val="single" w:color="000000"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741"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762" w:hRule="atLeast"/>
        </w:trPr>
        <w:tc>
          <w:tcPr>
            <w:tcW w:w="2106" w:type="dxa"/>
            <w:vMerge w:val="restart"/>
            <w:tcBorders>
              <w:top w:val="nil"/>
              <w:left w:val="single" w:color="000000" w:sz="4" w:space="0"/>
              <w:right w:val="single" w:color="000000" w:sz="4" w:space="0"/>
            </w:tcBorders>
            <w:vAlign w:val="center"/>
          </w:tcPr>
          <w:p>
            <w:pPr>
              <w:widowControl/>
              <w:jc w:val="center"/>
              <w:rPr>
                <w:rFonts w:ascii="宋体" w:cs="宋体"/>
                <w:kern w:val="0"/>
                <w:sz w:val="18"/>
                <w:szCs w:val="18"/>
              </w:rPr>
            </w:pPr>
            <w:r>
              <w:rPr>
                <w:rFonts w:ascii="宋体" w:cs="宋体"/>
                <w:kern w:val="0"/>
                <w:sz w:val="18"/>
                <w:szCs w:val="18"/>
              </w:rPr>
              <w:t>404001</w:t>
            </w:r>
          </w:p>
        </w:tc>
        <w:tc>
          <w:tcPr>
            <w:tcW w:w="3144" w:type="dxa"/>
            <w:tcBorders>
              <w:top w:val="nil"/>
              <w:left w:val="nil"/>
              <w:bottom w:val="single" w:color="auto" w:sz="4" w:space="0"/>
              <w:right w:val="single" w:color="000000" w:sz="4" w:space="0"/>
            </w:tcBorders>
            <w:vAlign w:val="center"/>
          </w:tcPr>
          <w:p>
            <w:pPr>
              <w:jc w:val="center"/>
              <w:rPr>
                <w:rFonts w:ascii="宋体" w:cs="宋体"/>
                <w:sz w:val="18"/>
                <w:szCs w:val="18"/>
              </w:rPr>
            </w:pPr>
            <w:r>
              <w:rPr>
                <w:rFonts w:hint="eastAsia"/>
                <w:sz w:val="18"/>
                <w:szCs w:val="18"/>
              </w:rPr>
              <w:t>新乡市卫滨区健康路街道办事处本级</w:t>
            </w:r>
          </w:p>
        </w:tc>
        <w:tc>
          <w:tcPr>
            <w:tcW w:w="866" w:type="dxa"/>
            <w:tcBorders>
              <w:top w:val="nil"/>
              <w:left w:val="nil"/>
              <w:bottom w:val="single" w:color="auto" w:sz="4" w:space="0"/>
              <w:right w:val="single" w:color="000000" w:sz="4" w:space="0"/>
            </w:tcBorders>
            <w:vAlign w:val="center"/>
          </w:tcPr>
          <w:p>
            <w:pPr>
              <w:jc w:val="right"/>
              <w:rPr>
                <w:rFonts w:ascii="宋体" w:cs="宋体"/>
                <w:sz w:val="18"/>
                <w:szCs w:val="18"/>
              </w:rPr>
            </w:pPr>
            <w:r>
              <w:rPr>
                <w:sz w:val="18"/>
                <w:szCs w:val="18"/>
              </w:rPr>
              <w:t>199.00</w:t>
            </w:r>
          </w:p>
        </w:tc>
        <w:tc>
          <w:tcPr>
            <w:tcW w:w="1365" w:type="dxa"/>
            <w:tcBorders>
              <w:top w:val="nil"/>
              <w:left w:val="nil"/>
              <w:bottom w:val="single" w:color="auto" w:sz="4" w:space="0"/>
              <w:right w:val="single" w:color="000000" w:sz="4" w:space="0"/>
            </w:tcBorders>
            <w:vAlign w:val="center"/>
          </w:tcPr>
          <w:p>
            <w:pPr>
              <w:jc w:val="right"/>
              <w:rPr>
                <w:rFonts w:ascii="宋体" w:cs="宋体"/>
                <w:sz w:val="18"/>
                <w:szCs w:val="18"/>
              </w:rPr>
            </w:pPr>
            <w:r>
              <w:rPr>
                <w:sz w:val="18"/>
                <w:szCs w:val="18"/>
              </w:rPr>
              <w:t>199.00</w:t>
            </w:r>
          </w:p>
        </w:tc>
        <w:tc>
          <w:tcPr>
            <w:tcW w:w="1306" w:type="dxa"/>
            <w:tcBorders>
              <w:top w:val="nil"/>
              <w:left w:val="nil"/>
              <w:bottom w:val="single" w:color="auto" w:sz="4" w:space="0"/>
              <w:right w:val="single" w:color="000000" w:sz="4" w:space="0"/>
            </w:tcBorders>
            <w:vAlign w:val="center"/>
          </w:tcPr>
          <w:p>
            <w:pPr>
              <w:widowControl/>
              <w:jc w:val="right"/>
              <w:rPr>
                <w:rFonts w:ascii="宋体" w:cs="宋体"/>
                <w:kern w:val="0"/>
                <w:sz w:val="18"/>
                <w:szCs w:val="18"/>
              </w:rPr>
            </w:pPr>
          </w:p>
        </w:tc>
        <w:tc>
          <w:tcPr>
            <w:tcW w:w="945" w:type="dxa"/>
            <w:tcBorders>
              <w:top w:val="nil"/>
              <w:left w:val="nil"/>
              <w:bottom w:val="single" w:color="auto" w:sz="4" w:space="0"/>
              <w:right w:val="single" w:color="000000" w:sz="4" w:space="0"/>
            </w:tcBorders>
            <w:vAlign w:val="center"/>
          </w:tcPr>
          <w:p>
            <w:pPr>
              <w:widowControl/>
              <w:jc w:val="righ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41"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5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679" w:hRule="atLeast"/>
        </w:trPr>
        <w:tc>
          <w:tcPr>
            <w:tcW w:w="2106" w:type="dxa"/>
            <w:vMerge w:val="continue"/>
            <w:tcBorders>
              <w:left w:val="single" w:color="000000" w:sz="4" w:space="0"/>
              <w:bottom w:val="single" w:color="auto" w:sz="4" w:space="0"/>
              <w:right w:val="single" w:color="000000" w:sz="4" w:space="0"/>
            </w:tcBorders>
            <w:vAlign w:val="center"/>
          </w:tcPr>
          <w:p>
            <w:pPr>
              <w:widowControl/>
              <w:jc w:val="center"/>
              <w:rPr>
                <w:rFonts w:ascii="宋体" w:cs="宋体"/>
                <w:kern w:val="0"/>
                <w:sz w:val="18"/>
                <w:szCs w:val="18"/>
              </w:rPr>
            </w:pPr>
          </w:p>
        </w:tc>
        <w:tc>
          <w:tcPr>
            <w:tcW w:w="3144" w:type="dxa"/>
            <w:tcBorders>
              <w:top w:val="single" w:color="auto" w:sz="4" w:space="0"/>
              <w:left w:val="single" w:color="000000" w:sz="4" w:space="0"/>
              <w:bottom w:val="single" w:color="auto" w:sz="4" w:space="0"/>
              <w:right w:val="single" w:color="000000" w:sz="4" w:space="0"/>
            </w:tcBorders>
            <w:vAlign w:val="center"/>
          </w:tcPr>
          <w:p>
            <w:pPr>
              <w:jc w:val="center"/>
              <w:rPr>
                <w:rFonts w:ascii="宋体" w:cs="宋体"/>
                <w:sz w:val="18"/>
                <w:szCs w:val="18"/>
              </w:rPr>
            </w:pPr>
            <w:r>
              <w:rPr>
                <w:rFonts w:hint="eastAsia"/>
                <w:sz w:val="18"/>
                <w:szCs w:val="18"/>
              </w:rPr>
              <w:t>新乡市卫滨区健康路街道办事处</w:t>
            </w:r>
          </w:p>
        </w:tc>
        <w:tc>
          <w:tcPr>
            <w:tcW w:w="866" w:type="dxa"/>
            <w:tcBorders>
              <w:top w:val="single" w:color="auto" w:sz="4" w:space="0"/>
              <w:left w:val="single" w:color="000000" w:sz="4" w:space="0"/>
              <w:bottom w:val="single" w:color="auto" w:sz="4" w:space="0"/>
              <w:right w:val="single" w:color="000000" w:sz="4" w:space="0"/>
            </w:tcBorders>
            <w:vAlign w:val="center"/>
          </w:tcPr>
          <w:p>
            <w:pPr>
              <w:jc w:val="right"/>
              <w:rPr>
                <w:rFonts w:ascii="宋体" w:cs="宋体"/>
                <w:sz w:val="18"/>
                <w:szCs w:val="18"/>
              </w:rPr>
            </w:pPr>
            <w:r>
              <w:rPr>
                <w:sz w:val="18"/>
                <w:szCs w:val="18"/>
              </w:rPr>
              <w:t>421.12</w:t>
            </w:r>
          </w:p>
        </w:tc>
        <w:tc>
          <w:tcPr>
            <w:tcW w:w="1365" w:type="dxa"/>
            <w:tcBorders>
              <w:top w:val="single" w:color="auto" w:sz="4" w:space="0"/>
              <w:left w:val="single" w:color="000000" w:sz="4" w:space="0"/>
              <w:bottom w:val="single" w:color="auto" w:sz="4" w:space="0"/>
              <w:right w:val="single" w:color="000000" w:sz="4" w:space="0"/>
            </w:tcBorders>
            <w:vAlign w:val="center"/>
          </w:tcPr>
          <w:p>
            <w:pPr>
              <w:jc w:val="right"/>
              <w:rPr>
                <w:rFonts w:ascii="宋体" w:cs="宋体"/>
                <w:sz w:val="18"/>
                <w:szCs w:val="18"/>
              </w:rPr>
            </w:pPr>
            <w:r>
              <w:rPr>
                <w:sz w:val="18"/>
                <w:szCs w:val="18"/>
              </w:rPr>
              <w:t>421.12</w:t>
            </w:r>
          </w:p>
        </w:tc>
        <w:tc>
          <w:tcPr>
            <w:tcW w:w="1306" w:type="dxa"/>
            <w:tcBorders>
              <w:top w:val="single" w:color="auto" w:sz="4" w:space="0"/>
              <w:left w:val="single" w:color="000000" w:sz="4" w:space="0"/>
              <w:bottom w:val="single" w:color="auto" w:sz="4" w:space="0"/>
              <w:right w:val="single" w:color="000000" w:sz="4" w:space="0"/>
            </w:tcBorders>
            <w:vAlign w:val="center"/>
          </w:tcPr>
          <w:p>
            <w:pPr>
              <w:widowControl/>
              <w:jc w:val="right"/>
              <w:rPr>
                <w:rFonts w:ascii="宋体" w:cs="宋体"/>
                <w:kern w:val="0"/>
                <w:sz w:val="18"/>
                <w:szCs w:val="18"/>
              </w:rPr>
            </w:pPr>
          </w:p>
        </w:tc>
        <w:tc>
          <w:tcPr>
            <w:tcW w:w="945" w:type="dxa"/>
            <w:tcBorders>
              <w:top w:val="single" w:color="auto" w:sz="4" w:space="0"/>
              <w:left w:val="single" w:color="000000" w:sz="4" w:space="0"/>
              <w:bottom w:val="single" w:color="auto" w:sz="4" w:space="0"/>
              <w:right w:val="single" w:color="000000" w:sz="4" w:space="0"/>
            </w:tcBorders>
            <w:vAlign w:val="center"/>
          </w:tcPr>
          <w:p>
            <w:pPr>
              <w:widowControl/>
              <w:jc w:val="righ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41"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5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522" w:hRule="atLeast"/>
        </w:trPr>
        <w:tc>
          <w:tcPr>
            <w:tcW w:w="2106" w:type="dxa"/>
            <w:tcBorders>
              <w:top w:val="single" w:color="auto" w:sz="4" w:space="0"/>
              <w:left w:val="single" w:color="000000" w:sz="4" w:space="0"/>
              <w:bottom w:val="single" w:color="auto" w:sz="4" w:space="0"/>
              <w:right w:val="single" w:color="000000" w:sz="4" w:space="0"/>
            </w:tcBorders>
            <w:vAlign w:val="center"/>
          </w:tcPr>
          <w:p>
            <w:pPr>
              <w:jc w:val="center"/>
              <w:rPr>
                <w:rFonts w:ascii="宋体" w:cs="宋体"/>
                <w:sz w:val="18"/>
                <w:szCs w:val="18"/>
              </w:rPr>
            </w:pPr>
            <w:r>
              <w:rPr>
                <w:sz w:val="18"/>
                <w:szCs w:val="18"/>
              </w:rPr>
              <w:t>410703220000000016874</w:t>
            </w:r>
          </w:p>
        </w:tc>
        <w:tc>
          <w:tcPr>
            <w:tcW w:w="3144" w:type="dxa"/>
            <w:tcBorders>
              <w:top w:val="single" w:color="auto" w:sz="4" w:space="0"/>
              <w:left w:val="single" w:color="000000" w:sz="4" w:space="0"/>
              <w:bottom w:val="single" w:color="auto" w:sz="4" w:space="0"/>
              <w:right w:val="single" w:color="000000" w:sz="4" w:space="0"/>
            </w:tcBorders>
            <w:vAlign w:val="center"/>
          </w:tcPr>
          <w:p>
            <w:pPr>
              <w:jc w:val="center"/>
              <w:rPr>
                <w:rFonts w:ascii="宋体" w:cs="宋体"/>
                <w:sz w:val="18"/>
                <w:szCs w:val="18"/>
              </w:rPr>
            </w:pPr>
            <w:r>
              <w:rPr>
                <w:rFonts w:hint="eastAsia"/>
                <w:sz w:val="18"/>
                <w:szCs w:val="18"/>
              </w:rPr>
              <w:t>改善办公及日常运转经费</w:t>
            </w:r>
          </w:p>
        </w:tc>
        <w:tc>
          <w:tcPr>
            <w:tcW w:w="866" w:type="dxa"/>
            <w:tcBorders>
              <w:top w:val="single" w:color="auto" w:sz="4" w:space="0"/>
              <w:left w:val="single" w:color="000000" w:sz="4" w:space="0"/>
              <w:bottom w:val="single" w:color="auto" w:sz="4" w:space="0"/>
              <w:right w:val="single" w:color="000000" w:sz="4" w:space="0"/>
            </w:tcBorders>
            <w:vAlign w:val="center"/>
          </w:tcPr>
          <w:p>
            <w:pPr>
              <w:jc w:val="right"/>
              <w:rPr>
                <w:rFonts w:ascii="宋体" w:cs="宋体"/>
                <w:sz w:val="18"/>
                <w:szCs w:val="18"/>
              </w:rPr>
            </w:pPr>
            <w:r>
              <w:rPr>
                <w:sz w:val="18"/>
                <w:szCs w:val="18"/>
              </w:rPr>
              <w:t>149.00</w:t>
            </w:r>
          </w:p>
        </w:tc>
        <w:tc>
          <w:tcPr>
            <w:tcW w:w="1365" w:type="dxa"/>
            <w:tcBorders>
              <w:top w:val="single" w:color="auto" w:sz="4" w:space="0"/>
              <w:left w:val="single" w:color="000000" w:sz="4" w:space="0"/>
              <w:bottom w:val="single" w:color="auto" w:sz="4" w:space="0"/>
              <w:right w:val="single" w:color="000000" w:sz="4" w:space="0"/>
            </w:tcBorders>
            <w:vAlign w:val="center"/>
          </w:tcPr>
          <w:p>
            <w:pPr>
              <w:jc w:val="right"/>
              <w:rPr>
                <w:rFonts w:ascii="宋体" w:cs="宋体"/>
                <w:sz w:val="18"/>
                <w:szCs w:val="18"/>
              </w:rPr>
            </w:pPr>
            <w:r>
              <w:rPr>
                <w:sz w:val="18"/>
                <w:szCs w:val="18"/>
              </w:rPr>
              <w:t>149.00</w:t>
            </w:r>
          </w:p>
        </w:tc>
        <w:tc>
          <w:tcPr>
            <w:tcW w:w="1306" w:type="dxa"/>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cs="宋体"/>
                <w:kern w:val="0"/>
                <w:sz w:val="18"/>
                <w:szCs w:val="18"/>
              </w:rPr>
            </w:pPr>
          </w:p>
        </w:tc>
        <w:tc>
          <w:tcPr>
            <w:tcW w:w="945" w:type="dxa"/>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41"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5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522" w:hRule="atLeast"/>
        </w:trPr>
        <w:tc>
          <w:tcPr>
            <w:tcW w:w="2106"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410703220000000016917</w:t>
            </w:r>
          </w:p>
        </w:tc>
        <w:tc>
          <w:tcPr>
            <w:tcW w:w="3144"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劳务费</w:t>
            </w:r>
          </w:p>
        </w:tc>
        <w:tc>
          <w:tcPr>
            <w:tcW w:w="866" w:type="dxa"/>
            <w:tcBorders>
              <w:top w:val="single" w:color="auto" w:sz="4" w:space="0"/>
              <w:left w:val="single" w:color="000000" w:sz="4" w:space="0"/>
              <w:bottom w:val="single" w:color="000000" w:sz="4" w:space="0"/>
              <w:right w:val="single" w:color="000000" w:sz="4" w:space="0"/>
            </w:tcBorders>
            <w:vAlign w:val="center"/>
          </w:tcPr>
          <w:p>
            <w:pPr>
              <w:jc w:val="right"/>
              <w:rPr>
                <w:rFonts w:ascii="宋体" w:cs="宋体"/>
                <w:sz w:val="18"/>
                <w:szCs w:val="18"/>
              </w:rPr>
            </w:pPr>
            <w:r>
              <w:rPr>
                <w:sz w:val="18"/>
                <w:szCs w:val="18"/>
              </w:rPr>
              <w:t>50.00</w:t>
            </w:r>
          </w:p>
        </w:tc>
        <w:tc>
          <w:tcPr>
            <w:tcW w:w="1365" w:type="dxa"/>
            <w:tcBorders>
              <w:top w:val="single" w:color="auto" w:sz="4" w:space="0"/>
              <w:left w:val="single" w:color="000000" w:sz="4" w:space="0"/>
              <w:bottom w:val="single" w:color="000000" w:sz="4" w:space="0"/>
              <w:right w:val="single" w:color="000000" w:sz="4" w:space="0"/>
            </w:tcBorders>
            <w:vAlign w:val="center"/>
          </w:tcPr>
          <w:p>
            <w:pPr>
              <w:jc w:val="right"/>
              <w:rPr>
                <w:rFonts w:ascii="宋体" w:cs="宋体"/>
                <w:sz w:val="18"/>
                <w:szCs w:val="18"/>
              </w:rPr>
            </w:pPr>
            <w:r>
              <w:rPr>
                <w:sz w:val="18"/>
                <w:szCs w:val="18"/>
              </w:rPr>
              <w:t>50.00</w:t>
            </w:r>
          </w:p>
        </w:tc>
        <w:tc>
          <w:tcPr>
            <w:tcW w:w="1306" w:type="dxa"/>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945" w:type="dxa"/>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41"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5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540" w:hRule="atLeast"/>
        </w:trPr>
        <w:tc>
          <w:tcPr>
            <w:tcW w:w="2106" w:type="dxa"/>
            <w:tcBorders>
              <w:top w:val="nil"/>
              <w:left w:val="single" w:color="000000" w:sz="4" w:space="0"/>
              <w:bottom w:val="single" w:color="auto" w:sz="4" w:space="0"/>
              <w:right w:val="single" w:color="000000" w:sz="4" w:space="0"/>
            </w:tcBorders>
            <w:vAlign w:val="center"/>
          </w:tcPr>
          <w:p>
            <w:pPr>
              <w:jc w:val="center"/>
              <w:rPr>
                <w:rFonts w:ascii="宋体" w:cs="宋体"/>
                <w:sz w:val="18"/>
                <w:szCs w:val="18"/>
              </w:rPr>
            </w:pPr>
            <w:r>
              <w:rPr>
                <w:sz w:val="18"/>
                <w:szCs w:val="18"/>
              </w:rPr>
              <w:t>410703240000000042828</w:t>
            </w:r>
          </w:p>
        </w:tc>
        <w:tc>
          <w:tcPr>
            <w:tcW w:w="3144" w:type="dxa"/>
            <w:tcBorders>
              <w:top w:val="nil"/>
              <w:left w:val="single" w:color="000000" w:sz="4" w:space="0"/>
              <w:bottom w:val="single" w:color="auto" w:sz="4" w:space="0"/>
              <w:right w:val="single" w:color="000000" w:sz="4" w:space="0"/>
            </w:tcBorders>
            <w:vAlign w:val="center"/>
          </w:tcPr>
          <w:p>
            <w:pPr>
              <w:jc w:val="center"/>
              <w:rPr>
                <w:rFonts w:ascii="宋体" w:cs="宋体"/>
                <w:sz w:val="18"/>
                <w:szCs w:val="18"/>
              </w:rPr>
            </w:pPr>
            <w:r>
              <w:rPr>
                <w:rFonts w:hint="eastAsia"/>
                <w:sz w:val="18"/>
                <w:szCs w:val="18"/>
              </w:rPr>
              <w:t>新财预</w:t>
            </w:r>
            <w:r>
              <w:rPr>
                <w:sz w:val="18"/>
                <w:szCs w:val="18"/>
              </w:rPr>
              <w:t>2023.213</w:t>
            </w:r>
            <w:r>
              <w:rPr>
                <w:rFonts w:hint="eastAsia"/>
                <w:sz w:val="18"/>
                <w:szCs w:val="18"/>
              </w:rPr>
              <w:t>老旧小区改造</w:t>
            </w:r>
          </w:p>
        </w:tc>
        <w:tc>
          <w:tcPr>
            <w:tcW w:w="866" w:type="dxa"/>
            <w:tcBorders>
              <w:top w:val="nil"/>
              <w:left w:val="single" w:color="000000" w:sz="4" w:space="0"/>
              <w:bottom w:val="single" w:color="auto" w:sz="4" w:space="0"/>
              <w:right w:val="single" w:color="000000" w:sz="4" w:space="0"/>
            </w:tcBorders>
            <w:vAlign w:val="center"/>
          </w:tcPr>
          <w:p>
            <w:pPr>
              <w:jc w:val="right"/>
              <w:rPr>
                <w:rFonts w:ascii="宋体" w:cs="宋体"/>
                <w:sz w:val="18"/>
                <w:szCs w:val="18"/>
              </w:rPr>
            </w:pPr>
            <w:r>
              <w:rPr>
                <w:sz w:val="18"/>
                <w:szCs w:val="18"/>
              </w:rPr>
              <w:t>74.01</w:t>
            </w:r>
          </w:p>
        </w:tc>
        <w:tc>
          <w:tcPr>
            <w:tcW w:w="1365" w:type="dxa"/>
            <w:tcBorders>
              <w:top w:val="nil"/>
              <w:left w:val="single" w:color="000000" w:sz="4" w:space="0"/>
              <w:bottom w:val="single" w:color="auto" w:sz="4" w:space="0"/>
              <w:right w:val="single" w:color="000000" w:sz="4" w:space="0"/>
            </w:tcBorders>
            <w:vAlign w:val="center"/>
          </w:tcPr>
          <w:p>
            <w:pPr>
              <w:jc w:val="right"/>
              <w:rPr>
                <w:rFonts w:ascii="宋体" w:cs="宋体"/>
                <w:sz w:val="18"/>
                <w:szCs w:val="18"/>
              </w:rPr>
            </w:pPr>
            <w:r>
              <w:rPr>
                <w:sz w:val="18"/>
                <w:szCs w:val="18"/>
              </w:rPr>
              <w:t>74.01</w:t>
            </w:r>
          </w:p>
        </w:tc>
        <w:tc>
          <w:tcPr>
            <w:tcW w:w="1306" w:type="dxa"/>
            <w:tcBorders>
              <w:top w:val="nil"/>
              <w:left w:val="single" w:color="000000" w:sz="4" w:space="0"/>
              <w:bottom w:val="single" w:color="auto" w:sz="4" w:space="0"/>
              <w:right w:val="single" w:color="000000" w:sz="4" w:space="0"/>
            </w:tcBorders>
            <w:vAlign w:val="center"/>
          </w:tcPr>
          <w:p>
            <w:pPr>
              <w:widowControl/>
              <w:jc w:val="right"/>
              <w:rPr>
                <w:rFonts w:ascii="宋体" w:cs="宋体"/>
                <w:kern w:val="0"/>
                <w:sz w:val="18"/>
                <w:szCs w:val="18"/>
              </w:rPr>
            </w:pPr>
          </w:p>
        </w:tc>
        <w:tc>
          <w:tcPr>
            <w:tcW w:w="945" w:type="dxa"/>
            <w:tcBorders>
              <w:top w:val="nil"/>
              <w:left w:val="single" w:color="000000" w:sz="4" w:space="0"/>
              <w:bottom w:val="single" w:color="auto" w:sz="4" w:space="0"/>
              <w:right w:val="single" w:color="000000" w:sz="4" w:space="0"/>
            </w:tcBorders>
            <w:vAlign w:val="center"/>
          </w:tcPr>
          <w:p>
            <w:pPr>
              <w:widowControl/>
              <w:jc w:val="righ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41"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5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540" w:hRule="atLeast"/>
        </w:trPr>
        <w:tc>
          <w:tcPr>
            <w:tcW w:w="2106" w:type="dxa"/>
            <w:tcBorders>
              <w:top w:val="nil"/>
              <w:left w:val="single" w:color="000000" w:sz="4" w:space="0"/>
              <w:bottom w:val="single" w:color="auto" w:sz="4" w:space="0"/>
              <w:right w:val="single" w:color="000000" w:sz="4" w:space="0"/>
            </w:tcBorders>
            <w:vAlign w:val="center"/>
          </w:tcPr>
          <w:p>
            <w:pPr>
              <w:jc w:val="center"/>
              <w:rPr>
                <w:rFonts w:ascii="宋体" w:cs="宋体"/>
                <w:sz w:val="18"/>
                <w:szCs w:val="18"/>
              </w:rPr>
            </w:pPr>
            <w:r>
              <w:rPr>
                <w:sz w:val="18"/>
                <w:szCs w:val="18"/>
              </w:rPr>
              <w:t>410703240000000042838</w:t>
            </w:r>
          </w:p>
        </w:tc>
        <w:tc>
          <w:tcPr>
            <w:tcW w:w="3144" w:type="dxa"/>
            <w:tcBorders>
              <w:top w:val="nil"/>
              <w:left w:val="single" w:color="000000" w:sz="4" w:space="0"/>
              <w:bottom w:val="single" w:color="auto" w:sz="4" w:space="0"/>
              <w:right w:val="single" w:color="000000" w:sz="4" w:space="0"/>
            </w:tcBorders>
            <w:vAlign w:val="center"/>
          </w:tcPr>
          <w:p>
            <w:pPr>
              <w:jc w:val="center"/>
              <w:rPr>
                <w:rFonts w:ascii="宋体" w:cs="宋体"/>
                <w:sz w:val="18"/>
                <w:szCs w:val="18"/>
              </w:rPr>
            </w:pPr>
            <w:r>
              <w:rPr>
                <w:rFonts w:hint="eastAsia"/>
                <w:sz w:val="18"/>
                <w:szCs w:val="18"/>
              </w:rPr>
              <w:t>新财预</w:t>
            </w:r>
            <w:r>
              <w:rPr>
                <w:sz w:val="18"/>
                <w:szCs w:val="18"/>
              </w:rPr>
              <w:t>2023.34</w:t>
            </w:r>
            <w:r>
              <w:rPr>
                <w:rFonts w:hint="eastAsia"/>
                <w:sz w:val="18"/>
                <w:szCs w:val="18"/>
              </w:rPr>
              <w:t>老旧小区改造</w:t>
            </w:r>
          </w:p>
        </w:tc>
        <w:tc>
          <w:tcPr>
            <w:tcW w:w="866" w:type="dxa"/>
            <w:tcBorders>
              <w:top w:val="nil"/>
              <w:left w:val="single" w:color="000000" w:sz="4" w:space="0"/>
              <w:bottom w:val="single" w:color="auto" w:sz="4" w:space="0"/>
              <w:right w:val="single" w:color="000000" w:sz="4" w:space="0"/>
            </w:tcBorders>
            <w:vAlign w:val="center"/>
          </w:tcPr>
          <w:p>
            <w:pPr>
              <w:jc w:val="right"/>
              <w:rPr>
                <w:rFonts w:ascii="宋体" w:cs="宋体"/>
                <w:sz w:val="18"/>
                <w:szCs w:val="18"/>
              </w:rPr>
            </w:pPr>
            <w:r>
              <w:rPr>
                <w:sz w:val="18"/>
                <w:szCs w:val="18"/>
              </w:rPr>
              <w:t>323.61</w:t>
            </w:r>
          </w:p>
        </w:tc>
        <w:tc>
          <w:tcPr>
            <w:tcW w:w="1365" w:type="dxa"/>
            <w:tcBorders>
              <w:top w:val="nil"/>
              <w:left w:val="single" w:color="000000" w:sz="4" w:space="0"/>
              <w:bottom w:val="single" w:color="auto" w:sz="4" w:space="0"/>
              <w:right w:val="single" w:color="000000" w:sz="4" w:space="0"/>
            </w:tcBorders>
            <w:vAlign w:val="center"/>
          </w:tcPr>
          <w:p>
            <w:pPr>
              <w:jc w:val="right"/>
              <w:rPr>
                <w:rFonts w:ascii="宋体" w:cs="宋体"/>
                <w:sz w:val="18"/>
                <w:szCs w:val="18"/>
              </w:rPr>
            </w:pPr>
            <w:r>
              <w:rPr>
                <w:sz w:val="18"/>
                <w:szCs w:val="18"/>
              </w:rPr>
              <w:t>323.61</w:t>
            </w:r>
          </w:p>
        </w:tc>
        <w:tc>
          <w:tcPr>
            <w:tcW w:w="1306" w:type="dxa"/>
            <w:tcBorders>
              <w:top w:val="nil"/>
              <w:left w:val="single" w:color="000000" w:sz="4" w:space="0"/>
              <w:bottom w:val="single" w:color="auto" w:sz="4" w:space="0"/>
              <w:right w:val="single" w:color="000000" w:sz="4" w:space="0"/>
            </w:tcBorders>
            <w:vAlign w:val="center"/>
          </w:tcPr>
          <w:p>
            <w:pPr>
              <w:widowControl/>
              <w:jc w:val="right"/>
              <w:rPr>
                <w:rFonts w:ascii="宋体" w:cs="宋体"/>
                <w:kern w:val="0"/>
                <w:sz w:val="18"/>
                <w:szCs w:val="18"/>
              </w:rPr>
            </w:pPr>
          </w:p>
        </w:tc>
        <w:tc>
          <w:tcPr>
            <w:tcW w:w="945" w:type="dxa"/>
            <w:tcBorders>
              <w:top w:val="nil"/>
              <w:left w:val="single" w:color="000000" w:sz="4" w:space="0"/>
              <w:bottom w:val="single" w:color="auto" w:sz="4" w:space="0"/>
              <w:right w:val="single" w:color="000000" w:sz="4" w:space="0"/>
            </w:tcBorders>
            <w:vAlign w:val="center"/>
          </w:tcPr>
          <w:p>
            <w:pPr>
              <w:widowControl/>
              <w:jc w:val="righ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41"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5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495" w:hRule="atLeast"/>
        </w:trPr>
        <w:tc>
          <w:tcPr>
            <w:tcW w:w="2106" w:type="dxa"/>
            <w:tcBorders>
              <w:top w:val="single" w:color="auto" w:sz="4" w:space="0"/>
              <w:left w:val="single" w:color="000000" w:sz="4" w:space="0"/>
              <w:bottom w:val="single" w:color="auto" w:sz="4" w:space="0"/>
              <w:right w:val="single" w:color="000000" w:sz="4" w:space="0"/>
            </w:tcBorders>
            <w:vAlign w:val="center"/>
          </w:tcPr>
          <w:p>
            <w:pPr>
              <w:jc w:val="center"/>
              <w:rPr>
                <w:rFonts w:ascii="宋体" w:cs="宋体"/>
                <w:sz w:val="18"/>
                <w:szCs w:val="18"/>
              </w:rPr>
            </w:pPr>
            <w:r>
              <w:rPr>
                <w:sz w:val="18"/>
                <w:szCs w:val="18"/>
              </w:rPr>
              <w:t>410703240000000058415</w:t>
            </w:r>
          </w:p>
        </w:tc>
        <w:tc>
          <w:tcPr>
            <w:tcW w:w="3144" w:type="dxa"/>
            <w:tcBorders>
              <w:top w:val="single" w:color="auto" w:sz="4" w:space="0"/>
              <w:left w:val="single" w:color="000000" w:sz="4" w:space="0"/>
              <w:bottom w:val="single" w:color="auto" w:sz="4" w:space="0"/>
              <w:right w:val="single" w:color="000000" w:sz="4" w:space="0"/>
            </w:tcBorders>
            <w:vAlign w:val="center"/>
          </w:tcPr>
          <w:p>
            <w:pPr>
              <w:jc w:val="center"/>
              <w:rPr>
                <w:rFonts w:ascii="宋体" w:cs="宋体"/>
                <w:sz w:val="18"/>
                <w:szCs w:val="18"/>
              </w:rPr>
            </w:pPr>
            <w:r>
              <w:rPr>
                <w:rFonts w:hint="eastAsia"/>
                <w:sz w:val="18"/>
                <w:szCs w:val="18"/>
              </w:rPr>
              <w:t>提前下达</w:t>
            </w:r>
            <w:r>
              <w:rPr>
                <w:sz w:val="18"/>
                <w:szCs w:val="18"/>
              </w:rPr>
              <w:t>2023</w:t>
            </w:r>
            <w:r>
              <w:rPr>
                <w:rFonts w:hint="eastAsia"/>
                <w:sz w:val="18"/>
                <w:szCs w:val="18"/>
              </w:rPr>
              <w:t>年国有企业退休人员社会化管理补助资金</w:t>
            </w:r>
          </w:p>
        </w:tc>
        <w:tc>
          <w:tcPr>
            <w:tcW w:w="866" w:type="dxa"/>
            <w:tcBorders>
              <w:top w:val="single" w:color="auto" w:sz="4" w:space="0"/>
              <w:left w:val="single" w:color="000000" w:sz="4" w:space="0"/>
              <w:bottom w:val="single" w:color="auto" w:sz="4" w:space="0"/>
              <w:right w:val="single" w:color="000000" w:sz="4" w:space="0"/>
            </w:tcBorders>
            <w:vAlign w:val="center"/>
          </w:tcPr>
          <w:p>
            <w:pPr>
              <w:jc w:val="right"/>
              <w:rPr>
                <w:rFonts w:ascii="宋体" w:cs="宋体"/>
                <w:sz w:val="18"/>
                <w:szCs w:val="18"/>
              </w:rPr>
            </w:pPr>
            <w:r>
              <w:rPr>
                <w:sz w:val="18"/>
                <w:szCs w:val="18"/>
              </w:rPr>
              <w:t>20.00</w:t>
            </w:r>
          </w:p>
        </w:tc>
        <w:tc>
          <w:tcPr>
            <w:tcW w:w="1365" w:type="dxa"/>
            <w:tcBorders>
              <w:top w:val="single" w:color="auto" w:sz="4" w:space="0"/>
              <w:left w:val="single" w:color="000000" w:sz="4" w:space="0"/>
              <w:bottom w:val="single" w:color="auto" w:sz="4" w:space="0"/>
              <w:right w:val="single" w:color="000000" w:sz="4" w:space="0"/>
            </w:tcBorders>
            <w:vAlign w:val="center"/>
          </w:tcPr>
          <w:p>
            <w:pPr>
              <w:jc w:val="right"/>
              <w:rPr>
                <w:rFonts w:ascii="宋体" w:cs="宋体"/>
                <w:sz w:val="18"/>
                <w:szCs w:val="18"/>
              </w:rPr>
            </w:pPr>
            <w:r>
              <w:rPr>
                <w:sz w:val="18"/>
                <w:szCs w:val="18"/>
              </w:rPr>
              <w:t>20.00</w:t>
            </w:r>
          </w:p>
        </w:tc>
        <w:tc>
          <w:tcPr>
            <w:tcW w:w="1306" w:type="dxa"/>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cs="宋体"/>
                <w:kern w:val="0"/>
                <w:sz w:val="18"/>
                <w:szCs w:val="18"/>
              </w:rPr>
            </w:pPr>
          </w:p>
        </w:tc>
        <w:tc>
          <w:tcPr>
            <w:tcW w:w="945" w:type="dxa"/>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41"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5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r>
      <w:tr>
        <w:tblPrEx>
          <w:tblLayout w:type="fixed"/>
          <w:tblCellMar>
            <w:top w:w="0" w:type="dxa"/>
            <w:left w:w="108" w:type="dxa"/>
            <w:bottom w:w="0" w:type="dxa"/>
            <w:right w:w="108" w:type="dxa"/>
          </w:tblCellMar>
        </w:tblPrEx>
        <w:trPr>
          <w:trHeight w:val="679" w:hRule="atLeast"/>
        </w:trPr>
        <w:tc>
          <w:tcPr>
            <w:tcW w:w="2106"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sz w:val="18"/>
                <w:szCs w:val="18"/>
              </w:rPr>
            </w:pPr>
            <w:r>
              <w:rPr>
                <w:sz w:val="18"/>
                <w:szCs w:val="18"/>
              </w:rPr>
              <w:t>410703240000000058431</w:t>
            </w:r>
          </w:p>
        </w:tc>
        <w:tc>
          <w:tcPr>
            <w:tcW w:w="3144"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sz w:val="18"/>
                <w:szCs w:val="18"/>
              </w:rPr>
            </w:pPr>
            <w:r>
              <w:rPr>
                <w:rFonts w:hint="eastAsia"/>
                <w:sz w:val="18"/>
                <w:szCs w:val="18"/>
              </w:rPr>
              <w:t>新财预【</w:t>
            </w:r>
            <w:r>
              <w:rPr>
                <w:sz w:val="18"/>
                <w:szCs w:val="18"/>
              </w:rPr>
              <w:t>2023</w:t>
            </w:r>
            <w:r>
              <w:rPr>
                <w:rFonts w:hint="eastAsia"/>
                <w:sz w:val="18"/>
                <w:szCs w:val="18"/>
              </w:rPr>
              <w:t>】</w:t>
            </w:r>
            <w:r>
              <w:rPr>
                <w:sz w:val="18"/>
                <w:szCs w:val="18"/>
              </w:rPr>
              <w:t>381</w:t>
            </w:r>
            <w:r>
              <w:rPr>
                <w:rFonts w:hint="eastAsia"/>
                <w:sz w:val="18"/>
                <w:szCs w:val="18"/>
              </w:rPr>
              <w:t>号关于提前下达</w:t>
            </w:r>
            <w:r>
              <w:rPr>
                <w:sz w:val="18"/>
                <w:szCs w:val="18"/>
              </w:rPr>
              <w:t>2024</w:t>
            </w:r>
            <w:r>
              <w:rPr>
                <w:rFonts w:hint="eastAsia"/>
                <w:sz w:val="18"/>
                <w:szCs w:val="18"/>
              </w:rPr>
              <w:t>年公共图书馆、美术馆、文化馆（站）免费开放补助资金预算的通知</w:t>
            </w:r>
          </w:p>
        </w:tc>
        <w:tc>
          <w:tcPr>
            <w:tcW w:w="866" w:type="dxa"/>
            <w:tcBorders>
              <w:top w:val="single" w:color="auto" w:sz="4" w:space="0"/>
              <w:left w:val="single" w:color="000000" w:sz="4" w:space="0"/>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1365" w:type="dxa"/>
            <w:tcBorders>
              <w:top w:val="single" w:color="auto" w:sz="4" w:space="0"/>
              <w:left w:val="single" w:color="000000" w:sz="4" w:space="0"/>
              <w:bottom w:val="single" w:color="000000" w:sz="4" w:space="0"/>
              <w:right w:val="single" w:color="000000" w:sz="4" w:space="0"/>
            </w:tcBorders>
            <w:vAlign w:val="center"/>
          </w:tcPr>
          <w:p>
            <w:pPr>
              <w:jc w:val="right"/>
              <w:rPr>
                <w:rFonts w:ascii="宋体" w:cs="宋体"/>
                <w:sz w:val="18"/>
                <w:szCs w:val="18"/>
              </w:rPr>
            </w:pPr>
            <w:r>
              <w:rPr>
                <w:sz w:val="18"/>
                <w:szCs w:val="18"/>
              </w:rPr>
              <w:t>3.50</w:t>
            </w:r>
          </w:p>
        </w:tc>
        <w:tc>
          <w:tcPr>
            <w:tcW w:w="1306" w:type="dxa"/>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945" w:type="dxa"/>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735"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84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741"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pPr>
    </w:p>
    <w:sectPr>
      <w:pgSz w:w="16838" w:h="11906" w:orient="landscape"/>
      <w:pgMar w:top="1418" w:right="567" w:bottom="1191"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cs="Times New Roman"/>
      </w:rPr>
    </w:lvl>
  </w:abstractNum>
  <w:abstractNum w:abstractNumId="1">
    <w:nsid w:val="C1A4D1CB"/>
    <w:multiLevelType w:val="singleLevel"/>
    <w:tmpl w:val="C1A4D1CB"/>
    <w:lvl w:ilvl="0" w:tentative="0">
      <w:start w:val="6"/>
      <w:numFmt w:val="chineseCounting"/>
      <w:suff w:val="nothing"/>
      <w:lvlText w:val="（%1）"/>
      <w:lvlJc w:val="left"/>
      <w:rPr>
        <w:rFonts w:hint="eastAsia" w:cs="Times New Roman"/>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3">
    <w:nsid w:val="38F14122"/>
    <w:multiLevelType w:val="singleLevel"/>
    <w:tmpl w:val="38F14122"/>
    <w:lvl w:ilvl="0" w:tentative="0">
      <w:start w:val="3"/>
      <w:numFmt w:val="chineseCounting"/>
      <w:suff w:val="nothing"/>
      <w:lvlText w:val="（%1）"/>
      <w:lvlJc w:val="left"/>
      <w:rPr>
        <w:rFonts w:hint="eastAsia" w:cs="Times New Roman"/>
      </w:rPr>
    </w:lvl>
  </w:abstractNum>
  <w:abstractNum w:abstractNumId="4">
    <w:nsid w:val="5971C2CF"/>
    <w:multiLevelType w:val="singleLevel"/>
    <w:tmpl w:val="5971C2CF"/>
    <w:lvl w:ilvl="0" w:tentative="0">
      <w:start w:val="1"/>
      <w:numFmt w:val="decimal"/>
      <w:suff w:val="nothing"/>
      <w:lvlText w:val="%1．"/>
      <w:lvlJc w:val="left"/>
      <w:pPr>
        <w:ind w:left="167" w:firstLine="400"/>
      </w:pPr>
      <w:rPr>
        <w:rFonts w:hint="default" w:cs="Times New Roman"/>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1EFE"/>
    <w:rsid w:val="000B2445"/>
    <w:rsid w:val="000B4262"/>
    <w:rsid w:val="000B6557"/>
    <w:rsid w:val="000C4CC2"/>
    <w:rsid w:val="000D025C"/>
    <w:rsid w:val="000E4FFA"/>
    <w:rsid w:val="000E5387"/>
    <w:rsid w:val="000E666A"/>
    <w:rsid w:val="000E6F0D"/>
    <w:rsid w:val="000F0D3B"/>
    <w:rsid w:val="000F2454"/>
    <w:rsid w:val="001003CC"/>
    <w:rsid w:val="0010654C"/>
    <w:rsid w:val="00120162"/>
    <w:rsid w:val="0012518F"/>
    <w:rsid w:val="001264BC"/>
    <w:rsid w:val="001316FD"/>
    <w:rsid w:val="001349FC"/>
    <w:rsid w:val="001436AF"/>
    <w:rsid w:val="00144028"/>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D3C82"/>
    <w:rsid w:val="001F24BC"/>
    <w:rsid w:val="001F64E1"/>
    <w:rsid w:val="001F657E"/>
    <w:rsid w:val="00202770"/>
    <w:rsid w:val="00204E18"/>
    <w:rsid w:val="00204F67"/>
    <w:rsid w:val="0021471A"/>
    <w:rsid w:val="002155BC"/>
    <w:rsid w:val="002155E6"/>
    <w:rsid w:val="002213D7"/>
    <w:rsid w:val="00230456"/>
    <w:rsid w:val="00236D28"/>
    <w:rsid w:val="00240043"/>
    <w:rsid w:val="00242997"/>
    <w:rsid w:val="00251DE8"/>
    <w:rsid w:val="00254A2A"/>
    <w:rsid w:val="002601F3"/>
    <w:rsid w:val="00267739"/>
    <w:rsid w:val="0027730D"/>
    <w:rsid w:val="002808F7"/>
    <w:rsid w:val="00284450"/>
    <w:rsid w:val="002B3C2D"/>
    <w:rsid w:val="002B612E"/>
    <w:rsid w:val="002B7F7A"/>
    <w:rsid w:val="002C14D9"/>
    <w:rsid w:val="002E0122"/>
    <w:rsid w:val="002E27DE"/>
    <w:rsid w:val="002E3628"/>
    <w:rsid w:val="002E5C55"/>
    <w:rsid w:val="002E5EBE"/>
    <w:rsid w:val="002F1A34"/>
    <w:rsid w:val="002F6CC2"/>
    <w:rsid w:val="00306B5A"/>
    <w:rsid w:val="0032045B"/>
    <w:rsid w:val="00320FEA"/>
    <w:rsid w:val="00322C06"/>
    <w:rsid w:val="0032341C"/>
    <w:rsid w:val="00327A9A"/>
    <w:rsid w:val="00327ADF"/>
    <w:rsid w:val="003423AF"/>
    <w:rsid w:val="0034481A"/>
    <w:rsid w:val="00352AD6"/>
    <w:rsid w:val="00354113"/>
    <w:rsid w:val="00356056"/>
    <w:rsid w:val="00360B9D"/>
    <w:rsid w:val="003615E5"/>
    <w:rsid w:val="00374335"/>
    <w:rsid w:val="003761B9"/>
    <w:rsid w:val="00377995"/>
    <w:rsid w:val="00382D20"/>
    <w:rsid w:val="003B6DF2"/>
    <w:rsid w:val="003C5046"/>
    <w:rsid w:val="003C5AF1"/>
    <w:rsid w:val="003D5305"/>
    <w:rsid w:val="003E0F53"/>
    <w:rsid w:val="003E33F6"/>
    <w:rsid w:val="003E4F75"/>
    <w:rsid w:val="003F044F"/>
    <w:rsid w:val="003F606B"/>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401FB"/>
    <w:rsid w:val="0045307E"/>
    <w:rsid w:val="004566F7"/>
    <w:rsid w:val="00460D67"/>
    <w:rsid w:val="0046532A"/>
    <w:rsid w:val="00470B16"/>
    <w:rsid w:val="00470E9E"/>
    <w:rsid w:val="004738EF"/>
    <w:rsid w:val="00477172"/>
    <w:rsid w:val="004842B6"/>
    <w:rsid w:val="004842D5"/>
    <w:rsid w:val="00494A9A"/>
    <w:rsid w:val="0049768C"/>
    <w:rsid w:val="004A2735"/>
    <w:rsid w:val="004A561C"/>
    <w:rsid w:val="004B1080"/>
    <w:rsid w:val="004B1BF0"/>
    <w:rsid w:val="004C0B6C"/>
    <w:rsid w:val="004C3AD6"/>
    <w:rsid w:val="004C5D3E"/>
    <w:rsid w:val="004C7BA0"/>
    <w:rsid w:val="004D069E"/>
    <w:rsid w:val="004D0CCC"/>
    <w:rsid w:val="004D2D1F"/>
    <w:rsid w:val="004F30BC"/>
    <w:rsid w:val="004F460E"/>
    <w:rsid w:val="00504D4A"/>
    <w:rsid w:val="005271CC"/>
    <w:rsid w:val="00530C66"/>
    <w:rsid w:val="00540B6A"/>
    <w:rsid w:val="00542462"/>
    <w:rsid w:val="005433FC"/>
    <w:rsid w:val="0054387D"/>
    <w:rsid w:val="00554757"/>
    <w:rsid w:val="00554BEE"/>
    <w:rsid w:val="00556BE7"/>
    <w:rsid w:val="00571108"/>
    <w:rsid w:val="00573E04"/>
    <w:rsid w:val="00574BEB"/>
    <w:rsid w:val="00580A57"/>
    <w:rsid w:val="00583C97"/>
    <w:rsid w:val="00591111"/>
    <w:rsid w:val="005A7520"/>
    <w:rsid w:val="005A786C"/>
    <w:rsid w:val="005B09E4"/>
    <w:rsid w:val="005B4803"/>
    <w:rsid w:val="005B7D64"/>
    <w:rsid w:val="005C3D11"/>
    <w:rsid w:val="005C6D7D"/>
    <w:rsid w:val="005E6CB4"/>
    <w:rsid w:val="005F0E25"/>
    <w:rsid w:val="005F36D1"/>
    <w:rsid w:val="005F5218"/>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3A0C"/>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3671"/>
    <w:rsid w:val="006F7ED2"/>
    <w:rsid w:val="0070054A"/>
    <w:rsid w:val="00705E29"/>
    <w:rsid w:val="007131C3"/>
    <w:rsid w:val="00717ABB"/>
    <w:rsid w:val="007267F5"/>
    <w:rsid w:val="00742C70"/>
    <w:rsid w:val="00743E2B"/>
    <w:rsid w:val="00754A11"/>
    <w:rsid w:val="00765365"/>
    <w:rsid w:val="00790D2A"/>
    <w:rsid w:val="00796560"/>
    <w:rsid w:val="00797A86"/>
    <w:rsid w:val="007B748B"/>
    <w:rsid w:val="007C4D6A"/>
    <w:rsid w:val="007C5790"/>
    <w:rsid w:val="007C6035"/>
    <w:rsid w:val="007D582B"/>
    <w:rsid w:val="007E3AB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211D"/>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459A"/>
    <w:rsid w:val="00947589"/>
    <w:rsid w:val="00953EA6"/>
    <w:rsid w:val="009658A4"/>
    <w:rsid w:val="00965DD7"/>
    <w:rsid w:val="00972A21"/>
    <w:rsid w:val="00984BB7"/>
    <w:rsid w:val="0099008B"/>
    <w:rsid w:val="00997ABD"/>
    <w:rsid w:val="00997DE9"/>
    <w:rsid w:val="009A311C"/>
    <w:rsid w:val="009B779E"/>
    <w:rsid w:val="009C5886"/>
    <w:rsid w:val="009C79D8"/>
    <w:rsid w:val="009D06CC"/>
    <w:rsid w:val="009D366C"/>
    <w:rsid w:val="009D57AB"/>
    <w:rsid w:val="009D6176"/>
    <w:rsid w:val="009E3704"/>
    <w:rsid w:val="009F09B1"/>
    <w:rsid w:val="009F4C33"/>
    <w:rsid w:val="009F5003"/>
    <w:rsid w:val="00A0219D"/>
    <w:rsid w:val="00A03886"/>
    <w:rsid w:val="00A065D7"/>
    <w:rsid w:val="00A07382"/>
    <w:rsid w:val="00A1196B"/>
    <w:rsid w:val="00A2124E"/>
    <w:rsid w:val="00A23BB0"/>
    <w:rsid w:val="00A354EC"/>
    <w:rsid w:val="00A373A8"/>
    <w:rsid w:val="00A52BBA"/>
    <w:rsid w:val="00A55FDA"/>
    <w:rsid w:val="00A62BC3"/>
    <w:rsid w:val="00A63D02"/>
    <w:rsid w:val="00A702F0"/>
    <w:rsid w:val="00A73770"/>
    <w:rsid w:val="00A75823"/>
    <w:rsid w:val="00A8278A"/>
    <w:rsid w:val="00A87DD7"/>
    <w:rsid w:val="00AA4E11"/>
    <w:rsid w:val="00AB18CB"/>
    <w:rsid w:val="00AB2328"/>
    <w:rsid w:val="00AB6DFB"/>
    <w:rsid w:val="00AC5410"/>
    <w:rsid w:val="00AE5C99"/>
    <w:rsid w:val="00B01857"/>
    <w:rsid w:val="00B03AAD"/>
    <w:rsid w:val="00B11086"/>
    <w:rsid w:val="00B1409E"/>
    <w:rsid w:val="00B1453C"/>
    <w:rsid w:val="00B23D64"/>
    <w:rsid w:val="00B341FF"/>
    <w:rsid w:val="00B377C4"/>
    <w:rsid w:val="00B40914"/>
    <w:rsid w:val="00B40F74"/>
    <w:rsid w:val="00B43E66"/>
    <w:rsid w:val="00B50AE6"/>
    <w:rsid w:val="00B65C21"/>
    <w:rsid w:val="00B665C0"/>
    <w:rsid w:val="00B6705E"/>
    <w:rsid w:val="00B83046"/>
    <w:rsid w:val="00B832E5"/>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26EB"/>
    <w:rsid w:val="00C03348"/>
    <w:rsid w:val="00C1663E"/>
    <w:rsid w:val="00C17E7A"/>
    <w:rsid w:val="00C21E04"/>
    <w:rsid w:val="00C23F9E"/>
    <w:rsid w:val="00C35845"/>
    <w:rsid w:val="00C40961"/>
    <w:rsid w:val="00C4757E"/>
    <w:rsid w:val="00C562AA"/>
    <w:rsid w:val="00C62AD6"/>
    <w:rsid w:val="00C63E2B"/>
    <w:rsid w:val="00C64FF5"/>
    <w:rsid w:val="00C65DCF"/>
    <w:rsid w:val="00C65E72"/>
    <w:rsid w:val="00C66F39"/>
    <w:rsid w:val="00C70DC0"/>
    <w:rsid w:val="00C70F12"/>
    <w:rsid w:val="00C738E2"/>
    <w:rsid w:val="00C8160B"/>
    <w:rsid w:val="00C81BB6"/>
    <w:rsid w:val="00C86544"/>
    <w:rsid w:val="00C934AF"/>
    <w:rsid w:val="00CA314A"/>
    <w:rsid w:val="00CA5062"/>
    <w:rsid w:val="00CB508D"/>
    <w:rsid w:val="00CC4BF6"/>
    <w:rsid w:val="00CC793C"/>
    <w:rsid w:val="00CD4C57"/>
    <w:rsid w:val="00CF458F"/>
    <w:rsid w:val="00D02658"/>
    <w:rsid w:val="00D04BF4"/>
    <w:rsid w:val="00D06066"/>
    <w:rsid w:val="00D21C47"/>
    <w:rsid w:val="00D2375E"/>
    <w:rsid w:val="00D2537C"/>
    <w:rsid w:val="00D25951"/>
    <w:rsid w:val="00D26956"/>
    <w:rsid w:val="00D26DC2"/>
    <w:rsid w:val="00D372A9"/>
    <w:rsid w:val="00D44216"/>
    <w:rsid w:val="00D46542"/>
    <w:rsid w:val="00D4765A"/>
    <w:rsid w:val="00D527ED"/>
    <w:rsid w:val="00D561EE"/>
    <w:rsid w:val="00D6158D"/>
    <w:rsid w:val="00D62997"/>
    <w:rsid w:val="00D7195F"/>
    <w:rsid w:val="00D71C17"/>
    <w:rsid w:val="00D801C6"/>
    <w:rsid w:val="00D83019"/>
    <w:rsid w:val="00D8525D"/>
    <w:rsid w:val="00D92623"/>
    <w:rsid w:val="00D93A37"/>
    <w:rsid w:val="00DA0816"/>
    <w:rsid w:val="00DC5F64"/>
    <w:rsid w:val="00DC738B"/>
    <w:rsid w:val="00DC7872"/>
    <w:rsid w:val="00DD6466"/>
    <w:rsid w:val="00DD66B7"/>
    <w:rsid w:val="00DD697C"/>
    <w:rsid w:val="00DE6A63"/>
    <w:rsid w:val="00DF19C8"/>
    <w:rsid w:val="00E04054"/>
    <w:rsid w:val="00E04A58"/>
    <w:rsid w:val="00E1289B"/>
    <w:rsid w:val="00E17D38"/>
    <w:rsid w:val="00E23DFD"/>
    <w:rsid w:val="00E23F04"/>
    <w:rsid w:val="00E2542E"/>
    <w:rsid w:val="00E2610B"/>
    <w:rsid w:val="00E4080C"/>
    <w:rsid w:val="00E42853"/>
    <w:rsid w:val="00E43ED0"/>
    <w:rsid w:val="00E549CB"/>
    <w:rsid w:val="00E61A11"/>
    <w:rsid w:val="00E6220D"/>
    <w:rsid w:val="00E8417A"/>
    <w:rsid w:val="00E941A6"/>
    <w:rsid w:val="00EA4AFE"/>
    <w:rsid w:val="00EB05F1"/>
    <w:rsid w:val="00EB6F57"/>
    <w:rsid w:val="00EC2C40"/>
    <w:rsid w:val="00ED7886"/>
    <w:rsid w:val="00EE05C3"/>
    <w:rsid w:val="00EE59D1"/>
    <w:rsid w:val="00F01287"/>
    <w:rsid w:val="00F1283B"/>
    <w:rsid w:val="00F1726C"/>
    <w:rsid w:val="00F2363A"/>
    <w:rsid w:val="00F25745"/>
    <w:rsid w:val="00F33362"/>
    <w:rsid w:val="00F34E65"/>
    <w:rsid w:val="00F44EC4"/>
    <w:rsid w:val="00F506ED"/>
    <w:rsid w:val="00F63CE3"/>
    <w:rsid w:val="00F649DD"/>
    <w:rsid w:val="00F7099D"/>
    <w:rsid w:val="00F728F8"/>
    <w:rsid w:val="00F77DF8"/>
    <w:rsid w:val="00F8059D"/>
    <w:rsid w:val="00F903AD"/>
    <w:rsid w:val="00F93BB7"/>
    <w:rsid w:val="00F955DA"/>
    <w:rsid w:val="00F95FCD"/>
    <w:rsid w:val="00FA3453"/>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2351"/>
    <w:rsid w:val="00FF26E1"/>
    <w:rsid w:val="00FF37A9"/>
    <w:rsid w:val="00FF4E6F"/>
    <w:rsid w:val="00FF613C"/>
    <w:rsid w:val="00FF73A3"/>
    <w:rsid w:val="012C75C3"/>
    <w:rsid w:val="04E82E5D"/>
    <w:rsid w:val="04EB0D09"/>
    <w:rsid w:val="06C47767"/>
    <w:rsid w:val="08EE5446"/>
    <w:rsid w:val="09E907EB"/>
    <w:rsid w:val="0CEF2B00"/>
    <w:rsid w:val="0FA90872"/>
    <w:rsid w:val="11A825AE"/>
    <w:rsid w:val="123705B9"/>
    <w:rsid w:val="13910C45"/>
    <w:rsid w:val="15B925CF"/>
    <w:rsid w:val="169267C0"/>
    <w:rsid w:val="175F3CA6"/>
    <w:rsid w:val="17767D2A"/>
    <w:rsid w:val="19FB7D8E"/>
    <w:rsid w:val="1A5B6391"/>
    <w:rsid w:val="1B9430C3"/>
    <w:rsid w:val="1C7012F4"/>
    <w:rsid w:val="209B625B"/>
    <w:rsid w:val="219D5072"/>
    <w:rsid w:val="221D378B"/>
    <w:rsid w:val="25E2722C"/>
    <w:rsid w:val="2A37305D"/>
    <w:rsid w:val="2AD76DF3"/>
    <w:rsid w:val="2C1A4849"/>
    <w:rsid w:val="33ED7470"/>
    <w:rsid w:val="343D3BEB"/>
    <w:rsid w:val="365B3B1A"/>
    <w:rsid w:val="368469FD"/>
    <w:rsid w:val="39063762"/>
    <w:rsid w:val="399C7E17"/>
    <w:rsid w:val="39D92970"/>
    <w:rsid w:val="3BD07B55"/>
    <w:rsid w:val="3D440195"/>
    <w:rsid w:val="3FAE2155"/>
    <w:rsid w:val="40FB4FE1"/>
    <w:rsid w:val="47D755C8"/>
    <w:rsid w:val="480E1D32"/>
    <w:rsid w:val="4BAC1AC0"/>
    <w:rsid w:val="4C7813AD"/>
    <w:rsid w:val="4CDA2801"/>
    <w:rsid w:val="4F917FC6"/>
    <w:rsid w:val="501B68C6"/>
    <w:rsid w:val="508D27A6"/>
    <w:rsid w:val="510D0E91"/>
    <w:rsid w:val="5115798C"/>
    <w:rsid w:val="51C51D65"/>
    <w:rsid w:val="5236524B"/>
    <w:rsid w:val="55381AB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468013A"/>
    <w:rsid w:val="649C46F2"/>
    <w:rsid w:val="6643017F"/>
    <w:rsid w:val="6B14138E"/>
    <w:rsid w:val="71A9298B"/>
    <w:rsid w:val="72BD29C0"/>
    <w:rsid w:val="73CB561A"/>
    <w:rsid w:val="748B06D6"/>
    <w:rsid w:val="762A388D"/>
    <w:rsid w:val="7789230E"/>
    <w:rsid w:val="779C1699"/>
    <w:rsid w:val="797F6F0E"/>
    <w:rsid w:val="79DC6ADA"/>
    <w:rsid w:val="7B0E49A9"/>
    <w:rsid w:val="7D1D18E6"/>
    <w:rsid w:val="7DC47EB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semiHidden="0" w:name="annotation text"/>
    <w:lsdException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link w:val="7"/>
    <w:uiPriority w:val="99"/>
    <w:pPr>
      <w:jc w:val="left"/>
    </w:p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customStyle="1" w:styleId="7">
    <w:name w:val="Comment Text Char"/>
    <w:basedOn w:val="5"/>
    <w:link w:val="2"/>
    <w:semiHidden/>
    <w:locked/>
    <w:uiPriority w:val="99"/>
    <w:rPr>
      <w:rFonts w:cs="Times New Roman"/>
    </w:rPr>
  </w:style>
  <w:style w:type="character" w:customStyle="1" w:styleId="8">
    <w:name w:val="Footer Char"/>
    <w:basedOn w:val="5"/>
    <w:link w:val="3"/>
    <w:qFormat/>
    <w:locked/>
    <w:uiPriority w:val="99"/>
    <w:rPr>
      <w:rFonts w:ascii="Calibri" w:hAnsi="Calibri" w:cs="Times New Roman"/>
      <w:kern w:val="2"/>
      <w:sz w:val="18"/>
      <w:szCs w:val="18"/>
    </w:rPr>
  </w:style>
  <w:style w:type="character" w:customStyle="1" w:styleId="9">
    <w:name w:val="Header Char"/>
    <w:basedOn w:val="5"/>
    <w:link w:val="4"/>
    <w:locked/>
    <w:uiPriority w:val="99"/>
    <w:rPr>
      <w:rFonts w:ascii="Calibri" w:hAnsi="Calibri" w:cs="Times New Roman"/>
      <w:kern w:val="2"/>
      <w:sz w:val="18"/>
      <w:szCs w:val="18"/>
    </w:rPr>
  </w:style>
  <w:style w:type="paragraph" w:customStyle="1" w:styleId="10">
    <w:name w:val="样式3"/>
    <w:basedOn w:val="1"/>
    <w:link w:val="11"/>
    <w:uiPriority w:val="99"/>
    <w:pPr>
      <w:jc w:val="center"/>
    </w:pPr>
    <w:rPr>
      <w:rFonts w:ascii="方正小标宋简体" w:hAnsi="方正小标宋简体" w:eastAsia="仿宋" w:cs="方正小标宋简体"/>
      <w:sz w:val="28"/>
      <w:szCs w:val="52"/>
    </w:rPr>
  </w:style>
  <w:style w:type="character" w:customStyle="1" w:styleId="11">
    <w:name w:val="样式3 Char"/>
    <w:basedOn w:val="5"/>
    <w:link w:val="10"/>
    <w:locked/>
    <w:uiPriority w:val="99"/>
    <w:rPr>
      <w:rFonts w:ascii="方正小标宋简体" w:hAnsi="方正小标宋简体" w:eastAsia="仿宋" w:cs="方正小标宋简体"/>
      <w:kern w:val="2"/>
      <w:sz w:val="52"/>
      <w:szCs w:val="52"/>
    </w:rPr>
  </w:style>
  <w:style w:type="character" w:customStyle="1" w:styleId="12">
    <w:name w:val="页脚 Char"/>
    <w:basedOn w:val="5"/>
    <w:uiPriority w:val="99"/>
    <w:rPr>
      <w:rFonts w:ascii="Calibri" w:hAnsi="Calibri"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30</Pages>
  <Words>2755</Words>
  <Characters>15706</Characters>
  <Lines>0</Lines>
  <Paragraphs>0</Paragraphs>
  <TotalTime>0</TotalTime>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2024-03-22T07:03:08Z</dcterms:modified>
  <dc:title>2017年度省级部门预算公开参考格式</dc:title>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