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新乡市卫滨区解放路街道办事处</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解放路街道办事处</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解放路街道办事处</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解放路街道办事处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highlight w:val="none"/>
          <w:lang w:eastAsia="zh-CN"/>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解放路街道办事处</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解放路街道办事处</w:t>
      </w:r>
      <w:r>
        <w:rPr>
          <w:rFonts w:hint="eastAsia" w:ascii="黑体" w:hAnsi="黑体" w:eastAsia="黑体"/>
          <w:sz w:val="32"/>
          <w:szCs w:val="32"/>
        </w:rPr>
        <w:t>主要职责</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新乡市卫滨区</w:t>
      </w:r>
      <w:r>
        <w:rPr>
          <w:rFonts w:hint="eastAsia" w:ascii="仿宋_GB2312" w:hAnsi="楷体_GB2312" w:eastAsia="仿宋_GB2312" w:cs="楷体_GB2312"/>
          <w:sz w:val="32"/>
          <w:szCs w:val="32"/>
          <w:lang w:eastAsia="zh-CN"/>
        </w:rPr>
        <w:t>解放路</w:t>
      </w:r>
      <w:r>
        <w:rPr>
          <w:rFonts w:hint="eastAsia" w:ascii="仿宋_GB2312" w:hAnsi="楷体_GB2312" w:eastAsia="仿宋_GB2312" w:cs="楷体_GB2312"/>
          <w:sz w:val="32"/>
          <w:szCs w:val="32"/>
        </w:rPr>
        <w:t>街道办事处是新乡市卫滨区人民政府的派出机构，主要任务是贯彻落实党和国家的方针政策，负责指导居民委员会建设和社区建设及辖区城市管理，发展街道经济和社会服务事业。</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（一）贯彻执行党的路线、方针、政策和国家的法律、法规，认真执行上级组织和政府的决议、决定、命令，并检查督促落实。</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三）开展社区服务、拥军优属工作，负责社区优抚、社会救济、社会福利工作，兴办社会福利及残疾人福利事业，负责社区文化、科普、卫生健康、教育体育等工作；维护老年人、妇女、未成年人和残疾人等合法权益。</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（四）按照职责权限做好城市规划、建设、改造和管理工作；按照权限承担辖区市容环境卫生、绿化美化等管理工作。</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（五）负责辖区内的社会治安治理、平安建设、人民调解、法律服务等工作，依照有关规定管理外来流动人员。</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（六）配合有关部门做好安全生产、食品安全、环境保护、劳动保障、应急、防汛、防震、抢险和防灾减灾工作。</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七）研究提出促进区域经济发展的有关措施，制定经济发展规划、为企业和个人私营经济提供服务、做好税源培植、组织管理辖区第二、三产业和公共资产管理等工作，因地制宜发展特色经济，营造良好发展环境。</w:t>
      </w:r>
    </w:p>
    <w:p>
      <w:pPr>
        <w:pStyle w:val="7"/>
        <w:keepNext w:val="0"/>
        <w:keepLines w:val="0"/>
        <w:pageBreakBefore w:val="0"/>
        <w:widowControl w:val="0"/>
        <w:kinsoku/>
        <w:wordWrap/>
        <w:overflowPunct/>
        <w:topLinePunct w:val="0"/>
        <w:autoSpaceDE/>
        <w:autoSpaceDN/>
        <w:bidi w:val="0"/>
        <w:spacing w:line="360" w:lineRule="auto"/>
        <w:ind w:firstLine="640" w:firstLineChars="200"/>
        <w:jc w:val="both"/>
        <w:textAlignment w:val="auto"/>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八）服务指导社区居民委员会建设，制定社区居民委员会服务发展规划，培育、发展社区社会组织；推动居民自治，及时处理并向区政府反映居民的意见和要求，办理人民群众的来信来访等事项；组织辖区单位、居民和志愿者队伍为社区发展服务。</w:t>
      </w:r>
    </w:p>
    <w:p>
      <w:pPr>
        <w:pStyle w:val="7"/>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r>
        <w:rPr>
          <w:rFonts w:hint="eastAsia" w:ascii="仿宋_GB2312" w:hAnsi="楷体_GB2312" w:eastAsia="仿宋_GB2312" w:cs="楷体_GB2312"/>
          <w:sz w:val="32"/>
          <w:szCs w:val="32"/>
        </w:rPr>
        <w:t>（九）完成区委、区政府交办的其他工作。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解放路街道办事处</w:t>
      </w:r>
      <w:r>
        <w:rPr>
          <w:rFonts w:hint="eastAsia" w:ascii="黑体" w:hAnsi="黑体" w:eastAsia="黑体"/>
          <w:sz w:val="32"/>
          <w:szCs w:val="32"/>
          <w:highlight w:val="none"/>
        </w:rPr>
        <w:t>构成</w:t>
      </w:r>
    </w:p>
    <w:p>
      <w:pPr>
        <w:keepNext w:val="0"/>
        <w:keepLines w:val="0"/>
        <w:pageBreakBefore w:val="0"/>
        <w:widowControl w:val="0"/>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解放路街道办事处</w:t>
      </w:r>
      <w:r>
        <w:rPr>
          <w:rFonts w:hint="default"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包括解放路街道办事处本级预算。</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解放路街道办事处设下列</w:t>
      </w:r>
      <w:r>
        <w:rPr>
          <w:rFonts w:hint="default"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个</w:t>
      </w:r>
      <w:r>
        <w:rPr>
          <w:rFonts w:hint="eastAsia" w:ascii="仿宋_GB2312" w:hAnsi="仿宋_GB2312" w:eastAsia="仿宋_GB2312" w:cs="仿宋_GB2312"/>
          <w:sz w:val="32"/>
          <w:szCs w:val="32"/>
          <w:lang w:eastAsia="zh-CN"/>
        </w:rPr>
        <w:t>内设机构：</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1.党政办公室</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2.党建工作办公室</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3.营商环境建设办公室</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4.社会事务办公室</w:t>
      </w:r>
    </w:p>
    <w:p>
      <w:pPr>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5.生态环境和规划建设办公室</w:t>
      </w:r>
    </w:p>
    <w:p>
      <w:pPr>
        <w:keepNext w:val="0"/>
        <w:keepLines w:val="0"/>
        <w:pageBreakBefore w:val="0"/>
        <w:widowControl w:val="0"/>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default" w:ascii="Times New Roman" w:hAnsi="Times New Roman" w:eastAsia="仿宋_GB2312" w:cs="Times New Roman"/>
          <w:sz w:val="32"/>
          <w:szCs w:val="32"/>
          <w:lang w:val="en-US" w:eastAsia="zh-CN"/>
        </w:rPr>
        <w:t>6</w:t>
      </w:r>
      <w:r>
        <w:rPr>
          <w:rFonts w:hint="eastAsia" w:ascii="仿宋_GB2312" w:hAnsi="仿宋_GB2312" w:eastAsia="仿宋_GB2312" w:cs="仿宋_GB2312"/>
          <w:sz w:val="32"/>
          <w:szCs w:val="32"/>
          <w:lang w:val="en-US" w:eastAsia="zh-CN"/>
        </w:rPr>
        <w:t>个，其中二级机构</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lang w:val="en-US" w:eastAsia="zh-CN"/>
        </w:rPr>
        <w:t>个，具体是</w:t>
      </w:r>
      <w:r>
        <w:rPr>
          <w:rFonts w:hint="eastAsia" w:ascii="仿宋_GB2312" w:hAnsi="仿宋_GB2312" w:eastAsia="仿宋_GB2312" w:cs="仿宋_GB2312"/>
          <w:sz w:val="32"/>
          <w:szCs w:val="32"/>
        </w:rPr>
        <w:t>：</w:t>
      </w:r>
    </w:p>
    <w:p>
      <w:pPr>
        <w:pStyle w:val="11"/>
        <w:keepNext w:val="0"/>
        <w:keepLines w:val="0"/>
        <w:pageBreakBefore w:val="0"/>
        <w:widowControl w:val="0"/>
        <w:numPr>
          <w:ilvl w:val="0"/>
          <w:numId w:val="0"/>
        </w:numPr>
        <w:kinsoku/>
        <w:wordWrap/>
        <w:overflowPunct/>
        <w:topLinePunct w:val="0"/>
        <w:autoSpaceDE/>
        <w:autoSpaceDN/>
        <w:bidi w:val="0"/>
        <w:spacing w:line="360" w:lineRule="auto"/>
        <w:ind w:left="640" w:lef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1.新乡市</w:t>
      </w:r>
      <w:r>
        <w:rPr>
          <w:rFonts w:hint="eastAsia" w:ascii="仿宋_GB2312" w:hAnsi="仿宋_GB2312" w:eastAsia="仿宋_GB2312" w:cs="仿宋_GB2312"/>
          <w:sz w:val="32"/>
          <w:szCs w:val="32"/>
        </w:rPr>
        <w:t>卫滨区解放路街道办事处</w:t>
      </w:r>
      <w:r>
        <w:rPr>
          <w:rFonts w:hint="eastAsia" w:ascii="仿宋_GB2312" w:hAnsi="仿宋_GB2312" w:eastAsia="仿宋_GB2312" w:cs="仿宋_GB2312"/>
          <w:sz w:val="32"/>
          <w:szCs w:val="32"/>
          <w:lang w:eastAsia="zh-CN"/>
        </w:rPr>
        <w:t>本级</w:t>
      </w:r>
    </w:p>
    <w:p>
      <w:pPr>
        <w:pStyle w:val="11"/>
        <w:keepNext w:val="0"/>
        <w:keepLines w:val="0"/>
        <w:pageBreakBefore w:val="0"/>
        <w:widowControl w:val="0"/>
        <w:numPr>
          <w:ilvl w:val="0"/>
          <w:numId w:val="0"/>
        </w:numPr>
        <w:kinsoku/>
        <w:wordWrap/>
        <w:overflowPunct/>
        <w:topLinePunct w:val="0"/>
        <w:autoSpaceDE/>
        <w:autoSpaceDN/>
        <w:bidi w:val="0"/>
        <w:spacing w:line="360" w:lineRule="auto"/>
        <w:ind w:left="640" w:leftChars="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2.新乡市</w:t>
      </w:r>
      <w:r>
        <w:rPr>
          <w:rFonts w:hint="eastAsia" w:ascii="仿宋_GB2312" w:hAnsi="仿宋_GB2312" w:eastAsia="仿宋_GB2312" w:cs="仿宋_GB2312"/>
          <w:sz w:val="32"/>
          <w:szCs w:val="32"/>
        </w:rPr>
        <w:t>卫滨区解放路街道便民服务中心</w:t>
      </w:r>
    </w:p>
    <w:p>
      <w:pPr>
        <w:pStyle w:val="11"/>
        <w:keepNext w:val="0"/>
        <w:keepLines w:val="0"/>
        <w:pageBreakBefore w:val="0"/>
        <w:widowControl w:val="0"/>
        <w:numPr>
          <w:ilvl w:val="0"/>
          <w:numId w:val="0"/>
        </w:numPr>
        <w:kinsoku/>
        <w:wordWrap/>
        <w:overflowPunct/>
        <w:topLinePunct w:val="0"/>
        <w:autoSpaceDE/>
        <w:autoSpaceDN/>
        <w:bidi w:val="0"/>
        <w:spacing w:line="360" w:lineRule="auto"/>
        <w:ind w:left="640" w:leftChars="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3.新乡市</w:t>
      </w:r>
      <w:r>
        <w:rPr>
          <w:rFonts w:hint="eastAsia" w:ascii="仿宋_GB2312" w:hAnsi="仿宋_GB2312" w:eastAsia="仿宋_GB2312" w:cs="仿宋_GB2312"/>
          <w:sz w:val="32"/>
          <w:szCs w:val="32"/>
        </w:rPr>
        <w:t>卫滨区解放路街道文化卫生健康服务中心</w:t>
      </w:r>
    </w:p>
    <w:p>
      <w:pPr>
        <w:pStyle w:val="11"/>
        <w:keepNext w:val="0"/>
        <w:keepLines w:val="0"/>
        <w:pageBreakBefore w:val="0"/>
        <w:widowControl w:val="0"/>
        <w:numPr>
          <w:ilvl w:val="0"/>
          <w:numId w:val="0"/>
        </w:numPr>
        <w:kinsoku/>
        <w:wordWrap/>
        <w:overflowPunct/>
        <w:topLinePunct w:val="0"/>
        <w:autoSpaceDE/>
        <w:autoSpaceDN/>
        <w:bidi w:val="0"/>
        <w:spacing w:line="360" w:lineRule="auto"/>
        <w:ind w:left="640" w:leftChars="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4.新乡市</w:t>
      </w:r>
      <w:r>
        <w:rPr>
          <w:rFonts w:hint="eastAsia" w:ascii="仿宋_GB2312" w:hAnsi="仿宋_GB2312" w:eastAsia="仿宋_GB2312" w:cs="仿宋_GB2312"/>
          <w:sz w:val="32"/>
          <w:szCs w:val="32"/>
        </w:rPr>
        <w:t>卫滨区解放路街道综合行政执法大队</w:t>
      </w:r>
    </w:p>
    <w:p>
      <w:pPr>
        <w:pStyle w:val="11"/>
        <w:keepNext w:val="0"/>
        <w:keepLines w:val="0"/>
        <w:pageBreakBefore w:val="0"/>
        <w:widowControl w:val="0"/>
        <w:numPr>
          <w:ilvl w:val="0"/>
          <w:numId w:val="0"/>
        </w:numPr>
        <w:kinsoku/>
        <w:wordWrap/>
        <w:overflowPunct/>
        <w:topLinePunct w:val="0"/>
        <w:autoSpaceDE/>
        <w:autoSpaceDN/>
        <w:bidi w:val="0"/>
        <w:spacing w:line="360" w:lineRule="auto"/>
        <w:ind w:left="640" w:leftChars="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5.新乡市</w:t>
      </w:r>
      <w:r>
        <w:rPr>
          <w:rFonts w:hint="eastAsia" w:ascii="仿宋_GB2312" w:hAnsi="仿宋_GB2312" w:eastAsia="仿宋_GB2312" w:cs="仿宋_GB2312"/>
          <w:sz w:val="32"/>
          <w:szCs w:val="32"/>
        </w:rPr>
        <w:t>卫滨区解放路街道社会治安综合治理中心</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eastAsia" w:ascii="黑体" w:hAnsi="Times New Roman" w:eastAsia="黑体" w:cs="黑体"/>
          <w:sz w:val="32"/>
          <w:szCs w:val="32"/>
        </w:rPr>
      </w:pPr>
      <w:r>
        <w:rPr>
          <w:rFonts w:hint="eastAsia" w:ascii="仿宋_GB2312" w:hAnsi="仿宋_GB2312" w:eastAsia="仿宋_GB2312" w:cs="仿宋_GB2312"/>
          <w:sz w:val="32"/>
          <w:szCs w:val="32"/>
          <w:lang w:val="en-US" w:eastAsia="zh-CN"/>
        </w:rPr>
        <w:t>6.新乡市</w:t>
      </w:r>
      <w:r>
        <w:rPr>
          <w:rFonts w:hint="eastAsia" w:ascii="仿宋_GB2312" w:hAnsi="仿宋_GB2312" w:eastAsia="仿宋_GB2312" w:cs="仿宋_GB2312"/>
          <w:sz w:val="32"/>
          <w:szCs w:val="32"/>
        </w:rPr>
        <w:t>卫滨区解放路街道退役军人服务站</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bookmarkStart w:id="0" w:name="_GoBack"/>
      <w:bookmarkEnd w:id="0"/>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解放路街道办事处</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年度预算情况说明</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1608.24</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1608.24</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1097.94</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215.16</w:t>
      </w:r>
      <w:r>
        <w:rPr>
          <w:rFonts w:hint="default" w:ascii="Times New Roman" w:hAnsi="Times New Roman" w:eastAsia="仿宋" w:cs="Times New Roman"/>
          <w:sz w:val="32"/>
          <w:szCs w:val="32"/>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老旧小区改造资金增加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Times New Roman" w:hAnsi="Times New Roman" w:eastAsia="仿宋_GB2312" w:cs="Times New Roman"/>
          <w:sz w:val="32"/>
          <w:szCs w:val="32"/>
          <w:lang w:val="en-US" w:eastAsia="zh-CN"/>
        </w:rPr>
        <w:t>1097.94</w:t>
      </w:r>
      <w:r>
        <w:rPr>
          <w:rFonts w:hint="eastAsia" w:ascii="仿宋_GB2312" w:hAnsi="仿宋_GB2312" w:eastAsia="仿宋_GB2312" w:cs="仿宋_GB2312"/>
          <w:sz w:val="32"/>
          <w:szCs w:val="32"/>
        </w:rPr>
        <w:t>万元，增长增长</w:t>
      </w:r>
      <w:r>
        <w:rPr>
          <w:rFonts w:hint="eastAsia" w:ascii="Times New Roman" w:hAnsi="Times New Roman" w:eastAsia="仿宋_GB2312" w:cs="Times New Roman"/>
          <w:sz w:val="32"/>
          <w:szCs w:val="32"/>
          <w:lang w:val="en-US" w:eastAsia="zh-CN"/>
        </w:rPr>
        <w:t>215.16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老旧小区改造资金增加</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1608.24</w:t>
      </w:r>
      <w:r>
        <w:rPr>
          <w:rFonts w:hint="eastAsia" w:ascii="仿宋_GB2312" w:hAnsi="仿宋_GB2312" w:eastAsia="仿宋_GB2312" w:cs="仿宋_GB2312"/>
          <w:sz w:val="32"/>
          <w:szCs w:val="32"/>
        </w:rPr>
        <w:t>万元，收入预算总计增加增加</w:t>
      </w:r>
      <w:r>
        <w:rPr>
          <w:rFonts w:hint="eastAsia" w:ascii="Times New Roman" w:hAnsi="Times New Roman" w:eastAsia="仿宋_GB2312" w:cs="Times New Roman"/>
          <w:sz w:val="32"/>
          <w:szCs w:val="32"/>
          <w:lang w:val="en-US" w:eastAsia="zh-CN"/>
        </w:rPr>
        <w:t>1097.94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sz w:val="32"/>
          <w:szCs w:val="32"/>
        </w:rPr>
        <w:t>增长</w:t>
      </w:r>
      <w:r>
        <w:rPr>
          <w:rFonts w:hint="eastAsia" w:ascii="Times New Roman" w:hAnsi="Times New Roman" w:eastAsia="仿宋_GB2312" w:cs="Times New Roman"/>
          <w:sz w:val="32"/>
          <w:szCs w:val="32"/>
          <w:lang w:val="en-US" w:eastAsia="zh-CN"/>
        </w:rPr>
        <w:t>215.16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老旧小区改造资金增加</w:t>
      </w:r>
      <w:r>
        <w:rPr>
          <w:rFonts w:hint="eastAsia" w:ascii="仿宋_GB2312" w:hAnsi="仿宋_GB2312" w:eastAsia="仿宋_GB2312" w:cs="仿宋_GB2312"/>
          <w:sz w:val="32"/>
          <w:szCs w:val="32"/>
        </w:rPr>
        <w:t>。其中：一般公共预算</w:t>
      </w:r>
      <w:r>
        <w:rPr>
          <w:rFonts w:hint="default" w:ascii="Times New Roman" w:hAnsi="Times New Roman" w:eastAsia="仿宋_GB2312" w:cs="Times New Roman"/>
          <w:sz w:val="32"/>
          <w:szCs w:val="32"/>
          <w:lang w:val="en-US" w:eastAsia="zh-CN"/>
        </w:rPr>
        <w:t>521.48</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702.21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364.55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1608.24</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367.98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22.88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1240.26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77.12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1223.69</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364.55</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，国有资本经营预算支出</w:t>
      </w:r>
      <w:r>
        <w:rPr>
          <w:rFonts w:hint="default" w:ascii="Times New Roman" w:hAnsi="Times New Roman" w:eastAsia="仿宋_GB2312" w:cs="Times New Roman"/>
          <w:b w:val="0"/>
          <w:bCs w:val="0"/>
          <w:sz w:val="32"/>
          <w:szCs w:val="32"/>
          <w:lang w:val="en-US" w:eastAsia="zh-CN"/>
        </w:rPr>
        <w:t>20</w:t>
      </w:r>
      <w:r>
        <w:rPr>
          <w:rFonts w:hint="eastAsia" w:ascii="仿宋_GB2312" w:hAnsi="仿宋_GB2312" w:eastAsia="仿宋_GB2312" w:cs="仿宋_GB2312"/>
          <w:b w:val="0"/>
          <w:bCs w:val="0"/>
          <w:sz w:val="32"/>
          <w:szCs w:val="32"/>
          <w:lang w:val="en-US" w:eastAsia="zh-CN"/>
        </w:rPr>
        <w:t>万元</w:t>
      </w:r>
      <w:r>
        <w:rPr>
          <w:rFonts w:hint="eastAsia" w:ascii="仿宋_GB2312" w:hAnsi="仿宋_GB2312" w:eastAsia="仿宋_GB2312" w:cs="仿宋_GB2312"/>
          <w:b w:val="0"/>
          <w:bCs w:val="0"/>
          <w:sz w:val="32"/>
          <w:szCs w:val="32"/>
        </w:rPr>
        <w:t>。与</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Times New Roman" w:hAnsi="Times New Roman" w:eastAsia="仿宋_GB2312" w:cs="Times New Roman"/>
          <w:b w:val="0"/>
          <w:bCs w:val="0"/>
          <w:sz w:val="32"/>
          <w:szCs w:val="32"/>
          <w:lang w:val="en-US" w:eastAsia="zh-CN"/>
        </w:rPr>
        <w:t>713.39</w:t>
      </w:r>
      <w:r>
        <w:rPr>
          <w:rFonts w:hint="eastAsia" w:ascii="仿宋_GB2312" w:hAnsi="仿宋_GB2312" w:eastAsia="仿宋_GB2312" w:cs="仿宋_GB2312"/>
          <w:b w:val="0"/>
          <w:bCs w:val="0"/>
          <w:sz w:val="32"/>
          <w:szCs w:val="32"/>
        </w:rPr>
        <w:t>万元，增长</w:t>
      </w:r>
      <w:r>
        <w:rPr>
          <w:rFonts w:hint="default" w:ascii="Times New Roman" w:hAnsi="Times New Roman" w:eastAsia="仿宋_GB2312" w:cs="Times New Roman"/>
          <w:b w:val="0"/>
          <w:bCs w:val="0"/>
          <w:sz w:val="32"/>
          <w:szCs w:val="32"/>
          <w:lang w:val="en-US" w:eastAsia="zh-CN"/>
        </w:rPr>
        <w:t>139.80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老旧小区资金增加</w:t>
      </w:r>
      <w:r>
        <w:rPr>
          <w:rFonts w:hint="eastAsia" w:ascii="仿宋_GB2312" w:hAnsi="仿宋_GB2312" w:eastAsia="仿宋_GB2312" w:cs="仿宋_GB2312"/>
          <w:b w:val="0"/>
          <w:bCs w:val="0"/>
          <w:sz w:val="32"/>
          <w:szCs w:val="32"/>
        </w:rPr>
        <w:t>；政府性基金收支预算增加</w:t>
      </w:r>
      <w:r>
        <w:rPr>
          <w:rFonts w:hint="default" w:ascii="Times New Roman" w:hAnsi="Times New Roman" w:eastAsia="仿宋_GB2312" w:cs="Times New Roman"/>
          <w:b w:val="0"/>
          <w:bCs w:val="0"/>
          <w:sz w:val="32"/>
          <w:szCs w:val="32"/>
          <w:lang w:val="en-US" w:eastAsia="zh-CN"/>
        </w:rPr>
        <w:t>364.55</w:t>
      </w:r>
      <w:r>
        <w:rPr>
          <w:rFonts w:hint="eastAsia" w:ascii="仿宋_GB2312" w:hAnsi="仿宋_GB2312" w:eastAsia="仿宋_GB2312" w:cs="仿宋_GB2312"/>
          <w:b w:val="0"/>
          <w:bCs w:val="0"/>
          <w:sz w:val="32"/>
          <w:szCs w:val="32"/>
        </w:rPr>
        <w:t>万元，主要是</w:t>
      </w:r>
      <w:r>
        <w:rPr>
          <w:rFonts w:hint="eastAsia" w:ascii="Times New Roman" w:hAnsi="Times New Roman" w:eastAsia="仿宋_GB2312" w:cs="Times New Roman"/>
          <w:b w:val="0"/>
          <w:bCs w:val="0"/>
          <w:sz w:val="32"/>
          <w:szCs w:val="32"/>
          <w:lang w:eastAsia="zh-CN"/>
        </w:rPr>
        <w:t>老旧小区资金增加；</w:t>
      </w:r>
      <w:r>
        <w:rPr>
          <w:rFonts w:hint="eastAsia" w:ascii="仿宋_GB2312" w:hAnsi="仿宋_GB2312" w:eastAsia="仿宋_GB2312" w:cs="仿宋_GB2312"/>
          <w:b w:val="0"/>
          <w:bCs w:val="0"/>
          <w:sz w:val="32"/>
          <w:szCs w:val="32"/>
          <w:lang w:eastAsia="zh-CN"/>
        </w:rPr>
        <w:t>国有资本经营预算增加</w:t>
      </w:r>
      <w:r>
        <w:rPr>
          <w:rFonts w:hint="default" w:ascii="Times New Roman" w:hAnsi="Times New Roman" w:eastAsia="仿宋_GB2312" w:cs="Times New Roman"/>
          <w:b w:val="0"/>
          <w:bCs w:val="0"/>
          <w:sz w:val="32"/>
          <w:szCs w:val="32"/>
          <w:lang w:val="en-US" w:eastAsia="zh-CN"/>
        </w:rPr>
        <w:t>20</w:t>
      </w:r>
      <w:r>
        <w:rPr>
          <w:rFonts w:hint="eastAsia" w:ascii="仿宋_GB2312" w:hAnsi="仿宋_GB2312" w:eastAsia="仿宋_GB2312" w:cs="仿宋_GB2312"/>
          <w:b w:val="0"/>
          <w:bCs w:val="0"/>
          <w:sz w:val="32"/>
          <w:szCs w:val="32"/>
          <w:lang w:val="en-US" w:eastAsia="zh-CN"/>
        </w:rPr>
        <w:t>万元，主要原因国有企业退休人员社会化管理补助资金增加</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yellow"/>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521.48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367.98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70.56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153.5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29.44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主要用于以下方面：一般公共服务（类）支出</w:t>
      </w:r>
      <w:r>
        <w:rPr>
          <w:rFonts w:hint="default" w:ascii="Times New Roman" w:hAnsi="Times New Roman" w:eastAsia="仿宋_GB2312" w:cs="Times New Roman"/>
          <w:sz w:val="32"/>
          <w:szCs w:val="32"/>
          <w:highlight w:val="none"/>
          <w:lang w:val="en-US" w:eastAsia="zh-CN"/>
        </w:rPr>
        <w:t>431.53</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82.75%</w:t>
      </w:r>
      <w:r>
        <w:rPr>
          <w:rFonts w:hint="eastAsia" w:ascii="仿宋_GB2312" w:hAnsi="仿宋_GB2312" w:eastAsia="仿宋_GB2312" w:cs="仿宋_GB2312"/>
          <w:sz w:val="32"/>
          <w:szCs w:val="32"/>
          <w:highlight w:val="none"/>
          <w:lang w:val="en-US" w:eastAsia="zh-CN"/>
        </w:rPr>
        <w:t>；文化体育旅游与传媒（类）支出</w:t>
      </w:r>
      <w:r>
        <w:rPr>
          <w:rFonts w:hint="default"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0.67%</w:t>
      </w:r>
      <w:r>
        <w:rPr>
          <w:rFonts w:hint="eastAsia" w:ascii="仿宋_GB2312" w:hAnsi="仿宋_GB2312" w:eastAsia="仿宋_GB2312" w:cs="仿宋_GB2312"/>
          <w:sz w:val="32"/>
          <w:szCs w:val="32"/>
          <w:highlight w:val="none"/>
          <w:lang w:val="en-US" w:eastAsia="zh-CN"/>
        </w:rPr>
        <w:t>；社会保障和就业（类）支出</w:t>
      </w:r>
      <w:r>
        <w:rPr>
          <w:rFonts w:hint="default" w:ascii="Times New Roman" w:hAnsi="Times New Roman" w:eastAsia="仿宋_GB2312" w:cs="Times New Roman"/>
          <w:sz w:val="32"/>
          <w:szCs w:val="32"/>
          <w:highlight w:val="none"/>
          <w:lang w:val="en-US" w:eastAsia="zh-CN"/>
        </w:rPr>
        <w:t>38.43</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7.37%</w:t>
      </w:r>
      <w:r>
        <w:rPr>
          <w:rFonts w:hint="eastAsia" w:ascii="仿宋_GB2312" w:hAnsi="仿宋_GB2312" w:eastAsia="仿宋_GB2312" w:cs="仿宋_GB2312"/>
          <w:sz w:val="32"/>
          <w:szCs w:val="32"/>
          <w:highlight w:val="none"/>
          <w:lang w:val="en-US" w:eastAsia="zh-CN"/>
        </w:rPr>
        <w:t>；卫生健康（类）支出</w:t>
      </w:r>
      <w:r>
        <w:rPr>
          <w:rFonts w:hint="default" w:ascii="Times New Roman" w:hAnsi="Times New Roman" w:eastAsia="仿宋_GB2312" w:cs="Times New Roman"/>
          <w:sz w:val="32"/>
          <w:szCs w:val="32"/>
          <w:highlight w:val="none"/>
          <w:lang w:val="en-US" w:eastAsia="zh-CN"/>
        </w:rPr>
        <w:t>19.08</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3.66%</w:t>
      </w:r>
      <w:r>
        <w:rPr>
          <w:rFonts w:hint="eastAsia" w:ascii="仿宋_GB2312" w:hAnsi="仿宋_GB2312" w:eastAsia="仿宋_GB2312" w:cs="仿宋_GB2312"/>
          <w:sz w:val="32"/>
          <w:szCs w:val="32"/>
          <w:highlight w:val="none"/>
          <w:lang w:val="en-US" w:eastAsia="zh-CN"/>
        </w:rPr>
        <w:t>；住房保障（类）支出</w:t>
      </w:r>
      <w:r>
        <w:rPr>
          <w:rFonts w:hint="default" w:ascii="Times New Roman" w:hAnsi="Times New Roman" w:eastAsia="仿宋_GB2312" w:cs="Times New Roman"/>
          <w:sz w:val="32"/>
          <w:szCs w:val="32"/>
          <w:highlight w:val="none"/>
          <w:lang w:val="en-US" w:eastAsia="zh-CN"/>
        </w:rPr>
        <w:t>28.94</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5.55%</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367.98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351.65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95.56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16.33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4.44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153.5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150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年无使用政府性基金预算拨款安排的支出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年初预算为</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lang w:val="en-US" w:eastAsia="zh-CN"/>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eastAsia="zh-CN"/>
        </w:rPr>
        <w:t>与</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w:t>
      </w:r>
      <w:r>
        <w:rPr>
          <w:rFonts w:hint="eastAsia" w:ascii="仿宋_GB2312" w:hAnsi="宋体" w:eastAsia="仿宋_GB2312" w:cs="Courier New"/>
          <w:sz w:val="32"/>
          <w:szCs w:val="32"/>
          <w:lang w:eastAsia="zh-CN"/>
        </w:rPr>
        <w:t>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年增加</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。公务用车运行维护费预算数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lang w:val="en-US" w:eastAsia="zh-CN"/>
        </w:rPr>
        <w:t>2023年保持一致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主要用于按规定开支的各类公务接待（含外宾接待）支出。预算数预算数</w:t>
      </w:r>
      <w:r>
        <w:rPr>
          <w:rFonts w:hint="eastAsia" w:ascii="仿宋_GB2312" w:hAnsi="宋体" w:eastAsia="仿宋_GB2312" w:cs="Courier New"/>
          <w:sz w:val="32"/>
          <w:szCs w:val="32"/>
          <w:lang w:eastAsia="zh-CN"/>
        </w:rPr>
        <w:t>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color w:val="auto"/>
          <w:sz w:val="32"/>
          <w:szCs w:val="32"/>
          <w:highlight w:val="none"/>
          <w:lang w:eastAsia="zh-CN"/>
        </w:rPr>
        <w:t>解放路街道办事处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16.33</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仿宋_GB2312" w:cs="仿宋_GB2312"/>
          <w:b/>
          <w:kern w:val="0"/>
          <w:sz w:val="32"/>
          <w:szCs w:val="32"/>
          <w:lang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15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其中：政府采购货物预算</w:t>
      </w:r>
      <w:r>
        <w:rPr>
          <w:rFonts w:hint="eastAsia" w:ascii="Times New Roman" w:hAnsi="Times New Roman" w:eastAsia="黑体" w:cs="Times New Roman"/>
          <w:sz w:val="32"/>
          <w:szCs w:val="32"/>
          <w:lang w:val="en-US" w:eastAsia="zh-CN"/>
        </w:rPr>
        <w:t>15</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w:t>
      </w:r>
      <w:r>
        <w:rPr>
          <w:rFonts w:hint="eastAsia" w:ascii="仿宋_GB2312" w:eastAsia="仿宋_GB2312"/>
          <w:sz w:val="32"/>
          <w:szCs w:val="32"/>
          <w:lang w:eastAsia="zh-CN"/>
        </w:rPr>
        <w:t>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lang w:val="en-US" w:eastAsia="zh-CN"/>
        </w:rPr>
        <w:t>我单位2024年未开展重点项目预算的绩效目标。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10</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195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1240.26</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90.91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8.26</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90.91</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固定资产购置</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解放路街道办事处</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8</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8</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eastAsia="zh-CN"/>
        </w:rPr>
        <w:t>电动三轮高压清洗车</w:t>
      </w:r>
      <w:r>
        <w:rPr>
          <w:rFonts w:hint="default"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lang w:val="en-US" w:eastAsia="zh-CN"/>
        </w:rPr>
        <w:t>辆，高压喷雾降尘清洗车</w:t>
      </w:r>
      <w:r>
        <w:rPr>
          <w:rFonts w:hint="default"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lang w:val="en-US" w:eastAsia="zh-CN"/>
        </w:rPr>
        <w:t>辆，电动巡逻车</w:t>
      </w:r>
      <w:r>
        <w:rPr>
          <w:rFonts w:hint="default"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lang w:val="en-US" w:eastAsia="zh-CN"/>
        </w:rPr>
        <w:t>辆，电动三轮车4辆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eastAsia="仿宋_GB2312"/>
          <w:color w:val="auto"/>
          <w:sz w:val="32"/>
          <w:szCs w:val="32"/>
          <w:highlight w:val="none"/>
          <w:lang w:eastAsia="zh-CN"/>
        </w:rPr>
        <w:t>解放路街道办事处</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eastAsia="仿宋_GB2312"/>
          <w:color w:val="auto"/>
          <w:sz w:val="32"/>
          <w:szCs w:val="32"/>
          <w:highlight w:val="none"/>
          <w:lang w:eastAsia="zh-CN"/>
        </w:rPr>
        <w:t>我单位按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eastAsia="仿宋_GB2312"/>
          <w:color w:val="auto"/>
          <w:sz w:val="32"/>
          <w:szCs w:val="32"/>
          <w:highlight w:val="none"/>
          <w:lang w:eastAsia="zh-CN"/>
        </w:rPr>
        <w:t>解放路街道办事处</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无</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解放路街道办事处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新乡市卫滨区解放路街道办事处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431.53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color w:val="000000"/>
                <w:kern w:val="0"/>
                <w:sz w:val="18"/>
                <w:szCs w:val="18"/>
                <w:u w:val="none"/>
                <w:lang w:val="en-US" w:eastAsia="zh-CN" w:bidi="ar"/>
              </w:rPr>
              <w:t>517.98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731.15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1,086.76</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991"/>
        <w:gridCol w:w="775"/>
        <w:gridCol w:w="850"/>
        <w:gridCol w:w="784"/>
        <w:gridCol w:w="580"/>
        <w:gridCol w:w="580"/>
        <w:gridCol w:w="580"/>
        <w:gridCol w:w="580"/>
        <w:gridCol w:w="580"/>
        <w:gridCol w:w="453"/>
        <w:gridCol w:w="638"/>
        <w:gridCol w:w="425"/>
        <w:gridCol w:w="937"/>
        <w:gridCol w:w="838"/>
        <w:gridCol w:w="762"/>
        <w:gridCol w:w="700"/>
        <w:gridCol w:w="650"/>
        <w:gridCol w:w="477"/>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新乡市卫滨区解放路街道办事处</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6825"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364"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63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45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6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4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9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3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76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6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47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78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6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7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7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78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517.98</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5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2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9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1,086.76</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76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7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246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991"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77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85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78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517.98</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53"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8"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25"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937"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1,086.76</w:t>
            </w:r>
          </w:p>
        </w:tc>
        <w:tc>
          <w:tcPr>
            <w:tcW w:w="83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762"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7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5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7"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405001</w:t>
            </w: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新乡市卫滨区解放路街道办事处本级</w:t>
            </w: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7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517.98</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6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新乡市卫滨区解放路街道办事处</w:t>
            </w: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7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1,086.76</w:t>
            </w:r>
          </w:p>
        </w:tc>
        <w:tc>
          <w:tcPr>
            <w:tcW w:w="8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7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4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新乡市卫滨区解放路街道办事处</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339.23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1,090.26</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339.23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1,090.26</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281.53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281.53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其他政府办公厅（室）及相关机构事务支出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其他文化和旅游支出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其他国有土地使用权出让收入安排的支出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740"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老旧小区改造</w:t>
            </w:r>
          </w:p>
        </w:tc>
        <w:tc>
          <w:tcPr>
            <w:tcW w:w="992"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1033"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1134" w:type="dxa"/>
            <w:gridSpan w:val="2"/>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国有企业退休人员社会化管理补助支出</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r>
      <w:tr>
        <w:tblPrEx>
          <w:tblLayout w:type="fixed"/>
          <w:tblCellMar>
            <w:top w:w="0" w:type="dxa"/>
            <w:left w:w="108" w:type="dxa"/>
            <w:bottom w:w="0" w:type="dxa"/>
            <w:right w:w="108" w:type="dxa"/>
          </w:tblCellMar>
        </w:tblPrEx>
        <w:trPr>
          <w:trHeight w:val="90"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339.23</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4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1,090.26</w:t>
            </w:r>
          </w:p>
        </w:tc>
      </w:tr>
    </w:tbl>
    <w:p>
      <w:pPr>
        <w:tabs>
          <w:tab w:val="left" w:pos="3922"/>
        </w:tabs>
        <w:bidi w:val="0"/>
        <w:jc w:val="left"/>
        <w:rPr>
          <w:lang w:val="en-US" w:eastAsia="zh-CN"/>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994"/>
        <w:gridCol w:w="2486"/>
        <w:gridCol w:w="1085"/>
        <w:gridCol w:w="1147"/>
        <w:gridCol w:w="1009"/>
        <w:gridCol w:w="848"/>
        <w:gridCol w:w="810"/>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val="en-US" w:eastAsia="zh-CN"/>
              </w:rPr>
              <w:t xml:space="preserve"> 新乡市卫滨区解放路街道办事处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3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385"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99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48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84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8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94"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48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848"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1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521.48</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1,608.24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1,223.69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1,014.98</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521.48</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431.53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431.53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431.53</w:t>
            </w: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517.98</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9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9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1,086.76</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702.21</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3.50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3.50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38.43</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38.43</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38.43</w:t>
            </w: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19.08</w:t>
            </w: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731.15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731.15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525.94</w:t>
            </w: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99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2"/>
                <w:sz w:val="18"/>
                <w:szCs w:val="18"/>
                <w:u w:val="none"/>
                <w:lang w:val="en-US" w:eastAsia="zh-CN" w:bidi="ar-SA"/>
              </w:rPr>
            </w:pPr>
            <w:r>
              <w:rPr>
                <w:rFonts w:ascii="宋体" w:hAnsi="宋体" w:eastAsia="宋体" w:cs="宋体"/>
                <w:i w:val="0"/>
                <w:color w:val="000000"/>
                <w:kern w:val="0"/>
                <w:sz w:val="15"/>
                <w:szCs w:val="15"/>
                <w:u w:val="none"/>
                <w:lang w:val="en-US" w:eastAsia="zh-CN" w:bidi="ar"/>
              </w:rPr>
              <w:t>1,608.24</w:t>
            </w:r>
          </w:p>
        </w:tc>
        <w:tc>
          <w:tcPr>
            <w:tcW w:w="24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1,608.24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1,223.69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1,014.98</w:t>
            </w:r>
          </w:p>
        </w:tc>
        <w:tc>
          <w:tcPr>
            <w:tcW w:w="84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8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新乡市卫滨区解放路街道办事处</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339.23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521.48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339.23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281.53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281.53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252.78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其他政府办公厅（室）及相关机构事务支出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其他文化和旅游支出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2" w:type="dxa"/>
        <w:tblInd w:w="91" w:type="dxa"/>
        <w:tblLayout w:type="fixed"/>
        <w:tblCellMar>
          <w:top w:w="0" w:type="dxa"/>
          <w:left w:w="108" w:type="dxa"/>
          <w:bottom w:w="0" w:type="dxa"/>
          <w:right w:w="108" w:type="dxa"/>
        </w:tblCellMar>
      </w:tblPr>
      <w:tblGrid>
        <w:gridCol w:w="2"/>
        <w:gridCol w:w="500"/>
        <w:gridCol w:w="500"/>
        <w:gridCol w:w="114"/>
        <w:gridCol w:w="585"/>
        <w:gridCol w:w="2119"/>
        <w:gridCol w:w="525"/>
        <w:gridCol w:w="49"/>
        <w:gridCol w:w="431"/>
        <w:gridCol w:w="987"/>
        <w:gridCol w:w="738"/>
        <w:gridCol w:w="964"/>
        <w:gridCol w:w="708"/>
        <w:gridCol w:w="104"/>
        <w:gridCol w:w="963"/>
        <w:gridCol w:w="246"/>
        <w:gridCol w:w="379"/>
        <w:gridCol w:w="434"/>
        <w:gridCol w:w="353"/>
        <w:gridCol w:w="855"/>
        <w:gridCol w:w="233"/>
        <w:gridCol w:w="402"/>
        <w:gridCol w:w="448"/>
        <w:gridCol w:w="662"/>
        <w:gridCol w:w="613"/>
        <w:gridCol w:w="403"/>
        <w:gridCol w:w="213"/>
        <w:gridCol w:w="720"/>
        <w:gridCol w:w="672"/>
      </w:tblGrid>
      <w:tr>
        <w:tblPrEx>
          <w:tblLayout w:type="fixed"/>
          <w:tblCellMar>
            <w:top w:w="0" w:type="dxa"/>
            <w:left w:w="108" w:type="dxa"/>
            <w:bottom w:w="0" w:type="dxa"/>
            <w:right w:w="108" w:type="dxa"/>
          </w:tblCellMar>
        </w:tblPrEx>
        <w:trPr>
          <w:gridAfter w:val="3"/>
          <w:wAfter w:w="1605" w:type="dxa"/>
          <w:trHeight w:val="285" w:hRule="atLeast"/>
        </w:trPr>
        <w:tc>
          <w:tcPr>
            <w:tcW w:w="14317" w:type="dxa"/>
            <w:gridSpan w:val="2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After w:val="3"/>
          <w:wAfter w:w="1605" w:type="dxa"/>
          <w:trHeight w:val="570" w:hRule="atLeast"/>
        </w:trPr>
        <w:tc>
          <w:tcPr>
            <w:tcW w:w="14317" w:type="dxa"/>
            <w:gridSpan w:val="2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After w:val="3"/>
          <w:wAfter w:w="1605" w:type="dxa"/>
          <w:trHeight w:val="285" w:hRule="atLeast"/>
        </w:trPr>
        <w:tc>
          <w:tcPr>
            <w:tcW w:w="1116"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新乡市卫滨区解放路街道办事处</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After w:val="3"/>
          <w:wAfter w:w="1605" w:type="dxa"/>
          <w:trHeight w:val="285" w:hRule="atLeast"/>
        </w:trPr>
        <w:tc>
          <w:tcPr>
            <w:tcW w:w="439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After w:val="3"/>
          <w:wAfter w:w="1605" w:type="dxa"/>
          <w:trHeight w:val="285"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351.65</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16.33</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61.89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61.89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12.76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145.26</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145.26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32.87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32.87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2.46</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30206</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电费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30205</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0.50</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0.39</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3.14</w:t>
            </w: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38.43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After w:val="3"/>
          <w:wAfter w:w="1605" w:type="dxa"/>
          <w:trHeight w:val="397" w:hRule="atLeast"/>
        </w:trPr>
        <w:tc>
          <w:tcPr>
            <w:tcW w:w="1701" w:type="dxa"/>
            <w:gridSpan w:val="5"/>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69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28.94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1"/>
          <w:wBefore w:w="2" w:type="dxa"/>
          <w:trHeight w:val="395" w:hRule="atLeast"/>
        </w:trPr>
        <w:tc>
          <w:tcPr>
            <w:tcW w:w="15920" w:type="dxa"/>
            <w:gridSpan w:val="28"/>
            <w:tcBorders>
              <w:top w:val="nil"/>
              <w:left w:val="nil"/>
              <w:bottom w:val="nil"/>
              <w:right w:val="nil"/>
            </w:tcBorders>
            <w:shd w:val="clear" w:color="auto" w:fill="auto"/>
            <w:tcMar>
              <w:top w:w="0" w:type="dxa"/>
              <w:left w:w="108" w:type="dxa"/>
              <w:bottom w:w="0" w:type="dxa"/>
              <w:right w:w="108" w:type="dxa"/>
            </w:tcMar>
            <w:vAlign w:val="center"/>
          </w:tcPr>
          <w:p>
            <w:pPr>
              <w:widowControl/>
              <w:jc w:val="both"/>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gridBefore w:val="1"/>
          <w:wBefore w:w="2" w:type="dxa"/>
          <w:trHeight w:val="524" w:hRule="atLeast"/>
        </w:trPr>
        <w:tc>
          <w:tcPr>
            <w:tcW w:w="15920" w:type="dxa"/>
            <w:gridSpan w:val="28"/>
            <w:tcBorders>
              <w:top w:val="nil"/>
              <w:left w:val="nil"/>
              <w:bottom w:val="nil"/>
              <w:right w:val="nil"/>
            </w:tcBorders>
            <w:shd w:val="clear" w:color="auto" w:fill="auto"/>
            <w:tcMar>
              <w:top w:w="0" w:type="dxa"/>
              <w:left w:w="108" w:type="dxa"/>
              <w:bottom w:w="0" w:type="dxa"/>
              <w:right w:w="108" w:type="dxa"/>
            </w:tcMar>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gridBefore w:val="1"/>
          <w:wBefore w:w="2" w:type="dxa"/>
          <w:trHeight w:val="325" w:hRule="atLeast"/>
        </w:trPr>
        <w:tc>
          <w:tcPr>
            <w:tcW w:w="3818" w:type="dxa"/>
            <w:gridSpan w:val="5"/>
            <w:tcBorders>
              <w:top w:val="nil"/>
              <w:left w:val="nil"/>
              <w:bottom w:val="nil"/>
              <w:right w:val="nil"/>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kern w:val="0"/>
                <w:sz w:val="15"/>
                <w:szCs w:val="15"/>
                <w:highlight w:val="none"/>
                <w:lang w:eastAsia="zh-CN"/>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新乡市卫滨区解放路街道办事处</w:t>
            </w:r>
          </w:p>
        </w:tc>
        <w:tc>
          <w:tcPr>
            <w:tcW w:w="5715" w:type="dxa"/>
            <w:gridSpan w:val="10"/>
            <w:tcBorders>
              <w:top w:val="nil"/>
              <w:left w:val="nil"/>
              <w:bottom w:val="nil"/>
              <w:right w:val="nil"/>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gridBefore w:val="1"/>
          <w:wBefore w:w="2" w:type="dxa"/>
          <w:trHeight w:val="170"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75" w:type="dxa"/>
            <w:gridSpan w:val="3"/>
            <w:tcBorders>
              <w:top w:val="single" w:color="000000" w:sz="4" w:space="0"/>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7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10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8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6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gridBefore w:val="1"/>
          <w:wBefore w:w="2" w:type="dxa"/>
          <w:trHeight w:val="170" w:hRule="atLeas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96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25" w:type="dxa"/>
            <w:gridSpan w:val="2"/>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7" w:type="dxa"/>
            <w:gridSpan w:val="2"/>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088" w:type="dxa"/>
            <w:gridSpan w:val="2"/>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0" w:type="dxa"/>
            <w:gridSpan w:val="2"/>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6" w:type="dxa"/>
            <w:gridSpan w:val="2"/>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1,608.24</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521.48</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517.98</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1,086.76</w:t>
            </w: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405</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1,608.24</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521.48</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517.98</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1,086.76</w:t>
            </w: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工资福利支出</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61.89</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61.89</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61.89</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12.76</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12.76</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12.76</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509</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离退休费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12.42</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12.42</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12.42</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145.26</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145.26</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145.26</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32.87</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32.87</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32.87</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12.46</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12.46</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12.46</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06</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电费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6.00</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6.00</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6.00</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水费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0.50</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0.50</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0.50</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其他商品和服务支出</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1,157.60</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70.84</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67.34</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1,086.76</w:t>
            </w: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6.14</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6.14</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6.14</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印刷费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10.00</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10.00</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10.00</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26</w:t>
            </w:r>
          </w:p>
        </w:tc>
        <w:tc>
          <w:tcPr>
            <w:tcW w:w="2818" w:type="dxa"/>
            <w:gridSpan w:val="3"/>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劳务费</w:t>
            </w:r>
          </w:p>
        </w:tc>
        <w:tc>
          <w:tcPr>
            <w:tcW w:w="52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17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委托业务费</w:t>
            </w:r>
          </w:p>
        </w:tc>
        <w:tc>
          <w:tcPr>
            <w:tcW w:w="96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812"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96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50.00</w:t>
            </w:r>
          </w:p>
        </w:tc>
        <w:tc>
          <w:tcPr>
            <w:tcW w:w="625"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nil"/>
              <w:left w:val="single" w:color="000000" w:sz="4" w:space="0"/>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309</w:t>
            </w:r>
          </w:p>
        </w:tc>
        <w:tc>
          <w:tcPr>
            <w:tcW w:w="500"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办公设备购置</w:t>
            </w:r>
          </w:p>
        </w:tc>
        <w:tc>
          <w:tcPr>
            <w:tcW w:w="525"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504</w:t>
            </w:r>
          </w:p>
        </w:tc>
        <w:tc>
          <w:tcPr>
            <w:tcW w:w="480"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04</w:t>
            </w:r>
          </w:p>
        </w:tc>
        <w:tc>
          <w:tcPr>
            <w:tcW w:w="1725"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设备购置</w:t>
            </w:r>
          </w:p>
        </w:tc>
        <w:tc>
          <w:tcPr>
            <w:tcW w:w="964"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w:t>
            </w:r>
          </w:p>
        </w:tc>
        <w:tc>
          <w:tcPr>
            <w:tcW w:w="812"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w:t>
            </w:r>
          </w:p>
        </w:tc>
        <w:tc>
          <w:tcPr>
            <w:tcW w:w="963"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5.00</w:t>
            </w:r>
          </w:p>
        </w:tc>
        <w:tc>
          <w:tcPr>
            <w:tcW w:w="625"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62"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3"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16" w:type="dxa"/>
            <w:gridSpan w:val="2"/>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auto"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07</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邮电费</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96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9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6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6"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08</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96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38.43</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38.43</w:t>
            </w:r>
          </w:p>
        </w:tc>
        <w:tc>
          <w:tcPr>
            <w:tcW w:w="9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38.43</w:t>
            </w:r>
          </w:p>
        </w:tc>
        <w:tc>
          <w:tcPr>
            <w:tcW w:w="6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6"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96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19.08</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19.08</w:t>
            </w:r>
          </w:p>
        </w:tc>
        <w:tc>
          <w:tcPr>
            <w:tcW w:w="9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19.08</w:t>
            </w:r>
          </w:p>
        </w:tc>
        <w:tc>
          <w:tcPr>
            <w:tcW w:w="6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6"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gridBefore w:val="1"/>
          <w:wBefore w:w="2" w:type="dxa"/>
          <w:trHeight w:val="283" w:hRule="exact"/>
        </w:trPr>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w:t>
            </w:r>
          </w:p>
        </w:tc>
        <w:tc>
          <w:tcPr>
            <w:tcW w:w="2818"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ascii="宋体" w:hAnsi="宋体" w:eastAsia="宋体" w:cs="宋体"/>
                <w:i w:val="0"/>
                <w:color w:val="000000"/>
                <w:kern w:val="2"/>
                <w:sz w:val="18"/>
                <w:szCs w:val="18"/>
                <w:u w:val="none"/>
                <w:lang w:val="en-US" w:eastAsia="zh-CN" w:bidi="ar-SA"/>
              </w:rPr>
            </w:pPr>
            <w:r>
              <w:rPr>
                <w:rFonts w:ascii="宋体" w:hAnsi="宋体" w:eastAsia="宋体" w:cs="宋体"/>
                <w:i w:val="0"/>
                <w:color w:val="000000"/>
                <w:kern w:val="0"/>
                <w:sz w:val="18"/>
                <w:szCs w:val="18"/>
                <w:u w:val="none"/>
                <w:lang w:val="en-US" w:eastAsia="zh-CN" w:bidi="ar"/>
              </w:rPr>
              <w:t>住房公积金</w:t>
            </w:r>
          </w:p>
        </w:tc>
        <w:tc>
          <w:tcPr>
            <w:tcW w:w="52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17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住房公积金</w:t>
            </w:r>
          </w:p>
        </w:tc>
        <w:tc>
          <w:tcPr>
            <w:tcW w:w="96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28.94</w:t>
            </w:r>
          </w:p>
        </w:tc>
        <w:tc>
          <w:tcPr>
            <w:tcW w:w="812"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28.94</w:t>
            </w:r>
          </w:p>
        </w:tc>
        <w:tc>
          <w:tcPr>
            <w:tcW w:w="9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28.94</w:t>
            </w:r>
          </w:p>
        </w:tc>
        <w:tc>
          <w:tcPr>
            <w:tcW w:w="625"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787"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1088"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jc w:val="right"/>
              <w:rPr>
                <w:rFonts w:hint="eastAsia" w:ascii="宋体" w:hAnsi="宋体" w:cs="宋体"/>
                <w:kern w:val="0"/>
                <w:sz w:val="15"/>
                <w:szCs w:val="15"/>
                <w:highlight w:val="none"/>
              </w:rPr>
            </w:pP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6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16" w:type="dxa"/>
            <w:gridSpan w:val="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新乡市卫滨区解放路街道办事处</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宋体" w:hAnsi="宋体" w:eastAsia="宋体" w:cs="宋体"/>
          <w:sz w:val="18"/>
          <w:szCs w:val="18"/>
          <w:lang w:val="en-US" w:eastAsia="zh-CN"/>
        </w:rPr>
      </w:pPr>
      <w:r>
        <w:rPr>
          <w:rFonts w:hint="eastAsia" w:ascii="黑体" w:hAnsi="Times New Roman" w:eastAsia="黑体" w:cs="黑体"/>
          <w:sz w:val="32"/>
          <w:szCs w:val="32"/>
          <w:highlight w:val="none"/>
          <w:lang w:val="en-US" w:eastAsia="zh-CN"/>
        </w:rPr>
        <w:t xml:space="preserve">      </w:t>
      </w:r>
      <w:r>
        <w:rPr>
          <w:rFonts w:hint="eastAsia" w:ascii="宋体" w:hAnsi="宋体" w:eastAsia="宋体" w:cs="宋体"/>
          <w:sz w:val="18"/>
          <w:szCs w:val="18"/>
          <w:lang w:val="en-US" w:eastAsia="zh-CN"/>
        </w:rPr>
        <w:t>注：我单位没有三公经费收入，也没有三公经费安排支出，故此表无数据。</w:t>
      </w:r>
    </w:p>
    <w:p>
      <w:pPr>
        <w:kinsoku w:val="0"/>
        <w:overflowPunct w:val="0"/>
        <w:adjustRightInd w:val="0"/>
        <w:snapToGrid w:val="0"/>
        <w:spacing w:line="560" w:lineRule="exact"/>
        <w:rPr>
          <w:rFonts w:hint="default" w:ascii="黑体" w:hAnsi="Times New Roman" w:eastAsia="黑体" w:cs="黑体"/>
          <w:sz w:val="32"/>
          <w:szCs w:val="32"/>
          <w:highlight w:val="none"/>
          <w:lang w:val="en-US" w:eastAsia="zh-CN"/>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hint="eastAsia" w:ascii="宋体" w:hAnsi="宋体" w:eastAsia="宋体" w:cs="宋体"/>
                <w:color w:val="000000"/>
                <w:sz w:val="18"/>
                <w:szCs w:val="18"/>
                <w:highlight w:val="none"/>
                <w:lang w:eastAsia="zh-CN"/>
              </w:rPr>
            </w:pPr>
            <w:r>
              <w:rPr>
                <w:rFonts w:hint="eastAsia" w:ascii="宋体" w:hAnsi="宋体" w:cs="宋体"/>
                <w:color w:val="000000"/>
                <w:sz w:val="18"/>
                <w:szCs w:val="18"/>
                <w:highlight w:val="none"/>
                <w:lang w:eastAsia="zh-CN"/>
              </w:rPr>
              <w:t>新乡市卫滨区解放路街道办事处</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r>
              <w:rPr>
                <w:rFonts w:hint="eastAsia" w:ascii="宋体" w:hAnsi="宋体" w:eastAsia="宋体" w:cs="宋体"/>
                <w:i w:val="0"/>
                <w:color w:val="000000"/>
                <w:sz w:val="18"/>
                <w:szCs w:val="18"/>
                <w:u w:val="none"/>
                <w:lang w:val="en-US" w:eastAsia="zh-CN"/>
              </w:rPr>
              <w:t>405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r>
              <w:rPr>
                <w:rFonts w:ascii="宋体" w:hAnsi="宋体" w:eastAsia="宋体" w:cs="宋体"/>
                <w:i w:val="0"/>
                <w:color w:val="000000"/>
                <w:kern w:val="0"/>
                <w:sz w:val="18"/>
                <w:szCs w:val="18"/>
                <w:u w:val="none"/>
                <w:lang w:val="en-US" w:eastAsia="zh-CN" w:bidi="ar"/>
              </w:rPr>
              <w:t>新乡市卫滨区解放路街道办事处</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firstLine="180" w:firstLineChars="100"/>
        <w:jc w:val="left"/>
        <w:rPr>
          <w:rFonts w:ascii="仿宋_GB2312" w:eastAsia="仿宋_GB2312"/>
          <w:sz w:val="32"/>
          <w:szCs w:val="32"/>
          <w:highlight w:val="none"/>
        </w:rPr>
      </w:pPr>
      <w:r>
        <w:rPr>
          <w:rFonts w:hint="eastAsia" w:ascii="宋体" w:hAnsi="宋体" w:eastAsia="宋体" w:cs="宋体"/>
          <w:i w:val="0"/>
          <w:color w:val="000000"/>
          <w:sz w:val="18"/>
          <w:szCs w:val="18"/>
          <w:u w:val="none"/>
          <w:lang w:eastAsia="zh-CN"/>
        </w:rPr>
        <w:t>注：</w:t>
      </w:r>
      <w:r>
        <w:rPr>
          <w:rFonts w:hint="eastAsia" w:ascii="宋体" w:hAnsi="宋体" w:eastAsia="宋体" w:cs="宋体"/>
          <w:sz w:val="18"/>
          <w:szCs w:val="18"/>
          <w:lang w:val="en-US" w:eastAsia="zh-CN"/>
        </w:rPr>
        <w:t>我单位没有政府性基金收入，也没有政府性基金安排支出，故此表无数据。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15"/>
          <w:szCs w:val="15"/>
          <w:highlight w:val="none"/>
        </w:rPr>
      </w:pPr>
    </w:p>
    <w:p>
      <w:pPr>
        <w:kinsoku w:val="0"/>
        <w:overflowPunct w:val="0"/>
        <w:adjustRightInd w:val="0"/>
        <w:snapToGrid w:val="0"/>
        <w:spacing w:line="560" w:lineRule="exact"/>
        <w:rPr>
          <w:rFonts w:ascii="黑体" w:hAnsi="Times New Roman" w:eastAsia="黑体" w:cs="黑体"/>
          <w:sz w:val="15"/>
          <w:szCs w:val="15"/>
          <w:highlight w:val="none"/>
        </w:rPr>
      </w:pPr>
    </w:p>
    <w:tbl>
      <w:tblPr>
        <w:tblStyle w:val="6"/>
        <w:tblpPr w:leftFromText="180" w:rightFromText="180" w:vertAnchor="text" w:horzAnchor="page" w:tblpX="1597" w:tblpY="166"/>
        <w:tblOverlap w:val="never"/>
        <w:tblW w:w="14097" w:type="dxa"/>
        <w:tblInd w:w="0" w:type="dxa"/>
        <w:tblLayout w:type="fixed"/>
        <w:tblCellMar>
          <w:top w:w="0" w:type="dxa"/>
          <w:left w:w="108" w:type="dxa"/>
          <w:bottom w:w="0" w:type="dxa"/>
          <w:right w:w="108" w:type="dxa"/>
        </w:tblCellMar>
      </w:tblPr>
      <w:tblGrid>
        <w:gridCol w:w="1155"/>
        <w:gridCol w:w="2932"/>
        <w:gridCol w:w="2356"/>
        <w:gridCol w:w="1062"/>
        <w:gridCol w:w="824"/>
        <w:gridCol w:w="824"/>
        <w:gridCol w:w="824"/>
        <w:gridCol w:w="824"/>
        <w:gridCol w:w="824"/>
        <w:gridCol w:w="824"/>
        <w:gridCol w:w="824"/>
        <w:gridCol w:w="82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487"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461" w:hRule="atLeast"/>
        </w:trPr>
        <w:tc>
          <w:tcPr>
            <w:tcW w:w="14097" w:type="dxa"/>
            <w:gridSpan w:val="12"/>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新乡市卫滨区解放路街道办事处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2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2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47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247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9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35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6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82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70" w:hRule="exact"/>
        </w:trPr>
        <w:tc>
          <w:tcPr>
            <w:tcW w:w="115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5"/>
                <w:szCs w:val="15"/>
                <w:highlight w:val="none"/>
              </w:rPr>
            </w:pPr>
          </w:p>
        </w:tc>
        <w:tc>
          <w:tcPr>
            <w:tcW w:w="29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p>
        </w:tc>
        <w:tc>
          <w:tcPr>
            <w:tcW w:w="23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p>
        </w:tc>
        <w:tc>
          <w:tcPr>
            <w:tcW w:w="106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153.50</w:t>
            </w: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67" w:hRule="atLeast"/>
        </w:trPr>
        <w:tc>
          <w:tcPr>
            <w:tcW w:w="115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5"/>
                <w:szCs w:val="15"/>
                <w:highlight w:val="none"/>
              </w:rPr>
            </w:pPr>
          </w:p>
        </w:tc>
        <w:tc>
          <w:tcPr>
            <w:tcW w:w="29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color w:val="000000"/>
                <w:kern w:val="0"/>
                <w:sz w:val="15"/>
                <w:szCs w:val="15"/>
                <w:u w:val="none"/>
                <w:lang w:val="en-US" w:eastAsia="zh-CN" w:bidi="ar"/>
              </w:rPr>
            </w:pPr>
            <w:r>
              <w:rPr>
                <w:rFonts w:ascii="宋体" w:hAnsi="宋体" w:eastAsia="宋体" w:cs="宋体"/>
                <w:i w:val="0"/>
                <w:color w:val="000000"/>
                <w:kern w:val="0"/>
                <w:sz w:val="15"/>
                <w:szCs w:val="15"/>
                <w:u w:val="none"/>
                <w:lang w:val="en-US" w:eastAsia="zh-CN" w:bidi="ar"/>
              </w:rPr>
              <w:t>405</w:t>
            </w:r>
          </w:p>
        </w:tc>
        <w:tc>
          <w:tcPr>
            <w:tcW w:w="23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color w:val="000000"/>
                <w:kern w:val="0"/>
                <w:sz w:val="15"/>
                <w:szCs w:val="15"/>
                <w:u w:val="none"/>
                <w:lang w:val="en-US" w:eastAsia="zh-CN" w:bidi="ar"/>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153.50</w:t>
            </w:r>
          </w:p>
        </w:tc>
        <w:tc>
          <w:tcPr>
            <w:tcW w:w="82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702.21</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82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其他运转类</w:t>
            </w:r>
          </w:p>
        </w:tc>
        <w:tc>
          <w:tcPr>
            <w:tcW w:w="29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改善办公条件及日常运转经费（2024）</w:t>
            </w:r>
          </w:p>
        </w:tc>
        <w:tc>
          <w:tcPr>
            <w:tcW w:w="23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100.00</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100.00</w:t>
            </w: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其他运转类</w:t>
            </w:r>
          </w:p>
        </w:tc>
        <w:tc>
          <w:tcPr>
            <w:tcW w:w="29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劳务费（2024）</w:t>
            </w:r>
          </w:p>
        </w:tc>
        <w:tc>
          <w:tcPr>
            <w:tcW w:w="23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82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50.00</w:t>
            </w: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新财预【2023】381号关于提前下达2024年公共图书馆、美术馆、文化馆（站）免费开放补助资金预算的通知</w:t>
            </w:r>
          </w:p>
        </w:tc>
        <w:tc>
          <w:tcPr>
            <w:tcW w:w="2356"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2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3.50</w:t>
            </w: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新财预2023.174老旧小区改造</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364.55</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新财预2023.222老旧小区改造</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57.00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57.00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新财预2023.34老旧小区改造</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205.21</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205.21</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新财预2023.180老旧小区改造</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440.00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440.00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特定目标类</w:t>
            </w:r>
          </w:p>
        </w:tc>
        <w:tc>
          <w:tcPr>
            <w:tcW w:w="2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提前下达2023年国有企业退休人员社会化管理补助资金</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新乡市卫滨区解放路街道办事处</w:t>
            </w: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20.00</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pPr w:leftFromText="180" w:rightFromText="180" w:vertAnchor="text" w:horzAnchor="page" w:tblpX="882" w:tblpY="14"/>
        <w:tblOverlap w:val="never"/>
        <w:tblW w:w="9960" w:type="dxa"/>
        <w:tblInd w:w="0" w:type="dxa"/>
        <w:tblLayout w:type="fixed"/>
        <w:tblCellMar>
          <w:top w:w="0" w:type="dxa"/>
          <w:left w:w="108" w:type="dxa"/>
          <w:bottom w:w="0" w:type="dxa"/>
          <w:right w:w="108" w:type="dxa"/>
        </w:tblCellMar>
      </w:tblPr>
      <w:tblGrid>
        <w:gridCol w:w="1437"/>
        <w:gridCol w:w="1815"/>
        <w:gridCol w:w="1632"/>
        <w:gridCol w:w="950"/>
        <w:gridCol w:w="4126"/>
      </w:tblGrid>
      <w:tr>
        <w:tblPrEx>
          <w:tblLayout w:type="fixed"/>
          <w:tblCellMar>
            <w:top w:w="0" w:type="dxa"/>
            <w:left w:w="108" w:type="dxa"/>
            <w:bottom w:w="0" w:type="dxa"/>
            <w:right w:w="108" w:type="dxa"/>
          </w:tblCellMar>
        </w:tblPrEx>
        <w:trPr>
          <w:trHeight w:val="303" w:hRule="atLeast"/>
        </w:trPr>
        <w:tc>
          <w:tcPr>
            <w:tcW w:w="996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605" w:hRule="atLeast"/>
        </w:trPr>
        <w:tc>
          <w:tcPr>
            <w:tcW w:w="996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303" w:hRule="atLeast"/>
        </w:trPr>
        <w:tc>
          <w:tcPr>
            <w:tcW w:w="996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303" w:hRule="atLeast"/>
        </w:trPr>
        <w:tc>
          <w:tcPr>
            <w:tcW w:w="9960" w:type="dxa"/>
            <w:gridSpan w:val="5"/>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新乡市卫滨区解放路街道办事处</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804" w:hRule="atLeast"/>
        </w:trPr>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为各部门科室开展各项日常工作的办公经费支出需求，保证我办的各项工作的正常运转；购买劳务，保证辖区日常工作、环境卫生等维持正常；保证老旧小区改造工作顺利进行。</w:t>
            </w:r>
          </w:p>
        </w:tc>
      </w:tr>
      <w:tr>
        <w:tblPrEx>
          <w:tblLayout w:type="fixed"/>
          <w:tblCellMar>
            <w:top w:w="0" w:type="dxa"/>
            <w:left w:w="108" w:type="dxa"/>
            <w:bottom w:w="0" w:type="dxa"/>
            <w:right w:w="108" w:type="dxa"/>
          </w:tblCellMar>
        </w:tblPrEx>
        <w:trPr>
          <w:trHeight w:val="313" w:hRule="atLeast"/>
        </w:trPr>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5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615"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改善办公及日常运转经费</w:t>
            </w:r>
          </w:p>
        </w:tc>
        <w:tc>
          <w:tcPr>
            <w:tcW w:w="5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为各部门科室开展各项日常工作的办公经费支出需求，保证我办的各项工作的正常运转</w:t>
            </w:r>
          </w:p>
        </w:tc>
      </w:tr>
      <w:tr>
        <w:tblPrEx>
          <w:tblLayout w:type="fixed"/>
          <w:tblCellMar>
            <w:top w:w="0" w:type="dxa"/>
            <w:left w:w="108" w:type="dxa"/>
            <w:bottom w:w="0" w:type="dxa"/>
            <w:right w:w="108" w:type="dxa"/>
          </w:tblCellMar>
        </w:tblPrEx>
        <w:trPr>
          <w:trHeight w:val="313"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劳务费经费</w:t>
            </w:r>
          </w:p>
        </w:tc>
        <w:tc>
          <w:tcPr>
            <w:tcW w:w="5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购买劳务，保证辖区日常工作、环境卫生等维持正常</w:t>
            </w:r>
          </w:p>
        </w:tc>
      </w:tr>
      <w:tr>
        <w:tblPrEx>
          <w:tblLayout w:type="fixed"/>
          <w:tblCellMar>
            <w:top w:w="0" w:type="dxa"/>
            <w:left w:w="108" w:type="dxa"/>
            <w:bottom w:w="0" w:type="dxa"/>
            <w:right w:w="108" w:type="dxa"/>
          </w:tblCellMar>
        </w:tblPrEx>
        <w:trPr>
          <w:trHeight w:val="313"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老旧小区改造</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保证老旧小区改造工作顺利进行</w:t>
            </w:r>
          </w:p>
        </w:tc>
      </w:tr>
      <w:tr>
        <w:tblPrEx>
          <w:tblLayout w:type="fixed"/>
          <w:tblCellMar>
            <w:top w:w="0" w:type="dxa"/>
            <w:left w:w="108" w:type="dxa"/>
            <w:bottom w:w="0" w:type="dxa"/>
            <w:right w:w="108" w:type="dxa"/>
          </w:tblCellMar>
        </w:tblPrEx>
        <w:trPr>
          <w:trHeight w:val="313" w:hRule="atLeast"/>
        </w:trPr>
        <w:tc>
          <w:tcPr>
            <w:tcW w:w="14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r>
      <w:tr>
        <w:tblPrEx>
          <w:tblLayout w:type="fixed"/>
          <w:tblCellMar>
            <w:top w:w="0" w:type="dxa"/>
            <w:left w:w="108" w:type="dxa"/>
            <w:bottom w:w="0" w:type="dxa"/>
            <w:right w:w="108" w:type="dxa"/>
          </w:tblCellMar>
        </w:tblPrEx>
        <w:trPr>
          <w:trHeight w:val="313"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1,608.24</w:t>
            </w:r>
          </w:p>
        </w:tc>
      </w:tr>
      <w:tr>
        <w:tblPrEx>
          <w:tblLayout w:type="fixed"/>
          <w:tblCellMar>
            <w:top w:w="0" w:type="dxa"/>
            <w:left w:w="108" w:type="dxa"/>
            <w:bottom w:w="0" w:type="dxa"/>
            <w:right w:w="108" w:type="dxa"/>
          </w:tblCellMar>
        </w:tblPrEx>
        <w:trPr>
          <w:trHeight w:val="313"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3"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3"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367.98</w:t>
            </w:r>
          </w:p>
        </w:tc>
      </w:tr>
      <w:tr>
        <w:tblPrEx>
          <w:tblLayout w:type="fixed"/>
          <w:tblCellMar>
            <w:top w:w="0" w:type="dxa"/>
            <w:left w:w="108" w:type="dxa"/>
            <w:bottom w:w="0" w:type="dxa"/>
            <w:right w:w="108" w:type="dxa"/>
          </w:tblCellMar>
        </w:tblPrEx>
        <w:trPr>
          <w:trHeight w:val="313"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4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507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1,240.26</w:t>
            </w:r>
          </w:p>
        </w:tc>
      </w:tr>
      <w:tr>
        <w:tblPrEx>
          <w:tblLayout w:type="fixed"/>
          <w:tblCellMar>
            <w:top w:w="0" w:type="dxa"/>
            <w:left w:w="108" w:type="dxa"/>
            <w:bottom w:w="0" w:type="dxa"/>
            <w:right w:w="108" w:type="dxa"/>
          </w:tblCellMar>
        </w:tblPrEx>
        <w:trPr>
          <w:trHeight w:val="313" w:hRule="atLeast"/>
        </w:trPr>
        <w:tc>
          <w:tcPr>
            <w:tcW w:w="143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81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16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9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41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882" w:hRule="atLeast"/>
        </w:trPr>
        <w:tc>
          <w:tcPr>
            <w:tcW w:w="14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8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年度履职目标相关性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相关</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882"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工作任务科学性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科学</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708"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绩效指标合理性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合理</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预算编制完整性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完整</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专项资金细化率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5"/>
                <w:szCs w:val="15"/>
                <w:highlight w:val="none"/>
              </w:rPr>
            </w:pPr>
            <w:r>
              <w:rPr>
                <w:rFonts w:hint="eastAsia" w:ascii="宋体" w:hAnsi="宋体" w:cs="宋体"/>
                <w:kern w:val="0"/>
                <w:sz w:val="15"/>
                <w:szCs w:val="15"/>
                <w:highlight w:val="none"/>
              </w:rPr>
              <w:t>预算执行率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708"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预算调整率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结转结余率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“三公经费”控制率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政府采购执行率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决算真实性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真实</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1406"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资金使用合规性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合规</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708"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管理制度健全性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健全</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708"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预决算信息公开性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公开</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1406"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资产管理规范性</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规范</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8"/>
                <w:szCs w:val="18"/>
                <w:highlight w:val="none"/>
              </w:rPr>
            </w:pPr>
            <w:r>
              <w:rPr>
                <w:rFonts w:ascii="宋体" w:hAnsi="宋体" w:eastAsia="宋体" w:cs="宋体"/>
                <w:i w:val="0"/>
                <w:color w:val="000000"/>
                <w:kern w:val="0"/>
                <w:sz w:val="15"/>
                <w:szCs w:val="15"/>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1632"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绩效目标编制完成率</w:t>
            </w:r>
          </w:p>
        </w:tc>
        <w:tc>
          <w:tcPr>
            <w:tcW w:w="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绩效监控完成率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绩效自评完成率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部门绩效评价完成率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评价结果应用率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412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540" w:hRule="atLeast"/>
        </w:trPr>
        <w:tc>
          <w:tcPr>
            <w:tcW w:w="1437"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8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改善办公及日常运转经费工作任务完成率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购买劳务，保证辖区日常工作、环境卫生等维持正常</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保证老旧小区改造工作顺利进行</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882" w:hRule="atLeast"/>
        </w:trPr>
        <w:tc>
          <w:tcPr>
            <w:tcW w:w="143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restart"/>
            <w:tcBorders>
              <w:top w:val="nil"/>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为各部门科室开展各项日常工作的办公经费支出需求，保证我办的各项工作的正常运转</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购买劳务，保证辖区日常工作、环境卫生等维持正常</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保证老旧小区改造工作顺利进行</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8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 xml:space="preserve"> 提升服务群众能力，提高工作效率</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显著提升</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改善辖区环境，增加群众幸福感</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显著提升</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59" w:hRule="atLeast"/>
        </w:trPr>
        <w:tc>
          <w:tcPr>
            <w:tcW w:w="14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1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163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辖区居民满意度</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41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1946"/>
        <w:gridCol w:w="2688"/>
        <w:gridCol w:w="963"/>
        <w:gridCol w:w="975"/>
        <w:gridCol w:w="850"/>
        <w:gridCol w:w="650"/>
        <w:gridCol w:w="962"/>
        <w:gridCol w:w="1000"/>
        <w:gridCol w:w="1125"/>
        <w:gridCol w:w="1025"/>
        <w:gridCol w:w="1013"/>
        <w:gridCol w:w="650"/>
        <w:gridCol w:w="950"/>
        <w:gridCol w:w="654"/>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新乡市卫滨区解放路街道办事处</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454" w:hRule="atLeast"/>
        </w:trPr>
        <w:tc>
          <w:tcPr>
            <w:tcW w:w="1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单位编码（项目编码）</w:t>
            </w:r>
          </w:p>
        </w:tc>
        <w:tc>
          <w:tcPr>
            <w:tcW w:w="2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项目单位 （项目名称）</w:t>
            </w:r>
          </w:p>
        </w:tc>
        <w:tc>
          <w:tcPr>
            <w:tcW w:w="343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项目金额（万元）</w:t>
            </w:r>
          </w:p>
        </w:tc>
        <w:tc>
          <w:tcPr>
            <w:tcW w:w="7379"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绩效目标</w:t>
            </w:r>
          </w:p>
        </w:tc>
      </w:tr>
      <w:tr>
        <w:tblPrEx>
          <w:tblLayout w:type="fixed"/>
          <w:tblCellMar>
            <w:top w:w="0" w:type="dxa"/>
            <w:left w:w="108" w:type="dxa"/>
            <w:bottom w:w="0" w:type="dxa"/>
            <w:right w:w="108" w:type="dxa"/>
          </w:tblCellMar>
        </w:tblPrEx>
        <w:trPr>
          <w:trHeight w:val="454" w:hRule="atLeast"/>
        </w:trPr>
        <w:tc>
          <w:tcPr>
            <w:tcW w:w="194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26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3438" w:type="dxa"/>
            <w:gridSpan w:val="4"/>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1962"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 xml:space="preserve">成本指标  </w:t>
            </w:r>
          </w:p>
        </w:tc>
        <w:tc>
          <w:tcPr>
            <w:tcW w:w="215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 xml:space="preserve">产出指标  </w:t>
            </w:r>
          </w:p>
        </w:tc>
        <w:tc>
          <w:tcPr>
            <w:tcW w:w="166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 xml:space="preserve">效益指标  </w:t>
            </w:r>
          </w:p>
        </w:tc>
        <w:tc>
          <w:tcPr>
            <w:tcW w:w="16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 xml:space="preserve">满意度指标  </w:t>
            </w:r>
          </w:p>
        </w:tc>
      </w:tr>
      <w:tr>
        <w:tblPrEx>
          <w:tblLayout w:type="fixed"/>
          <w:tblCellMar>
            <w:top w:w="0" w:type="dxa"/>
            <w:left w:w="108" w:type="dxa"/>
            <w:bottom w:w="0" w:type="dxa"/>
            <w:right w:w="108" w:type="dxa"/>
          </w:tblCellMar>
        </w:tblPrEx>
        <w:trPr>
          <w:trHeight w:val="567" w:hRule="atLeast"/>
        </w:trPr>
        <w:tc>
          <w:tcPr>
            <w:tcW w:w="194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26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资金总额</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政府预算资金</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单位资金</w:t>
            </w: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三级指标</w:t>
            </w: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指标值</w:t>
            </w:r>
          </w:p>
        </w:tc>
      </w:tr>
      <w:tr>
        <w:tblPrEx>
          <w:tblLayout w:type="fixed"/>
          <w:tblCellMar>
            <w:top w:w="0" w:type="dxa"/>
            <w:left w:w="108" w:type="dxa"/>
            <w:bottom w:w="0" w:type="dxa"/>
            <w:right w:w="108" w:type="dxa"/>
          </w:tblCellMar>
        </w:tblPrEx>
        <w:trPr>
          <w:trHeight w:val="283" w:hRule="atLeast"/>
        </w:trPr>
        <w:tc>
          <w:tcPr>
            <w:tcW w:w="19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405</w:t>
            </w:r>
          </w:p>
        </w:tc>
        <w:tc>
          <w:tcPr>
            <w:tcW w:w="268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1,240.26</w:t>
            </w: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1,240.26</w:t>
            </w:r>
          </w:p>
        </w:tc>
        <w:tc>
          <w:tcPr>
            <w:tcW w:w="8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13"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9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6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3" w:hRule="atLeast"/>
        </w:trPr>
        <w:tc>
          <w:tcPr>
            <w:tcW w:w="19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405001</w:t>
            </w:r>
          </w:p>
        </w:tc>
        <w:tc>
          <w:tcPr>
            <w:tcW w:w="268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eastAsia" w:ascii="宋体" w:hAnsi="宋体" w:eastAsia="宋体" w:cs="宋体"/>
                <w:i w:val="0"/>
                <w:color w:val="000000"/>
                <w:kern w:val="2"/>
                <w:sz w:val="15"/>
                <w:szCs w:val="15"/>
                <w:u w:val="none"/>
                <w:lang w:val="en-US" w:eastAsia="zh-CN" w:bidi="ar-SA"/>
              </w:rPr>
            </w:pPr>
            <w:r>
              <w:rPr>
                <w:rFonts w:ascii="宋体" w:hAnsi="宋体" w:eastAsia="宋体" w:cs="宋体"/>
                <w:i w:val="0"/>
                <w:color w:val="000000"/>
                <w:kern w:val="0"/>
                <w:sz w:val="15"/>
                <w:szCs w:val="15"/>
                <w:u w:val="none"/>
                <w:lang w:val="en-US" w:eastAsia="zh-CN" w:bidi="ar"/>
              </w:rPr>
              <w:t>新乡市卫滨区解放路街道办事处</w:t>
            </w:r>
          </w:p>
        </w:tc>
        <w:tc>
          <w:tcPr>
            <w:tcW w:w="9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97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3" w:hRule="atLeast"/>
        </w:trPr>
        <w:tc>
          <w:tcPr>
            <w:tcW w:w="194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410703230000000001206</w:t>
            </w:r>
          </w:p>
        </w:tc>
        <w:tc>
          <w:tcPr>
            <w:tcW w:w="268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劳务费（2024）</w:t>
            </w:r>
          </w:p>
        </w:tc>
        <w:tc>
          <w:tcPr>
            <w:tcW w:w="96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50.00</w:t>
            </w:r>
          </w:p>
        </w:tc>
        <w:tc>
          <w:tcPr>
            <w:tcW w:w="97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50.00</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6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劳务费总成本</w:t>
            </w: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145.89万元</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发放劳务费人员人数</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70人</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辖区居民生活质量提高</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辖区群众满意度</w:t>
            </w: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r>
      <w:tr>
        <w:tblPrEx>
          <w:tblLayout w:type="fixed"/>
        </w:tblPrEx>
        <w:trPr>
          <w:trHeight w:val="283" w:hRule="atLeast"/>
        </w:trPr>
        <w:tc>
          <w:tcPr>
            <w:tcW w:w="194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2688"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3"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7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8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6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人员劳务费发放准确率</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≥95%</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r>
      <w:tr>
        <w:tblPrEx>
          <w:tblLayout w:type="fixed"/>
        </w:tblPrEx>
        <w:trPr>
          <w:trHeight w:val="283" w:hRule="atLeast"/>
        </w:trPr>
        <w:tc>
          <w:tcPr>
            <w:tcW w:w="194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2688"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3"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7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8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6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劳务费发放完成时间</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2024年12月31日之前</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r>
      <w:tr>
        <w:tblPrEx>
          <w:tblLayout w:type="fixed"/>
        </w:tblPrEx>
        <w:trPr>
          <w:trHeight w:val="283" w:hRule="atLeast"/>
        </w:trPr>
        <w:tc>
          <w:tcPr>
            <w:tcW w:w="194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410703230000000002001</w:t>
            </w:r>
          </w:p>
        </w:tc>
        <w:tc>
          <w:tcPr>
            <w:tcW w:w="268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改善办公条件及日常运转经费（2024）</w:t>
            </w:r>
          </w:p>
        </w:tc>
        <w:tc>
          <w:tcPr>
            <w:tcW w:w="96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100.00</w:t>
            </w:r>
          </w:p>
        </w:tc>
        <w:tc>
          <w:tcPr>
            <w:tcW w:w="97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100.00</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65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textAlignment w:val="auto"/>
              <w:rPr>
                <w:rFonts w:hint="eastAsia"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办公经费总成本</w:t>
            </w: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261.27万元</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维护街道下属事业单位</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5个</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both"/>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辖区人民生活质量提升</w:t>
            </w: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人民生活满意度</w:t>
            </w: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≥90%</w:t>
            </w:r>
          </w:p>
        </w:tc>
      </w:tr>
      <w:tr>
        <w:tblPrEx>
          <w:tblLayout w:type="fixed"/>
        </w:tblPrEx>
        <w:trPr>
          <w:trHeight w:val="283" w:hRule="atLeast"/>
        </w:trPr>
        <w:tc>
          <w:tcPr>
            <w:tcW w:w="194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2688"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3"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7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8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65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5"/>
                <w:szCs w:val="15"/>
                <w:highlight w:val="none"/>
              </w:rPr>
            </w:pPr>
          </w:p>
        </w:tc>
        <w:tc>
          <w:tcPr>
            <w:tcW w:w="96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0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单位日常办公质量完成度</w:t>
            </w:r>
          </w:p>
        </w:tc>
        <w:tc>
          <w:tcPr>
            <w:tcW w:w="10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≥95%</w:t>
            </w:r>
          </w:p>
        </w:tc>
        <w:tc>
          <w:tcPr>
            <w:tcW w:w="101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c>
          <w:tcPr>
            <w:tcW w:w="65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textAlignment w:val="auto"/>
              <w:rPr>
                <w:rFonts w:hint="eastAsia" w:ascii="宋体" w:hAnsi="宋体" w:cs="宋体"/>
                <w:kern w:val="0"/>
                <w:sz w:val="15"/>
                <w:szCs w:val="15"/>
                <w:highlight w:val="none"/>
              </w:rPr>
            </w:pPr>
          </w:p>
        </w:tc>
      </w:tr>
      <w:tr>
        <w:tblPrEx>
          <w:tblLayout w:type="fixed"/>
        </w:tblPrEx>
        <w:trPr>
          <w:trHeight w:val="283" w:hRule="atLeast"/>
        </w:trPr>
        <w:tc>
          <w:tcPr>
            <w:tcW w:w="1946"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2688"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963"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975"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85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650" w:type="dxa"/>
            <w:vMerge w:val="continue"/>
            <w:tcBorders>
              <w:top w:val="nil"/>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highlight w:val="none"/>
              </w:rPr>
            </w:pPr>
          </w:p>
        </w:tc>
        <w:tc>
          <w:tcPr>
            <w:tcW w:w="962"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经费支付完成时间</w:t>
            </w:r>
          </w:p>
        </w:tc>
        <w:tc>
          <w:tcPr>
            <w:tcW w:w="1025"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2024年12月31日之前</w:t>
            </w:r>
          </w:p>
        </w:tc>
        <w:tc>
          <w:tcPr>
            <w:tcW w:w="1013"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3"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410703240000000042815</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新财预2023.180老旧小区改造</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440.00</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440.00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PrEx>
        <w:trPr>
          <w:trHeight w:val="283"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410703240000000042819</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新财预2023.222老旧小区改造</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57.00</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57.00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PrEx>
        <w:trPr>
          <w:trHeight w:val="283"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410703240000000042841</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新财预2023.34老旧小区改造</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205.21</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205.21</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PrEx>
        <w:trPr>
          <w:trHeight w:val="283"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410703240000000045606</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新财预2023.174老旧小区改造</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364.55</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PrEx>
        <w:trPr>
          <w:trHeight w:val="427"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410703240000000058416</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提前下达2023年国有企业退休人员社会化管理补助资金</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20.00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r>
        <w:tblPrEx>
          <w:tblLayout w:type="fixed"/>
        </w:tblPrEx>
        <w:trPr>
          <w:trHeight w:val="678" w:hRule="atLeast"/>
        </w:trPr>
        <w:tc>
          <w:tcPr>
            <w:tcW w:w="19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410703240000000058430</w:t>
            </w:r>
          </w:p>
        </w:tc>
        <w:tc>
          <w:tcPr>
            <w:tcW w:w="26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新财预【2023】381号关于提前下达2024年公共图书馆、美术馆、文化馆（站）免费开放补助资金预算的通知</w:t>
            </w:r>
          </w:p>
        </w:tc>
        <w:tc>
          <w:tcPr>
            <w:tcW w:w="96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3.50</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3.50</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65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highlight w:val="none"/>
              </w:rPr>
            </w:pP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color w:val="000000"/>
                <w:kern w:val="0"/>
                <w:sz w:val="15"/>
                <w:szCs w:val="15"/>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9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c>
          <w:tcPr>
            <w:tcW w:w="6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cs="宋体"/>
                <w:kern w:val="0"/>
                <w:sz w:val="15"/>
                <w:szCs w:val="15"/>
                <w:highlight w:val="none"/>
              </w:rPr>
            </w:pPr>
          </w:p>
        </w:tc>
      </w:tr>
    </w:tbl>
    <w:p>
      <w:pPr>
        <w:tabs>
          <w:tab w:val="left" w:pos="622"/>
        </w:tabs>
        <w:bidi w:val="0"/>
        <w:jc w:val="left"/>
        <w:rPr>
          <w:rFonts w:hint="eastAsia"/>
          <w:lang w:val="en-US" w:eastAsia="zh-CN"/>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93B"/>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31850B7"/>
    <w:rsid w:val="04E82E5D"/>
    <w:rsid w:val="04EB0D09"/>
    <w:rsid w:val="06C47767"/>
    <w:rsid w:val="06CF0F92"/>
    <w:rsid w:val="07F73ECD"/>
    <w:rsid w:val="08EE5446"/>
    <w:rsid w:val="09E907EB"/>
    <w:rsid w:val="0CEF2B00"/>
    <w:rsid w:val="0D895141"/>
    <w:rsid w:val="0FA90872"/>
    <w:rsid w:val="0FB530F0"/>
    <w:rsid w:val="11A825AE"/>
    <w:rsid w:val="123705B9"/>
    <w:rsid w:val="13910C45"/>
    <w:rsid w:val="13CD362B"/>
    <w:rsid w:val="15B925CF"/>
    <w:rsid w:val="169267C0"/>
    <w:rsid w:val="175F3CA6"/>
    <w:rsid w:val="17767D2A"/>
    <w:rsid w:val="192E368F"/>
    <w:rsid w:val="19FB7D8E"/>
    <w:rsid w:val="1A5B6391"/>
    <w:rsid w:val="1B9430C3"/>
    <w:rsid w:val="1C7012F4"/>
    <w:rsid w:val="1C796EB7"/>
    <w:rsid w:val="1DD3576D"/>
    <w:rsid w:val="1F6E2A30"/>
    <w:rsid w:val="209B625B"/>
    <w:rsid w:val="219D5072"/>
    <w:rsid w:val="221D378B"/>
    <w:rsid w:val="236C76A1"/>
    <w:rsid w:val="258E1CD7"/>
    <w:rsid w:val="25E2722C"/>
    <w:rsid w:val="28023FE0"/>
    <w:rsid w:val="280F335E"/>
    <w:rsid w:val="299145CA"/>
    <w:rsid w:val="2A37305D"/>
    <w:rsid w:val="2AD76DF3"/>
    <w:rsid w:val="2B45196B"/>
    <w:rsid w:val="2C1A4849"/>
    <w:rsid w:val="2DD05B34"/>
    <w:rsid w:val="30C74740"/>
    <w:rsid w:val="33ED7470"/>
    <w:rsid w:val="340E7425"/>
    <w:rsid w:val="343D3BEB"/>
    <w:rsid w:val="365B3B1A"/>
    <w:rsid w:val="368469FD"/>
    <w:rsid w:val="38944D4B"/>
    <w:rsid w:val="39063762"/>
    <w:rsid w:val="399C7E17"/>
    <w:rsid w:val="39D92970"/>
    <w:rsid w:val="3BD07B55"/>
    <w:rsid w:val="3D440195"/>
    <w:rsid w:val="3FAE2155"/>
    <w:rsid w:val="413C408D"/>
    <w:rsid w:val="42E47207"/>
    <w:rsid w:val="44BB6B4D"/>
    <w:rsid w:val="47D755C8"/>
    <w:rsid w:val="480E1D32"/>
    <w:rsid w:val="4B1F71F0"/>
    <w:rsid w:val="4BAC1AC0"/>
    <w:rsid w:val="4C307A45"/>
    <w:rsid w:val="4C39526F"/>
    <w:rsid w:val="4C7813AD"/>
    <w:rsid w:val="4CDA2801"/>
    <w:rsid w:val="4D99309B"/>
    <w:rsid w:val="4DF01791"/>
    <w:rsid w:val="4F917FC6"/>
    <w:rsid w:val="501B68C6"/>
    <w:rsid w:val="508D27A6"/>
    <w:rsid w:val="509C25F3"/>
    <w:rsid w:val="510D0E91"/>
    <w:rsid w:val="5115798C"/>
    <w:rsid w:val="51C51D65"/>
    <w:rsid w:val="5236524B"/>
    <w:rsid w:val="52A9491E"/>
    <w:rsid w:val="548B028B"/>
    <w:rsid w:val="55381AB4"/>
    <w:rsid w:val="55610F56"/>
    <w:rsid w:val="55A9357C"/>
    <w:rsid w:val="579D29FC"/>
    <w:rsid w:val="57C60097"/>
    <w:rsid w:val="59156B87"/>
    <w:rsid w:val="59642F2F"/>
    <w:rsid w:val="59956C0C"/>
    <w:rsid w:val="59AA14E0"/>
    <w:rsid w:val="59E52906"/>
    <w:rsid w:val="5AF554D4"/>
    <w:rsid w:val="5C2F77C1"/>
    <w:rsid w:val="5CB70498"/>
    <w:rsid w:val="5CE4772B"/>
    <w:rsid w:val="5D1412C6"/>
    <w:rsid w:val="5E211941"/>
    <w:rsid w:val="5ED512CA"/>
    <w:rsid w:val="600E40C9"/>
    <w:rsid w:val="604E3D2F"/>
    <w:rsid w:val="62200402"/>
    <w:rsid w:val="62A55CA5"/>
    <w:rsid w:val="63BF1BCF"/>
    <w:rsid w:val="6468013A"/>
    <w:rsid w:val="649C46F2"/>
    <w:rsid w:val="6643017F"/>
    <w:rsid w:val="66A0599E"/>
    <w:rsid w:val="6B14138E"/>
    <w:rsid w:val="6DCE6ACB"/>
    <w:rsid w:val="6F9834B7"/>
    <w:rsid w:val="70582AD5"/>
    <w:rsid w:val="71A9298B"/>
    <w:rsid w:val="72BD29C0"/>
    <w:rsid w:val="73CB561A"/>
    <w:rsid w:val="748B06D6"/>
    <w:rsid w:val="762A388D"/>
    <w:rsid w:val="7789230E"/>
    <w:rsid w:val="779C1699"/>
    <w:rsid w:val="797F6F0E"/>
    <w:rsid w:val="79DC6ADA"/>
    <w:rsid w:val="7B0E49A9"/>
    <w:rsid w:val="7B6615B4"/>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2024-03-22T07:07:02Z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