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新乡市卫滨区南桥街道办事处</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南桥街办事处</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南桥街办事处</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lang w:eastAsia="zh-CN"/>
        </w:rPr>
        <w:t>南桥街办事处</w:t>
      </w:r>
      <w:r>
        <w:rPr>
          <w:rFonts w:hint="eastAsia" w:ascii="黑体" w:hAnsi="Times New Roman" w:eastAsia="黑体" w:cs="黑体"/>
          <w:sz w:val="32"/>
          <w:szCs w:val="32"/>
        </w:rPr>
        <w:t>部门</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南桥街办事处</w:t>
      </w:r>
      <w:r>
        <w:rPr>
          <w:rFonts w:hint="eastAsia" w:ascii="方正小标宋简体" w:hAnsi="方正小标宋简体" w:eastAsia="方正小标宋简体" w:cs="方正小标宋简体"/>
          <w:sz w:val="36"/>
          <w:szCs w:val="36"/>
        </w:rPr>
        <w:t>单位概况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街道办事处</w:t>
      </w:r>
      <w:r>
        <w:rPr>
          <w:rFonts w:hint="eastAsia" w:ascii="黑体" w:hAnsi="黑体" w:eastAsia="黑体"/>
          <w:sz w:val="32"/>
          <w:szCs w:val="32"/>
        </w:rPr>
        <w:t>主要职责</w:t>
      </w:r>
    </w:p>
    <w:p>
      <w:pPr>
        <w:keepNext w:val="0"/>
        <w:keepLines w:val="0"/>
        <w:pageBreakBefore w:val="0"/>
        <w:widowControl w:val="0"/>
        <w:numPr>
          <w:ilvl w:val="0"/>
          <w:numId w:val="0"/>
        </w:numPr>
        <w:wordWrap/>
        <w:topLinePunct w:val="0"/>
        <w:bidi w:val="0"/>
        <w:adjustRightInd w:val="0"/>
        <w:snapToGrid w:val="0"/>
        <w:spacing w:line="360" w:lineRule="auto"/>
        <w:ind w:firstLine="640" w:firstLineChars="200"/>
        <w:textAlignment w:val="auto"/>
        <w:rPr>
          <w:rFonts w:hint="eastAsia" w:ascii="黑体" w:hAnsi="黑体" w:eastAsia="黑体"/>
          <w:sz w:val="32"/>
          <w:szCs w:val="32"/>
        </w:rPr>
      </w:pPr>
      <w:r>
        <w:rPr>
          <w:rFonts w:hint="eastAsia" w:ascii="仿宋_GB2312" w:hAnsi="仿宋" w:eastAsia="仿宋_GB2312" w:cs="Times New Roman"/>
          <w:kern w:val="2"/>
          <w:sz w:val="32"/>
          <w:szCs w:val="32"/>
          <w:lang w:val="en-US" w:eastAsia="zh-CN" w:bidi="ar-SA"/>
        </w:rPr>
        <w:t>新乡市卫滨区南桥街道办事处是新乡市卫滨区人民政府的派出机构，主要任务是贯彻落实党和国家的方针政策，负责指导居民委员会建设和社区建设及辖区城市管理，发展街道经济和社会服务事业。</w:t>
      </w:r>
    </w:p>
    <w:p>
      <w:pPr>
        <w:pStyle w:val="7"/>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（一）贯彻执行党的路线、方针、政策和国家的法律、法规，认真执行上级组织和政府的决议、决定、命令，并检查督促落实。</w:t>
      </w:r>
    </w:p>
    <w:p>
      <w:pPr>
        <w:pStyle w:val="7"/>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履行全面从严治党主体责任，负责辖区党的基层组织建设、廉政建设以及党员教育工作，把制度建设贯穿其中；负责思想政治、意识形态、精神文明、统一战线、民族宗教等工作；统筹协调辖区单位和组织，团结、组织党内外干部和群众，抓好决策部署的组织实施和督促落实。</w:t>
      </w:r>
    </w:p>
    <w:p>
      <w:pPr>
        <w:pStyle w:val="7"/>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开展社区服务、拥军优属工作，负责社区优抚、社会救济、社会福利工作，兴办社会福利及残疾人福利事业，负责社区文化、科普、卫生健康、教育体育等工作；维护老年人、妇女、未成年人和残疾人等合法权益。</w:t>
      </w:r>
    </w:p>
    <w:p>
      <w:pPr>
        <w:pStyle w:val="7"/>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（四）按照职责权限做好城市规划、建设、改造和管理工作；按照权限承担辖区市容环境卫生、绿化美化等管理工作。</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（五）负责辖区内的社会治安治理、平安建设、人民调解、法律服务等工作，依照有关规定管理外来流动人员。</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（六）配合有关部门做好安全生产、食品安全、环境保护、劳动保障、应急、防汛、防震、抢险和防灾减灾工作。</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七）研究提出促进区域经济发展的有关措施，制定经济发展规划、为企业和个人私营经济提供服务、做好税源培植、组织管理辖区第二、三产业和公共资产管理等工作，因地制宜发展特色经济，营造良好发展环境。</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八）服务指导社区居民委员会建设，制定社区居民委员会服务发展规划，培育、发展社区社会组织；推动居民自治，及时处理并向区政府反映居民的意见和要求，办理人民群众的来信来访等事项；组织辖区单位、居民和志愿者队伍为社区发展服务。</w:t>
      </w:r>
    </w:p>
    <w:p>
      <w:pPr>
        <w:pStyle w:val="7"/>
        <w:keepNext w:val="0"/>
        <w:keepLines w:val="0"/>
        <w:pageBreakBefore w:val="0"/>
        <w:widowControl w:val="0"/>
        <w:wordWrap/>
        <w:topLinePunct w:val="0"/>
        <w:bidi w:val="0"/>
        <w:spacing w:line="360" w:lineRule="auto"/>
        <w:ind w:firstLine="640" w:firstLineChars="200"/>
        <w:jc w:val="both"/>
        <w:textAlignment w:val="auto"/>
        <w:rPr>
          <w:rFonts w:ascii="仿宋_GB2312" w:hAnsi="仿宋_GB2312" w:eastAsia="仿宋_GB2312" w:cs="仿宋_GB2312"/>
          <w:sz w:val="32"/>
          <w:szCs w:val="32"/>
        </w:rPr>
      </w:pPr>
      <w:r>
        <w:rPr>
          <w:rFonts w:hint="eastAsia" w:ascii="楷体_GB2312" w:hAnsi="楷体_GB2312" w:eastAsia="楷体_GB2312" w:cs="楷体_GB2312"/>
          <w:sz w:val="32"/>
          <w:szCs w:val="32"/>
        </w:rPr>
        <w:t>（九）完成区委、区政府交办的其他工作。</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lang w:val="en-US" w:eastAsia="zh-CN"/>
        </w:rPr>
        <w:t>街道办事处</w:t>
      </w:r>
      <w:r>
        <w:rPr>
          <w:rFonts w:hint="eastAsia" w:ascii="黑体" w:hAnsi="黑体" w:eastAsia="黑体"/>
          <w:sz w:val="32"/>
          <w:szCs w:val="32"/>
          <w:highlight w:val="none"/>
        </w:rPr>
        <w:t>构成</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卫滨区南桥街道办事处202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包括局本级预算和二级机构预算。</w:t>
      </w:r>
    </w:p>
    <w:p>
      <w:pPr>
        <w:keepNext w:val="0"/>
        <w:keepLines w:val="0"/>
        <w:pageBreakBefore w:val="0"/>
        <w:widowControl w:val="0"/>
        <w:numPr>
          <w:ilvl w:val="0"/>
          <w:numId w:val="0"/>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卫滨区南桥街道办事处</w:t>
      </w:r>
      <w:r>
        <w:rPr>
          <w:rFonts w:hint="eastAsia" w:ascii="仿宋_GB2312" w:hAnsi="仿宋_GB2312" w:eastAsia="仿宋_GB2312" w:cs="仿宋_GB2312"/>
          <w:sz w:val="32"/>
          <w:szCs w:val="32"/>
          <w:lang w:eastAsia="zh-CN"/>
        </w:rPr>
        <w:t>设下列内设机构：党政办公室</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党建工作办公室、营商环境建设办公室、社会事务办公室、生态环境和规划建设办公室。</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本部门</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w:t>
      </w:r>
      <w:r>
        <w:rPr>
          <w:rFonts w:hint="eastAsia" w:ascii="仿宋_GB2312" w:hAnsi="仿宋_GB2312" w:eastAsia="仿宋_GB2312" w:cs="仿宋_GB2312"/>
          <w:sz w:val="32"/>
          <w:szCs w:val="32"/>
          <w:lang w:eastAsia="zh-CN"/>
        </w:rPr>
        <w:t>共</w:t>
      </w:r>
      <w:r>
        <w:rPr>
          <w:rFonts w:hint="eastAsia" w:ascii="仿宋_GB2312" w:hAnsi="仿宋_GB2312" w:eastAsia="仿宋_GB2312" w:cs="仿宋_GB2312"/>
          <w:sz w:val="32"/>
          <w:szCs w:val="32"/>
          <w:lang w:val="en-US" w:eastAsia="zh-CN"/>
        </w:rPr>
        <w:t>6个，其中二级机构0个，具体是</w:t>
      </w:r>
      <w:r>
        <w:rPr>
          <w:rFonts w:hint="eastAsia" w:ascii="仿宋_GB2312" w:hAnsi="仿宋_GB2312" w:eastAsia="仿宋_GB2312" w:cs="仿宋_GB2312"/>
          <w:sz w:val="32"/>
          <w:szCs w:val="32"/>
        </w:rPr>
        <w:t>：</w:t>
      </w:r>
    </w:p>
    <w:p>
      <w:pPr>
        <w:numPr>
          <w:ilvl w:val="0"/>
          <w:numId w:val="3"/>
        </w:numPr>
        <w:spacing w:line="360" w:lineRule="auto"/>
        <w:ind w:left="-10" w:leftChars="0" w:firstLine="64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w:t>
      </w:r>
      <w:r>
        <w:rPr>
          <w:rFonts w:hint="eastAsia" w:ascii="仿宋_GB2312" w:hAnsi="仿宋_GB2312" w:eastAsia="仿宋_GB2312" w:cs="仿宋_GB2312"/>
          <w:sz w:val="32"/>
          <w:szCs w:val="32"/>
        </w:rPr>
        <w:t>南桥街道办事处本级</w:t>
      </w:r>
    </w:p>
    <w:p>
      <w:pPr>
        <w:numPr>
          <w:ilvl w:val="0"/>
          <w:numId w:val="3"/>
        </w:numPr>
        <w:spacing w:line="360" w:lineRule="auto"/>
        <w:ind w:left="-10" w:leftChars="0" w:firstLine="64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w:t>
      </w:r>
      <w:r>
        <w:rPr>
          <w:rFonts w:hint="eastAsia" w:ascii="仿宋_GB2312" w:hAnsi="仿宋_GB2312" w:eastAsia="仿宋_GB2312" w:cs="仿宋_GB2312"/>
          <w:sz w:val="32"/>
          <w:szCs w:val="32"/>
        </w:rPr>
        <w:t>南桥街道</w:t>
      </w:r>
      <w:r>
        <w:rPr>
          <w:rFonts w:hint="eastAsia" w:ascii="仿宋_GB2312" w:hAnsi="宋体" w:eastAsia="仿宋_GB2312" w:cs="Courier New"/>
          <w:sz w:val="32"/>
          <w:szCs w:val="32"/>
        </w:rPr>
        <w:t>便民服务中心</w:t>
      </w:r>
    </w:p>
    <w:p>
      <w:pPr>
        <w:numPr>
          <w:ilvl w:val="0"/>
          <w:numId w:val="3"/>
        </w:numPr>
        <w:spacing w:line="360" w:lineRule="auto"/>
        <w:ind w:left="-10" w:leftChars="0" w:firstLine="64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w:t>
      </w:r>
      <w:r>
        <w:rPr>
          <w:rFonts w:hint="eastAsia" w:ascii="仿宋_GB2312" w:hAnsi="宋体" w:eastAsia="仿宋_GB2312" w:cs="Courier New"/>
          <w:sz w:val="32"/>
          <w:szCs w:val="32"/>
        </w:rPr>
        <w:t>南桥</w:t>
      </w:r>
      <w:r>
        <w:rPr>
          <w:rFonts w:hint="eastAsia" w:ascii="仿宋_GB2312" w:hAnsi="仿宋_GB2312" w:eastAsia="仿宋_GB2312" w:cs="仿宋_GB2312"/>
          <w:sz w:val="32"/>
          <w:szCs w:val="32"/>
        </w:rPr>
        <w:t>街道社会治安综合治理中心</w:t>
      </w:r>
    </w:p>
    <w:p>
      <w:pPr>
        <w:numPr>
          <w:ilvl w:val="0"/>
          <w:numId w:val="3"/>
        </w:numPr>
        <w:spacing w:line="360" w:lineRule="auto"/>
        <w:ind w:left="-10" w:leftChars="0" w:firstLine="64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w:t>
      </w:r>
      <w:r>
        <w:rPr>
          <w:rFonts w:hint="eastAsia" w:ascii="仿宋_GB2312" w:hAnsi="宋体" w:eastAsia="仿宋_GB2312" w:cs="Courier New"/>
          <w:sz w:val="32"/>
          <w:szCs w:val="32"/>
        </w:rPr>
        <w:t>南桥</w:t>
      </w:r>
      <w:r>
        <w:rPr>
          <w:rFonts w:hint="eastAsia" w:ascii="仿宋_GB2312" w:hAnsi="仿宋_GB2312" w:eastAsia="仿宋_GB2312" w:cs="仿宋_GB2312"/>
          <w:sz w:val="32"/>
          <w:szCs w:val="32"/>
        </w:rPr>
        <w:t>街道文化卫生健康服务中心</w:t>
      </w:r>
    </w:p>
    <w:p>
      <w:pPr>
        <w:numPr>
          <w:ilvl w:val="0"/>
          <w:numId w:val="3"/>
        </w:numPr>
        <w:spacing w:line="360" w:lineRule="auto"/>
        <w:ind w:left="-10" w:leftChars="0" w:firstLine="64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w:t>
      </w:r>
      <w:r>
        <w:rPr>
          <w:rFonts w:hint="eastAsia" w:ascii="仿宋_GB2312" w:hAnsi="宋体" w:eastAsia="仿宋_GB2312" w:cs="Courier New"/>
          <w:sz w:val="32"/>
          <w:szCs w:val="32"/>
        </w:rPr>
        <w:t>南桥</w:t>
      </w:r>
      <w:r>
        <w:rPr>
          <w:rFonts w:hint="eastAsia" w:ascii="仿宋_GB2312" w:hAnsi="仿宋_GB2312" w:eastAsia="仿宋_GB2312" w:cs="仿宋_GB2312"/>
          <w:sz w:val="32"/>
          <w:szCs w:val="32"/>
        </w:rPr>
        <w:t>街道综合行政执法大队</w:t>
      </w:r>
    </w:p>
    <w:p>
      <w:pPr>
        <w:numPr>
          <w:ilvl w:val="0"/>
          <w:numId w:val="3"/>
        </w:numPr>
        <w:spacing w:line="360" w:lineRule="auto"/>
        <w:ind w:left="-10" w:leftChars="0" w:firstLine="64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w:t>
      </w:r>
      <w:r>
        <w:rPr>
          <w:rFonts w:hint="eastAsia" w:ascii="仿宋_GB2312" w:hAnsi="宋体" w:eastAsia="仿宋_GB2312" w:cs="Courier New"/>
          <w:sz w:val="32"/>
          <w:szCs w:val="32"/>
        </w:rPr>
        <w:t>南桥</w:t>
      </w:r>
      <w:r>
        <w:rPr>
          <w:rFonts w:hint="eastAsia" w:ascii="仿宋_GB2312" w:hAnsi="仿宋_GB2312" w:eastAsia="仿宋_GB2312" w:cs="仿宋_GB2312"/>
          <w:sz w:val="32"/>
          <w:szCs w:val="32"/>
        </w:rPr>
        <w:t>街道退役军人服务站</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卫滨区南桥街道办事</w:t>
      </w:r>
      <w:r>
        <w:rPr>
          <w:rFonts w:hint="eastAsia" w:ascii="方正小标宋简体" w:hAnsi="方正小标宋简体" w:eastAsia="方正小标宋简体" w:cs="方正小标宋简体"/>
          <w:sz w:val="36"/>
          <w:szCs w:val="36"/>
          <w:lang w:eastAsia="zh-CN"/>
        </w:rPr>
        <w:t>处</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情况说明</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南桥街道办事</w:t>
      </w:r>
      <w:r>
        <w:rPr>
          <w:rFonts w:hint="eastAsia" w:ascii="仿宋_GB2312" w:hAnsi="仿宋_GB2312" w:eastAsia="仿宋_GB2312" w:cs="仿宋_GB2312"/>
          <w:sz w:val="32"/>
          <w:szCs w:val="32"/>
          <w:lang w:eastAsia="zh-CN"/>
        </w:rPr>
        <w:t>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default" w:ascii="Times New Roman" w:hAnsi="Times New Roman" w:eastAsia="仿宋_GB2312" w:cs="Times New Roman"/>
          <w:sz w:val="32"/>
          <w:szCs w:val="32"/>
        </w:rPr>
        <w:t>1197.69</w:t>
      </w:r>
      <w:r>
        <w:rPr>
          <w:rFonts w:hint="eastAsia" w:ascii="仿宋_GB2312" w:hAnsi="仿宋_GB2312" w:eastAsia="仿宋_GB2312" w:cs="仿宋_GB2312"/>
          <w:sz w:val="32"/>
          <w:szCs w:val="32"/>
        </w:rPr>
        <w:t>万元，支出总计</w:t>
      </w:r>
      <w:r>
        <w:rPr>
          <w:rFonts w:hint="default" w:ascii="Times New Roman" w:hAnsi="Times New Roman" w:eastAsia="仿宋_GB2312" w:cs="Times New Roman"/>
          <w:sz w:val="32"/>
          <w:szCs w:val="32"/>
        </w:rPr>
        <w:t>1197.69</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440.23</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58.12</w:t>
      </w:r>
      <w:r>
        <w:rPr>
          <w:rFonts w:hint="eastAsia" w:ascii="仿宋_GB2312" w:hAnsi="仿宋_GB2312" w:eastAsia="仿宋_GB2312" w:cs="仿宋_GB2312"/>
          <w:sz w:val="32"/>
          <w:szCs w:val="32"/>
        </w:rPr>
        <w:t>%。主要原因是上年结转结余</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440.23</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58.12</w:t>
      </w:r>
      <w:r>
        <w:rPr>
          <w:rFonts w:hint="eastAsia" w:ascii="仿宋_GB2312" w:hAnsi="仿宋_GB2312" w:eastAsia="仿宋_GB2312" w:cs="仿宋_GB2312"/>
          <w:sz w:val="32"/>
          <w:szCs w:val="32"/>
        </w:rPr>
        <w:t>%。主要原因是住房保障支出</w:t>
      </w:r>
      <w:r>
        <w:rPr>
          <w:rFonts w:hint="eastAsia" w:ascii="仿宋_GB2312" w:hAnsi="仿宋_GB2312" w:eastAsia="仿宋_GB2312" w:cs="仿宋_GB2312"/>
          <w:sz w:val="32"/>
          <w:szCs w:val="32"/>
          <w:lang w:eastAsia="zh-CN"/>
        </w:rPr>
        <w:t>增加</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w:t>
      </w:r>
      <w:r>
        <w:rPr>
          <w:rFonts w:hint="eastAsia" w:ascii="仿宋_GB2312" w:hAnsi="仿宋_GB2312" w:eastAsia="仿宋_GB2312" w:cs="仿宋_GB2312"/>
          <w:sz w:val="32"/>
          <w:szCs w:val="32"/>
          <w:lang w:eastAsia="zh-CN"/>
        </w:rPr>
        <w:t>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default" w:ascii="Times New Roman" w:hAnsi="Times New Roman" w:eastAsia="仿宋_GB2312" w:cs="Times New Roman"/>
          <w:sz w:val="32"/>
          <w:szCs w:val="32"/>
        </w:rPr>
        <w:t>1197.69</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cs="Times New Roman"/>
          <w:sz w:val="32"/>
          <w:szCs w:val="32"/>
          <w:lang w:val="en-US" w:eastAsia="zh-CN"/>
        </w:rPr>
        <w:t>440.23</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Times New Roman" w:hAnsi="Times New Roman" w:eastAsia="仿宋_GB2312" w:cs="Times New Roman"/>
          <w:sz w:val="32"/>
          <w:szCs w:val="32"/>
          <w:lang w:val="en-US" w:eastAsia="zh-CN"/>
        </w:rPr>
        <w:t>58.12</w:t>
      </w:r>
      <w:r>
        <w:rPr>
          <w:rFonts w:hint="default" w:ascii="Times New Roman" w:hAnsi="Times New Roman" w:eastAsia="仿宋_GB2312" w:cs="Times New Roman"/>
          <w:sz w:val="32"/>
          <w:szCs w:val="32"/>
        </w:rPr>
        <w:t xml:space="preserve"> </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，原因为上年结转结余</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。其中：一般公共预算</w:t>
      </w:r>
      <w:r>
        <w:rPr>
          <w:rFonts w:hint="default" w:ascii="Times New Roman" w:hAnsi="Times New Roman" w:eastAsia="仿宋_GB2312" w:cs="Times New Roman"/>
          <w:sz w:val="32"/>
          <w:szCs w:val="32"/>
        </w:rPr>
        <w:t>508.76</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default" w:ascii="Times New Roman" w:hAnsi="Times New Roman" w:eastAsia="仿宋_GB2312" w:cs="Times New Roman"/>
          <w:sz w:val="32"/>
          <w:szCs w:val="32"/>
        </w:rPr>
        <w:t>653.93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35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w:t>
      </w:r>
      <w:r>
        <w:rPr>
          <w:rFonts w:hint="eastAsia" w:ascii="仿宋_GB2312" w:hAnsi="仿宋_GB2312" w:eastAsia="仿宋_GB2312" w:cs="仿宋_GB2312"/>
          <w:sz w:val="32"/>
          <w:szCs w:val="32"/>
          <w:lang w:eastAsia="zh-CN"/>
        </w:rPr>
        <w:t>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default" w:ascii="Times New Roman" w:hAnsi="Times New Roman" w:eastAsia="仿宋_GB2312" w:cs="Times New Roman"/>
          <w:sz w:val="32"/>
          <w:szCs w:val="32"/>
        </w:rPr>
        <w:t>1197.69</w:t>
      </w:r>
      <w:r>
        <w:rPr>
          <w:rFonts w:hint="eastAsia" w:ascii="仿宋_GB2312" w:hAnsi="仿宋_GB2312" w:eastAsia="仿宋_GB2312" w:cs="仿宋_GB2312"/>
          <w:sz w:val="32"/>
          <w:szCs w:val="32"/>
        </w:rPr>
        <w:t>万元，其中：基本支出</w:t>
      </w:r>
      <w:r>
        <w:rPr>
          <w:rFonts w:hint="default" w:ascii="Times New Roman" w:hAnsi="Times New Roman" w:eastAsia="仿宋_GB2312" w:cs="Times New Roman"/>
          <w:sz w:val="32"/>
          <w:szCs w:val="32"/>
        </w:rPr>
        <w:t>328.26</w:t>
      </w:r>
      <w:r>
        <w:rPr>
          <w:rFonts w:hint="eastAsia" w:ascii="仿宋_GB2312" w:hAnsi="仿宋_GB2312" w:eastAsia="仿宋_GB2312" w:cs="仿宋_GB2312"/>
          <w:sz w:val="32"/>
          <w:szCs w:val="32"/>
        </w:rPr>
        <w:t>万元，占</w:t>
      </w:r>
      <w:r>
        <w:rPr>
          <w:rFonts w:hint="default" w:ascii="Times New Roman" w:hAnsi="Times New Roman" w:eastAsia="仿宋_GB2312" w:cs="Times New Roman"/>
          <w:sz w:val="32"/>
          <w:szCs w:val="32"/>
        </w:rPr>
        <w:t>27.41%</w:t>
      </w:r>
      <w:r>
        <w:rPr>
          <w:rFonts w:hint="eastAsia" w:ascii="仿宋_GB2312" w:hAnsi="仿宋_GB2312" w:eastAsia="仿宋_GB2312" w:cs="仿宋_GB2312"/>
          <w:sz w:val="32"/>
          <w:szCs w:val="32"/>
        </w:rPr>
        <w:t>；项目支出</w:t>
      </w:r>
      <w:r>
        <w:rPr>
          <w:rFonts w:hint="default" w:ascii="Times New Roman" w:hAnsi="Times New Roman" w:eastAsia="仿宋_GB2312" w:cs="Times New Roman"/>
          <w:sz w:val="32"/>
          <w:szCs w:val="32"/>
        </w:rPr>
        <w:t>869.43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72.59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sz w:val="32"/>
          <w:szCs w:val="32"/>
          <w:highlight w:val="none"/>
          <w:lang w:eastAsia="zh-CN"/>
        </w:rPr>
        <w:t>卫滨区</w:t>
      </w:r>
      <w:r>
        <w:rPr>
          <w:rFonts w:hint="eastAsia" w:ascii="仿宋_GB2312" w:hAnsi="仿宋_GB2312" w:eastAsia="仿宋_GB2312" w:cs="仿宋_GB2312"/>
          <w:sz w:val="32"/>
          <w:szCs w:val="32"/>
          <w:highlight w:val="none"/>
        </w:rPr>
        <w:t>南桥街道办事</w:t>
      </w:r>
      <w:r>
        <w:rPr>
          <w:rFonts w:hint="eastAsia" w:ascii="仿宋_GB2312" w:hAnsi="仿宋_GB2312" w:eastAsia="仿宋_GB2312" w:cs="仿宋_GB2312"/>
          <w:sz w:val="32"/>
          <w:szCs w:val="32"/>
          <w:highlight w:val="none"/>
          <w:lang w:eastAsia="zh-CN"/>
        </w:rPr>
        <w:t>处</w:t>
      </w:r>
      <w:r>
        <w:rPr>
          <w:rFonts w:hint="default" w:ascii="Times New Roman" w:hAnsi="Times New Roman" w:eastAsia="仿宋_GB2312" w:cs="Times New Roman"/>
          <w:b w:val="0"/>
          <w:bCs w:val="0"/>
          <w:sz w:val="32"/>
          <w:szCs w:val="32"/>
          <w:highlight w:val="none"/>
        </w:rPr>
        <w:t>202</w:t>
      </w:r>
      <w:r>
        <w:rPr>
          <w:rFonts w:hint="eastAsia" w:ascii="Times New Roman" w:hAnsi="Times New Roman" w:eastAsia="仿宋_GB2312" w:cs="Times New Roman"/>
          <w:b w:val="0"/>
          <w:bCs w:val="0"/>
          <w:sz w:val="32"/>
          <w:szCs w:val="32"/>
          <w:highlight w:val="none"/>
          <w:lang w:val="en-US" w:eastAsia="zh-CN"/>
        </w:rPr>
        <w:t>4</w:t>
      </w:r>
      <w:r>
        <w:rPr>
          <w:rFonts w:hint="eastAsia" w:ascii="仿宋_GB2312" w:hAnsi="仿宋_GB2312" w:eastAsia="仿宋_GB2312" w:cs="仿宋_GB2312"/>
          <w:b w:val="0"/>
          <w:bCs w:val="0"/>
          <w:sz w:val="32"/>
          <w:szCs w:val="32"/>
          <w:highlight w:val="none"/>
        </w:rPr>
        <w:t>年一般公共财政预算拨款收支预算</w:t>
      </w:r>
      <w:r>
        <w:rPr>
          <w:rFonts w:hint="default" w:ascii="Times New Roman" w:hAnsi="Times New Roman" w:eastAsia="仿宋_GB2312" w:cs="Times New Roman"/>
          <w:b w:val="0"/>
          <w:bCs w:val="0"/>
          <w:sz w:val="32"/>
          <w:szCs w:val="32"/>
          <w:highlight w:val="none"/>
        </w:rPr>
        <w:t>1197.69</w:t>
      </w:r>
      <w:r>
        <w:rPr>
          <w:rFonts w:hint="eastAsia" w:ascii="仿宋_GB2312" w:hAnsi="仿宋_GB2312" w:eastAsia="仿宋_GB2312" w:cs="仿宋_GB2312"/>
          <w:b w:val="0"/>
          <w:bCs w:val="0"/>
          <w:sz w:val="32"/>
          <w:szCs w:val="32"/>
          <w:highlight w:val="none"/>
        </w:rPr>
        <w:t>万元，政府性基金收支预算</w:t>
      </w:r>
      <w:r>
        <w:rPr>
          <w:rFonts w:hint="eastAsia" w:ascii="Times New Roman" w:hAnsi="Times New Roman" w:eastAsia="仿宋_GB2312" w:cs="Times New Roman"/>
          <w:b w:val="0"/>
          <w:bCs w:val="0"/>
          <w:sz w:val="32"/>
          <w:szCs w:val="32"/>
          <w:highlight w:val="none"/>
          <w:lang w:val="en-US" w:eastAsia="zh-CN"/>
        </w:rPr>
        <w:t>0</w:t>
      </w:r>
      <w:r>
        <w:rPr>
          <w:rFonts w:hint="eastAsia" w:ascii="仿宋_GB2312" w:hAnsi="仿宋_GB2312" w:eastAsia="仿宋_GB2312" w:cs="仿宋_GB2312"/>
          <w:b w:val="0"/>
          <w:bCs w:val="0"/>
          <w:sz w:val="32"/>
          <w:szCs w:val="32"/>
          <w:highlight w:val="none"/>
        </w:rPr>
        <w:t>万元。与 20</w:t>
      </w:r>
      <w:r>
        <w:rPr>
          <w:rFonts w:hint="eastAsia" w:ascii="仿宋_GB2312" w:hAnsi="仿宋_GB2312" w:eastAsia="仿宋_GB2312" w:cs="仿宋_GB2312"/>
          <w:b w:val="0"/>
          <w:bCs w:val="0"/>
          <w:sz w:val="32"/>
          <w:szCs w:val="32"/>
          <w:highlight w:val="none"/>
          <w:lang w:val="en-US" w:eastAsia="zh-CN"/>
        </w:rPr>
        <w:t>23</w:t>
      </w:r>
      <w:r>
        <w:rPr>
          <w:rFonts w:hint="eastAsia" w:ascii="仿宋_GB2312" w:hAnsi="仿宋_GB2312" w:eastAsia="仿宋_GB2312" w:cs="仿宋_GB2312"/>
          <w:b w:val="0"/>
          <w:bCs w:val="0"/>
          <w:sz w:val="32"/>
          <w:szCs w:val="32"/>
          <w:highlight w:val="none"/>
        </w:rPr>
        <w:t>年相比，一般公共预算收支预算</w:t>
      </w:r>
      <w:r>
        <w:rPr>
          <w:rFonts w:hint="eastAsia" w:ascii="仿宋_GB2312" w:hAnsi="仿宋_GB2312" w:eastAsia="仿宋_GB2312" w:cs="仿宋_GB2312"/>
          <w:sz w:val="32"/>
          <w:szCs w:val="32"/>
          <w:highlight w:val="none"/>
        </w:rPr>
        <w:t>增加</w:t>
      </w:r>
      <w:r>
        <w:rPr>
          <w:rFonts w:hint="eastAsia" w:ascii="Times New Roman" w:hAnsi="Times New Roman" w:eastAsia="仿宋_GB2312" w:cs="Times New Roman"/>
          <w:sz w:val="32"/>
          <w:szCs w:val="32"/>
          <w:highlight w:val="none"/>
          <w:lang w:val="en-US" w:eastAsia="zh-CN"/>
        </w:rPr>
        <w:t>440.23</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color w:val="000000"/>
          <w:sz w:val="32"/>
          <w:szCs w:val="32"/>
          <w:highlight w:val="none"/>
        </w:rPr>
        <w:t>增长</w:t>
      </w:r>
      <w:r>
        <w:rPr>
          <w:rFonts w:hint="eastAsia" w:ascii="Times New Roman" w:hAnsi="Times New Roman" w:eastAsia="仿宋_GB2312" w:cs="Times New Roman"/>
          <w:sz w:val="32"/>
          <w:szCs w:val="32"/>
          <w:highlight w:val="none"/>
          <w:lang w:val="en-US" w:eastAsia="zh-CN"/>
        </w:rPr>
        <w:t>58.12</w:t>
      </w:r>
      <w:r>
        <w:rPr>
          <w:rFonts w:hint="default" w:ascii="Times New Roman" w:hAnsi="Times New Roman" w:eastAsia="仿宋_GB2312" w:cs="Times New Roman"/>
          <w:b w:val="0"/>
          <w:bCs w:val="0"/>
          <w:sz w:val="32"/>
          <w:szCs w:val="32"/>
          <w:highlight w:val="none"/>
        </w:rPr>
        <w:t>%</w:t>
      </w:r>
      <w:r>
        <w:rPr>
          <w:rFonts w:hint="eastAsia" w:ascii="仿宋_GB2312" w:hAnsi="仿宋_GB2312" w:eastAsia="仿宋_GB2312" w:cs="仿宋_GB2312"/>
          <w:b w:val="0"/>
          <w:bCs w:val="0"/>
          <w:sz w:val="32"/>
          <w:szCs w:val="32"/>
          <w:highlight w:val="none"/>
        </w:rPr>
        <w:t>，主要原因是</w:t>
      </w:r>
      <w:r>
        <w:rPr>
          <w:rFonts w:hint="default" w:ascii="Times New Roman" w:hAnsi="Times New Roman" w:eastAsia="仿宋_GB2312" w:cs="Times New Roman"/>
          <w:b w:val="0"/>
          <w:bCs w:val="0"/>
          <w:sz w:val="32"/>
          <w:szCs w:val="32"/>
          <w:highlight w:val="none"/>
        </w:rPr>
        <w:t>住房保障支出</w:t>
      </w:r>
      <w:r>
        <w:rPr>
          <w:rFonts w:hint="eastAsia" w:ascii="仿宋_GB2312" w:hAnsi="仿宋_GB2312" w:eastAsia="仿宋_GB2312" w:cs="仿宋_GB2312"/>
          <w:sz w:val="32"/>
          <w:szCs w:val="32"/>
          <w:highlight w:val="none"/>
        </w:rPr>
        <w:t>增加</w:t>
      </w:r>
      <w:r>
        <w:rPr>
          <w:rFonts w:hint="eastAsia" w:ascii="仿宋_GB2312" w:hAnsi="仿宋_GB2312" w:eastAsia="仿宋_GB2312" w:cs="仿宋_GB2312"/>
          <w:b w:val="0"/>
          <w:bCs w:val="0"/>
          <w:sz w:val="32"/>
          <w:szCs w:val="32"/>
          <w:highlight w:val="none"/>
        </w:rPr>
        <w:t>；政府性基金收支预算</w:t>
      </w:r>
      <w:r>
        <w:rPr>
          <w:rFonts w:hint="eastAsia" w:ascii="仿宋_GB2312" w:hAnsi="仿宋_GB2312" w:eastAsia="仿宋_GB2312" w:cs="仿宋_GB2312"/>
          <w:b w:val="0"/>
          <w:bCs w:val="0"/>
          <w:sz w:val="32"/>
          <w:szCs w:val="32"/>
          <w:highlight w:val="none"/>
          <w:lang w:eastAsia="zh-CN"/>
        </w:rPr>
        <w:t>与上年保持一致</w:t>
      </w:r>
      <w:r>
        <w:rPr>
          <w:rFonts w:hint="eastAsia" w:ascii="仿宋_GB2312" w:hAnsi="仿宋_GB2312" w:eastAsia="仿宋_GB2312" w:cs="仿宋_GB2312"/>
          <w:b w:val="0"/>
          <w:bCs w:val="0"/>
          <w:sz w:val="32"/>
          <w:szCs w:val="32"/>
          <w:highlight w:val="none"/>
        </w:rPr>
        <w:t>，增长</w:t>
      </w:r>
      <w:r>
        <w:rPr>
          <w:rFonts w:hint="eastAsia" w:ascii="Times New Roman" w:hAnsi="Times New Roman" w:eastAsia="仿宋_GB2312" w:cs="Times New Roman"/>
          <w:b w:val="0"/>
          <w:bCs w:val="0"/>
          <w:sz w:val="32"/>
          <w:szCs w:val="32"/>
          <w:highlight w:val="none"/>
          <w:lang w:val="en-US" w:eastAsia="zh-CN"/>
        </w:rPr>
        <w:t>0</w:t>
      </w:r>
      <w:r>
        <w:rPr>
          <w:rFonts w:hint="default" w:ascii="Times New Roman" w:hAnsi="Times New Roman" w:eastAsia="仿宋_GB2312" w:cs="Times New Roman"/>
          <w:b w:val="0"/>
          <w:bCs w:val="0"/>
          <w:sz w:val="32"/>
          <w:szCs w:val="32"/>
          <w:highlight w:val="none"/>
        </w:rPr>
        <w:t>%</w:t>
      </w:r>
      <w:r>
        <w:rPr>
          <w:rFonts w:hint="eastAsia" w:ascii="仿宋_GB2312" w:hAnsi="仿宋_GB2312" w:eastAsia="仿宋_GB2312" w:cs="仿宋_GB2312"/>
          <w:b w:val="0"/>
          <w:bCs w:val="0"/>
          <w:sz w:val="32"/>
          <w:szCs w:val="32"/>
          <w:highlight w:val="none"/>
        </w:rPr>
        <w:t>，主要是</w:t>
      </w:r>
      <w:r>
        <w:rPr>
          <w:rFonts w:hint="eastAsia" w:ascii="仿宋_GB2312" w:hAnsi="仿宋_GB2312" w:eastAsia="仿宋_GB2312" w:cs="仿宋_GB2312"/>
          <w:b w:val="0"/>
          <w:bCs w:val="0"/>
          <w:sz w:val="32"/>
          <w:szCs w:val="32"/>
          <w:highlight w:val="none"/>
          <w:lang w:eastAsia="zh-CN"/>
        </w:rPr>
        <w:t>无</w:t>
      </w:r>
      <w:r>
        <w:rPr>
          <w:rFonts w:hint="eastAsia" w:ascii="仿宋_GB2312" w:hAnsi="仿宋_GB2312" w:eastAsia="仿宋_GB2312" w:cs="仿宋_GB2312"/>
          <w:b w:val="0"/>
          <w:bCs w:val="0"/>
          <w:sz w:val="32"/>
          <w:szCs w:val="32"/>
          <w:highlight w:val="none"/>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南桥街道办事</w:t>
      </w:r>
      <w:r>
        <w:rPr>
          <w:rFonts w:hint="eastAsia" w:ascii="仿宋_GB2312" w:hAnsi="仿宋_GB2312" w:eastAsia="仿宋_GB2312" w:cs="仿宋_GB2312"/>
          <w:sz w:val="32"/>
          <w:szCs w:val="32"/>
          <w:lang w:eastAsia="zh-CN"/>
        </w:rPr>
        <w:t>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default" w:ascii="Times New Roman" w:hAnsi="Times New Roman" w:eastAsia="仿宋_GB2312" w:cs="Times New Roman"/>
          <w:sz w:val="32"/>
          <w:szCs w:val="32"/>
        </w:rPr>
        <w:t>508.76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default" w:ascii="Times New Roman" w:hAnsi="Times New Roman" w:eastAsia="仿宋_GB2312" w:cs="Times New Roman"/>
          <w:sz w:val="32"/>
          <w:szCs w:val="32"/>
        </w:rPr>
        <w:t>328.26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64.52</w:t>
      </w:r>
      <w:r>
        <w:rPr>
          <w:rFonts w:hint="default"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default" w:ascii="Times New Roman" w:hAnsi="Times New Roman" w:eastAsia="仿宋_GB2312" w:cs="Times New Roman"/>
          <w:sz w:val="32"/>
          <w:szCs w:val="32"/>
        </w:rPr>
        <w:t>180.5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35.48</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主要用于以下方面：一般公共服务（类）支出</w:t>
      </w:r>
      <w:r>
        <w:rPr>
          <w:rFonts w:hint="eastAsia" w:ascii="Times New Roman" w:hAnsi="Times New Roman" w:eastAsia="仿宋_GB2312" w:cs="Times New Roman"/>
          <w:sz w:val="32"/>
          <w:szCs w:val="32"/>
          <w:highlight w:val="none"/>
          <w:lang w:val="en-US" w:eastAsia="zh-CN"/>
        </w:rPr>
        <w:t>433.71</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highlight w:val="none"/>
          <w:lang w:val="en-US" w:eastAsia="zh-CN"/>
        </w:rPr>
        <w:t>85.25</w:t>
      </w:r>
      <w:r>
        <w:rPr>
          <w:rFonts w:hint="eastAsia" w:ascii="仿宋_GB2312" w:hAnsi="仿宋_GB2312" w:eastAsia="仿宋_GB2312" w:cs="仿宋_GB2312"/>
          <w:sz w:val="32"/>
          <w:szCs w:val="32"/>
          <w:highlight w:val="none"/>
          <w:lang w:val="en-US" w:eastAsia="zh-CN"/>
        </w:rPr>
        <w:t>%；文化体育旅游与传媒（类）支出</w:t>
      </w:r>
      <w:r>
        <w:rPr>
          <w:rFonts w:hint="eastAsia" w:ascii="Times New Roman" w:hAnsi="Times New Roman" w:eastAsia="仿宋_GB2312" w:cs="Times New Roman"/>
          <w:sz w:val="32"/>
          <w:szCs w:val="32"/>
          <w:highlight w:val="none"/>
          <w:lang w:val="en-US" w:eastAsia="zh-CN"/>
        </w:rPr>
        <w:t>3.5</w:t>
      </w:r>
      <w:r>
        <w:rPr>
          <w:rFonts w:hint="eastAsia" w:ascii="仿宋_GB2312" w:hAnsi="仿宋_GB2312" w:eastAsia="仿宋_GB2312" w:cs="仿宋_GB2312"/>
          <w:sz w:val="32"/>
          <w:szCs w:val="32"/>
          <w:highlight w:val="none"/>
          <w:lang w:val="en-US" w:eastAsia="zh-CN"/>
        </w:rPr>
        <w:t>万元，占0.69%；社会保障和就业（类）支出</w:t>
      </w:r>
      <w:r>
        <w:rPr>
          <w:rFonts w:hint="eastAsia" w:ascii="Times New Roman" w:hAnsi="Times New Roman" w:eastAsia="仿宋_GB2312" w:cs="Times New Roman"/>
          <w:sz w:val="32"/>
          <w:szCs w:val="32"/>
          <w:highlight w:val="none"/>
          <w:lang w:val="en-US" w:eastAsia="zh-CN"/>
        </w:rPr>
        <w:t>31.72</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highlight w:val="none"/>
          <w:lang w:val="en-US" w:eastAsia="zh-CN"/>
        </w:rPr>
        <w:t>6.23</w:t>
      </w:r>
      <w:r>
        <w:rPr>
          <w:rFonts w:hint="eastAsia" w:ascii="仿宋_GB2312" w:hAnsi="仿宋_GB2312" w:eastAsia="仿宋_GB2312" w:cs="仿宋_GB2312"/>
          <w:sz w:val="32"/>
          <w:szCs w:val="32"/>
          <w:highlight w:val="none"/>
          <w:lang w:val="en-US" w:eastAsia="zh-CN"/>
        </w:rPr>
        <w:t>%；卫生健康（类）支出</w:t>
      </w:r>
      <w:r>
        <w:rPr>
          <w:rFonts w:hint="eastAsia" w:ascii="Times New Roman" w:hAnsi="Times New Roman" w:eastAsia="仿宋_GB2312" w:cs="Times New Roman"/>
          <w:sz w:val="32"/>
          <w:szCs w:val="32"/>
          <w:highlight w:val="none"/>
          <w:lang w:val="en-US" w:eastAsia="zh-CN"/>
        </w:rPr>
        <w:t>15.89</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highlight w:val="none"/>
          <w:lang w:val="en-US" w:eastAsia="zh-CN"/>
        </w:rPr>
        <w:t>3.12</w:t>
      </w:r>
      <w:r>
        <w:rPr>
          <w:rFonts w:hint="eastAsia" w:ascii="仿宋_GB2312" w:hAnsi="仿宋_GB2312" w:eastAsia="仿宋_GB2312" w:cs="仿宋_GB2312"/>
          <w:sz w:val="32"/>
          <w:szCs w:val="32"/>
          <w:highlight w:val="none"/>
          <w:lang w:val="en-US" w:eastAsia="zh-CN"/>
        </w:rPr>
        <w:t>%；住房保障（类）支出</w:t>
      </w:r>
      <w:r>
        <w:rPr>
          <w:rFonts w:hint="eastAsia" w:ascii="Times New Roman" w:hAnsi="Times New Roman" w:eastAsia="仿宋_GB2312" w:cs="Times New Roman"/>
          <w:sz w:val="32"/>
          <w:szCs w:val="32"/>
          <w:highlight w:val="none"/>
          <w:lang w:val="en-US" w:eastAsia="zh-CN"/>
        </w:rPr>
        <w:t>23.94</w:t>
      </w:r>
      <w:r>
        <w:rPr>
          <w:rFonts w:hint="eastAsia" w:ascii="仿宋_GB2312" w:hAnsi="仿宋_GB2312" w:eastAsia="仿宋_GB2312" w:cs="仿宋_GB2312"/>
          <w:sz w:val="32"/>
          <w:szCs w:val="32"/>
          <w:highlight w:val="none"/>
          <w:lang w:val="en-US" w:eastAsia="zh-CN"/>
        </w:rPr>
        <w:t>万元，占4.71%。</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南桥街道办事</w:t>
      </w:r>
      <w:r>
        <w:rPr>
          <w:rFonts w:hint="eastAsia" w:ascii="仿宋_GB2312" w:hAnsi="仿宋_GB2312" w:eastAsia="仿宋_GB2312" w:cs="仿宋_GB2312"/>
          <w:sz w:val="32"/>
          <w:szCs w:val="32"/>
          <w:lang w:eastAsia="zh-CN"/>
        </w:rPr>
        <w:t>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default" w:ascii="Times New Roman" w:hAnsi="Times New Roman" w:eastAsia="仿宋_GB2312" w:cs="Times New Roman"/>
          <w:sz w:val="32"/>
          <w:szCs w:val="32"/>
        </w:rPr>
        <w:t>328.26</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default" w:ascii="Times New Roman" w:hAnsi="Times New Roman" w:eastAsia="仿宋_GB2312" w:cs="Times New Roman"/>
          <w:sz w:val="32"/>
          <w:szCs w:val="32"/>
        </w:rPr>
        <w:t>313.47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95.49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default" w:ascii="Times New Roman" w:hAnsi="Times New Roman" w:eastAsia="仿宋_GB2312" w:cs="Times New Roman"/>
          <w:sz w:val="32"/>
          <w:szCs w:val="32"/>
        </w:rPr>
        <w:t>14.79</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4.51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default" w:ascii="Times New Roman" w:hAnsi="Times New Roman" w:eastAsia="仿宋_GB2312" w:cs="Times New Roman"/>
          <w:sz w:val="32"/>
          <w:szCs w:val="32"/>
          <w:highlight w:val="none"/>
        </w:rPr>
        <w:t>180.5</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177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3.53</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eastAsia="仿宋_GB2312"/>
          <w:sz w:val="32"/>
          <w:szCs w:val="32"/>
          <w:highlight w:val="none"/>
        </w:rPr>
        <w:t>我</w:t>
      </w:r>
      <w:r>
        <w:rPr>
          <w:rFonts w:hint="eastAsia" w:ascii="仿宋_GB2312" w:hAnsi="宋体" w:eastAsia="仿宋_GB2312" w:cs="Courier New"/>
          <w:sz w:val="32"/>
          <w:szCs w:val="32"/>
          <w:highlight w:val="none"/>
          <w:lang w:eastAsia="zh-CN"/>
        </w:rPr>
        <w:t>办</w:t>
      </w:r>
      <w:r>
        <w:rPr>
          <w:rFonts w:hint="eastAsia" w:ascii="仿宋_GB2312" w:hAnsi="宋体" w:eastAsia="仿宋_GB2312" w:cs="Courier New"/>
          <w:sz w:val="32"/>
          <w:szCs w:val="32"/>
          <w:highlight w:val="none"/>
        </w:rPr>
        <w:t>202</w:t>
      </w:r>
      <w:r>
        <w:rPr>
          <w:rFonts w:hint="eastAsia" w:ascii="仿宋_GB2312" w:hAnsi="宋体" w:eastAsia="仿宋_GB2312" w:cs="Courier New"/>
          <w:sz w:val="32"/>
          <w:szCs w:val="32"/>
          <w:highlight w:val="none"/>
          <w:lang w:val="en-US" w:eastAsia="zh-CN"/>
        </w:rPr>
        <w:t>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南桥街道办事</w:t>
      </w:r>
      <w:r>
        <w:rPr>
          <w:rFonts w:hint="eastAsia" w:ascii="仿宋_GB2312" w:hAnsi="仿宋_GB2312" w:eastAsia="仿宋_GB2312" w:cs="仿宋_GB2312"/>
          <w:sz w:val="32"/>
          <w:szCs w:val="32"/>
          <w:lang w:eastAsia="zh-CN"/>
        </w:rPr>
        <w:t>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仿宋_GB2312"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仿宋_GB2312"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年增加</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仿宋_GB2312"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万元。增加的主要原因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南桥街道办事</w:t>
      </w:r>
      <w:r>
        <w:rPr>
          <w:rFonts w:hint="eastAsia" w:ascii="仿宋_GB2312" w:hAnsi="仿宋_GB2312" w:eastAsia="仿宋_GB2312" w:cs="仿宋_GB2312"/>
          <w:sz w:val="32"/>
          <w:szCs w:val="32"/>
          <w:lang w:eastAsia="zh-CN"/>
        </w:rPr>
        <w:t>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default" w:ascii="Times New Roman" w:hAnsi="Times New Roman" w:eastAsia="黑体" w:cs="Times New Roman"/>
          <w:sz w:val="32"/>
          <w:szCs w:val="32"/>
        </w:rPr>
        <w:t>14.79</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10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10</w:t>
      </w:r>
      <w:r>
        <w:rPr>
          <w:rFonts w:hint="eastAsia" w:ascii="仿宋_GB2312" w:eastAsia="仿宋_GB2312"/>
          <w:sz w:val="32"/>
          <w:szCs w:val="32"/>
        </w:rPr>
        <w:t>万元、政府采购工程预算</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20</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564.18</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仿宋_GB2312" w:hAnsi="宋体" w:eastAsia="仿宋_GB2312" w:cs="Courier New"/>
          <w:sz w:val="32"/>
          <w:szCs w:val="32"/>
          <w:lang w:val="en-US" w:eastAsia="zh-CN"/>
        </w:rPr>
        <w:t>6</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869.43</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166.44</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default" w:ascii="Times New Roman" w:hAnsi="Times New Roman" w:eastAsia="仿宋_GB2312" w:cs="Times New Roman"/>
          <w:sz w:val="32"/>
          <w:szCs w:val="32"/>
        </w:rPr>
        <w:t>2%</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166.44</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新购固定资产</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南桥街道办事</w:t>
      </w:r>
      <w:r>
        <w:rPr>
          <w:rFonts w:hint="eastAsia" w:ascii="仿宋_GB2312" w:hAnsi="仿宋_GB2312" w:eastAsia="仿宋_GB2312" w:cs="仿宋_GB2312"/>
          <w:sz w:val="32"/>
          <w:szCs w:val="32"/>
          <w:lang w:eastAsia="zh-CN"/>
        </w:rPr>
        <w:t>处</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5</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5</w:t>
      </w:r>
      <w:r>
        <w:rPr>
          <w:rFonts w:hint="eastAsia" w:ascii="仿宋_GB2312" w:hAnsi="宋体" w:eastAsia="仿宋_GB2312" w:cs="Courier New"/>
          <w:sz w:val="32"/>
          <w:szCs w:val="32"/>
        </w:rPr>
        <w:t>辆，其他用车主要是三轮纯电动高压喷雾降尘清洗车</w:t>
      </w:r>
      <w:r>
        <w:rPr>
          <w:rFonts w:hint="default" w:ascii="Times New Roman" w:hAnsi="Times New Roman" w:eastAsia="仿宋_GB2312" w:cs="Times New Roman"/>
          <w:sz w:val="32"/>
          <w:szCs w:val="32"/>
        </w:rPr>
        <w:t>1</w:t>
      </w:r>
      <w:r>
        <w:rPr>
          <w:rFonts w:hint="eastAsia" w:ascii="仿宋_GB2312" w:hAnsi="宋体" w:eastAsia="仿宋_GB2312" w:cs="Courier New"/>
          <w:sz w:val="32"/>
          <w:szCs w:val="32"/>
        </w:rPr>
        <w:t>辆；巡防车</w:t>
      </w:r>
      <w:r>
        <w:rPr>
          <w:rFonts w:hint="default" w:ascii="Times New Roman" w:hAnsi="Times New Roman" w:eastAsia="仿宋_GB2312" w:cs="Times New Roman"/>
          <w:sz w:val="32"/>
          <w:szCs w:val="32"/>
        </w:rPr>
        <w:t>2</w:t>
      </w:r>
      <w:r>
        <w:rPr>
          <w:rFonts w:hint="eastAsia" w:ascii="仿宋_GB2312" w:hAnsi="宋体" w:eastAsia="仿宋_GB2312" w:cs="Courier New"/>
          <w:sz w:val="32"/>
          <w:szCs w:val="32"/>
        </w:rPr>
        <w:t>辆；</w:t>
      </w:r>
      <w:r>
        <w:rPr>
          <w:rFonts w:hint="eastAsia" w:ascii="仿宋_GB2312" w:hAnsi="宋体" w:eastAsia="仿宋_GB2312" w:cs="Courier New"/>
          <w:sz w:val="32"/>
          <w:szCs w:val="32"/>
          <w:lang w:eastAsia="zh-CN"/>
        </w:rPr>
        <w:t>电动三轮车</w:t>
      </w:r>
      <w:r>
        <w:rPr>
          <w:rFonts w:hint="default" w:ascii="Times New Roman" w:hAnsi="Times New Roman" w:eastAsia="仿宋_GB2312" w:cs="Times New Roman"/>
          <w:sz w:val="32"/>
          <w:szCs w:val="32"/>
        </w:rPr>
        <w:t>1</w:t>
      </w:r>
      <w:r>
        <w:rPr>
          <w:rFonts w:hint="eastAsia" w:ascii="仿宋_GB2312" w:hAnsi="宋体" w:eastAsia="仿宋_GB2312" w:cs="Courier New"/>
          <w:sz w:val="32"/>
          <w:szCs w:val="32"/>
          <w:lang w:val="en-US" w:eastAsia="zh-CN"/>
        </w:rPr>
        <w:t>辆；高压清洗车</w:t>
      </w:r>
      <w:r>
        <w:rPr>
          <w:rFonts w:hint="default" w:ascii="Times New Roman" w:hAnsi="Times New Roman" w:eastAsia="仿宋_GB2312" w:cs="Times New Roman"/>
          <w:sz w:val="32"/>
          <w:szCs w:val="32"/>
        </w:rPr>
        <w:t>1</w:t>
      </w:r>
      <w:r>
        <w:rPr>
          <w:rFonts w:hint="eastAsia" w:ascii="仿宋_GB2312" w:hAnsi="宋体" w:eastAsia="仿宋_GB2312" w:cs="Courier New"/>
          <w:sz w:val="32"/>
          <w:szCs w:val="32"/>
          <w:lang w:val="en-US" w:eastAsia="zh-CN"/>
        </w:rPr>
        <w:t>辆；</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南桥街道办事</w:t>
      </w:r>
      <w:r>
        <w:rPr>
          <w:rFonts w:hint="eastAsia" w:ascii="仿宋_GB2312" w:hAnsi="仿宋_GB2312" w:eastAsia="仿宋_GB2312" w:cs="仿宋_GB2312"/>
          <w:sz w:val="32"/>
          <w:szCs w:val="32"/>
          <w:lang w:eastAsia="zh-CN"/>
        </w:rPr>
        <w:t>处</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南桥街道办事</w:t>
      </w:r>
      <w:r>
        <w:rPr>
          <w:rFonts w:hint="eastAsia" w:ascii="仿宋_GB2312" w:hAnsi="仿宋_GB2312" w:eastAsia="仿宋_GB2312" w:cs="仿宋_GB2312"/>
          <w:sz w:val="32"/>
          <w:szCs w:val="32"/>
          <w:lang w:eastAsia="zh-CN"/>
        </w:rPr>
        <w:t>处</w:t>
      </w:r>
      <w:r>
        <w:rPr>
          <w:rFonts w:hint="eastAsia" w:ascii="仿宋_GB2312" w:hAnsi="宋体" w:eastAsia="仿宋_GB2312" w:cs="Courier New"/>
          <w:sz w:val="32"/>
          <w:szCs w:val="32"/>
          <w:highlight w:val="none"/>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卫滨区</w:t>
      </w:r>
      <w:r>
        <w:rPr>
          <w:rFonts w:hint="eastAsia" w:ascii="仿宋_GB2312" w:hAnsi="仿宋_GB2312" w:eastAsia="仿宋_GB2312" w:cs="仿宋_GB2312"/>
          <w:sz w:val="32"/>
          <w:szCs w:val="32"/>
        </w:rPr>
        <w:t>南桥街道办事</w:t>
      </w:r>
      <w:r>
        <w:rPr>
          <w:rFonts w:hint="eastAsia" w:ascii="仿宋_GB2312" w:hAnsi="仿宋_GB2312" w:eastAsia="仿宋_GB2312" w:cs="仿宋_GB2312"/>
          <w:sz w:val="32"/>
          <w:szCs w:val="32"/>
          <w:lang w:eastAsia="zh-CN"/>
        </w:rPr>
        <w:t>处</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南桥街道办事处</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新乡市卫滨区南桥街道办事处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508.76</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433.71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505.26</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31.72</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15.89</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677.87</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508.76</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1,197.69</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688.93</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1,197.69</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1,197.69</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265"/>
        <w:gridCol w:w="1015"/>
        <w:gridCol w:w="820"/>
        <w:gridCol w:w="880"/>
        <w:gridCol w:w="880"/>
        <w:gridCol w:w="580"/>
        <w:gridCol w:w="580"/>
        <w:gridCol w:w="580"/>
        <w:gridCol w:w="580"/>
        <w:gridCol w:w="580"/>
        <w:gridCol w:w="580"/>
        <w:gridCol w:w="580"/>
        <w:gridCol w:w="520"/>
        <w:gridCol w:w="795"/>
        <w:gridCol w:w="765"/>
        <w:gridCol w:w="480"/>
        <w:gridCol w:w="675"/>
        <w:gridCol w:w="690"/>
        <w:gridCol w:w="795"/>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部门名称：新乡市卫滨区南桥街道办事处</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1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16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20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7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76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4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67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69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7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6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26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0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1,197.69</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508.76</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508.76</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505.26</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688.93</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653.93</w:t>
            </w:r>
          </w:p>
        </w:tc>
        <w:tc>
          <w:tcPr>
            <w:tcW w:w="4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69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9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403</w:t>
            </w:r>
          </w:p>
        </w:tc>
        <w:tc>
          <w:tcPr>
            <w:tcW w:w="22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10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1,197.69</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508.76</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508.76</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505.26</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688.93</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653.93</w:t>
            </w:r>
          </w:p>
        </w:tc>
        <w:tc>
          <w:tcPr>
            <w:tcW w:w="4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69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9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vMerge w:val="restart"/>
            <w:tcBorders>
              <w:top w:val="nil"/>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403001</w:t>
            </w:r>
          </w:p>
        </w:tc>
        <w:tc>
          <w:tcPr>
            <w:tcW w:w="22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新乡市卫滨区南桥街道办事处本级</w:t>
            </w:r>
          </w:p>
        </w:tc>
        <w:tc>
          <w:tcPr>
            <w:tcW w:w="10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505.26</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505.26</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505.26</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505.26</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7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6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69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79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960" w:type="dxa"/>
            <w:vMerge w:val="continue"/>
            <w:tcBorders>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2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新乡市卫滨区南桥街道办事处</w:t>
            </w:r>
          </w:p>
        </w:tc>
        <w:tc>
          <w:tcPr>
            <w:tcW w:w="10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692.43</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688.93</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653.93</w:t>
            </w:r>
          </w:p>
        </w:tc>
        <w:tc>
          <w:tcPr>
            <w:tcW w:w="4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69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9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新乡市卫滨区南桥街道办事处</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1,197.69</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328.26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289.21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24.26</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869.43</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692.43</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403</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1,197.69</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328.26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289.21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24.26</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869.43</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692.43</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256.71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256.71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217.66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24.26</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其他政府办公厅（室）及相关机构事务支出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207</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其他文化和旅游支出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15.89</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15.89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15.89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老旧小区改造</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653.93</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653.93</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653.93</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23.94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23.94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23.94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国有企业退休人员社会化管理补助支出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8"/>
                <w:szCs w:val="18"/>
                <w:highlight w:val="none"/>
              </w:rPr>
              <w:t>新乡市卫滨区南桥街道办事处</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508.76</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1,197.69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1,162.69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505.26</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35.00</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508.76</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433.71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433.71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433.71</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505.26</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688.93</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653.93</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35.00</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31.72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31.72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31.72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15.89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15.89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15.89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677.87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677.87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23.94</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35.00</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35.00</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1197.69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1,197.69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1,162.69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505.26</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35.00</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bookmarkStart w:id="0" w:name="_GoBack"/>
      <w:bookmarkEnd w:id="0"/>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新乡市卫滨区南桥街道办事处</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508.76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328.26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289.21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24.26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180.50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403</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508.76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328.26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289.21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24.26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180.50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256.71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256.71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217.66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24.26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其他政府办公厅（室）及相关机构事务支出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207</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其他文化和旅游支出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15.89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15.89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15.89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23.94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23.94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23.94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18"/>
          <w:szCs w:val="18"/>
          <w:highlight w:val="none"/>
        </w:rPr>
      </w:pPr>
      <w:r>
        <w:rPr>
          <w:rFonts w:hint="eastAsia" w:ascii="黑体" w:hAnsi="Times New Roman" w:eastAsia="黑体" w:cs="黑体"/>
          <w:sz w:val="18"/>
          <w:szCs w:val="18"/>
          <w:highlight w:val="none"/>
        </w:rPr>
        <w:t>备注：本表仅含当年财政拨款安排的支出</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93" w:type="dxa"/>
        <w:tblLayout w:type="fixed"/>
        <w:tblCellMar>
          <w:top w:w="0" w:type="dxa"/>
          <w:left w:w="108" w:type="dxa"/>
          <w:bottom w:w="0" w:type="dxa"/>
          <w:right w:w="108" w:type="dxa"/>
        </w:tblCellMar>
      </w:tblPr>
      <w:tblGrid>
        <w:gridCol w:w="500"/>
        <w:gridCol w:w="224"/>
        <w:gridCol w:w="276"/>
        <w:gridCol w:w="8"/>
        <w:gridCol w:w="832"/>
        <w:gridCol w:w="585"/>
        <w:gridCol w:w="935"/>
        <w:gridCol w:w="458"/>
        <w:gridCol w:w="525"/>
        <w:gridCol w:w="480"/>
        <w:gridCol w:w="295"/>
        <w:gridCol w:w="27"/>
        <w:gridCol w:w="1391"/>
        <w:gridCol w:w="12"/>
        <w:gridCol w:w="472"/>
        <w:gridCol w:w="540"/>
        <w:gridCol w:w="840"/>
        <w:gridCol w:w="546"/>
        <w:gridCol w:w="279"/>
        <w:gridCol w:w="135"/>
        <w:gridCol w:w="173"/>
        <w:gridCol w:w="240"/>
        <w:gridCol w:w="840"/>
        <w:gridCol w:w="459"/>
        <w:gridCol w:w="418"/>
        <w:gridCol w:w="210"/>
        <w:gridCol w:w="580"/>
        <w:gridCol w:w="163"/>
        <w:gridCol w:w="472"/>
        <w:gridCol w:w="68"/>
        <w:gridCol w:w="690"/>
        <w:gridCol w:w="367"/>
        <w:gridCol w:w="488"/>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3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3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3"/>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2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新乡市卫滨区南桥街道办事处</w:t>
            </w:r>
          </w:p>
        </w:tc>
        <w:tc>
          <w:tcPr>
            <w:tcW w:w="2761" w:type="dxa"/>
            <w:gridSpan w:val="7"/>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6"/>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693" w:type="dxa"/>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5"/>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328.26</w:t>
            </w:r>
          </w:p>
        </w:tc>
        <w:tc>
          <w:tcPr>
            <w:tcW w:w="184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313.47</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14.79</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20.41</w:t>
            </w:r>
          </w:p>
        </w:tc>
        <w:tc>
          <w:tcPr>
            <w:tcW w:w="184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20.41</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24.26</w:t>
            </w:r>
          </w:p>
        </w:tc>
        <w:tc>
          <w:tcPr>
            <w:tcW w:w="184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24.26</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52.22</w:t>
            </w:r>
          </w:p>
        </w:tc>
        <w:tc>
          <w:tcPr>
            <w:tcW w:w="184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52.22</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31.07</w:t>
            </w:r>
          </w:p>
        </w:tc>
        <w:tc>
          <w:tcPr>
            <w:tcW w:w="184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31.07</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113.96</w:t>
            </w:r>
          </w:p>
        </w:tc>
        <w:tc>
          <w:tcPr>
            <w:tcW w:w="184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113.96</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3.20</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2.60</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30205</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30206</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电费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4.35</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50299</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0.54</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0.54</w:t>
            </w: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3.90</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31.72</w:t>
            </w:r>
          </w:p>
        </w:tc>
        <w:tc>
          <w:tcPr>
            <w:tcW w:w="184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31.72</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15.89</w:t>
            </w:r>
          </w:p>
        </w:tc>
        <w:tc>
          <w:tcPr>
            <w:tcW w:w="184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15.89</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69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50103</w:t>
            </w:r>
          </w:p>
        </w:tc>
        <w:tc>
          <w:tcPr>
            <w:tcW w:w="241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2126" w:type="dxa"/>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23.94</w:t>
            </w:r>
          </w:p>
        </w:tc>
        <w:tc>
          <w:tcPr>
            <w:tcW w:w="1843"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23.94</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5920" w:type="dxa"/>
            <w:gridSpan w:val="36"/>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570" w:hRule="atLeast"/>
        </w:trPr>
        <w:tc>
          <w:tcPr>
            <w:tcW w:w="15920" w:type="dxa"/>
            <w:gridSpan w:val="3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325" w:hRule="atLeast"/>
        </w:trPr>
        <w:tc>
          <w:tcPr>
            <w:tcW w:w="3818"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 新乡市卫滨区南桥街道办事处</w:t>
            </w:r>
          </w:p>
        </w:tc>
        <w:tc>
          <w:tcPr>
            <w:tcW w:w="5715"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10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66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54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spacing w:val="-6"/>
                <w:kern w:val="0"/>
                <w:sz w:val="15"/>
                <w:szCs w:val="15"/>
                <w:highlight w:val="none"/>
              </w:rPr>
            </w:pPr>
            <w:r>
              <w:rPr>
                <w:rFonts w:hint="eastAsia" w:ascii="宋体" w:hAnsi="宋体" w:cs="宋体"/>
                <w:spacing w:val="-6"/>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spacing w:val="-6"/>
                <w:kern w:val="0"/>
                <w:sz w:val="15"/>
                <w:szCs w:val="15"/>
                <w:highlight w:val="none"/>
              </w:rPr>
            </w:pPr>
            <w:r>
              <w:rPr>
                <w:rFonts w:hint="eastAsia" w:ascii="宋体" w:hAnsi="宋体" w:cs="宋体"/>
                <w:spacing w:val="-6"/>
                <w:kern w:val="0"/>
                <w:sz w:val="15"/>
                <w:szCs w:val="15"/>
                <w:highlight w:val="none"/>
              </w:rPr>
              <w:t>国有资本经营预算</w:t>
            </w:r>
          </w:p>
        </w:tc>
        <w:tc>
          <w:tcPr>
            <w:tcW w:w="8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spacing w:val="-6"/>
                <w:kern w:val="0"/>
                <w:sz w:val="15"/>
                <w:szCs w:val="15"/>
                <w:highlight w:val="none"/>
              </w:rPr>
            </w:pPr>
            <w:r>
              <w:rPr>
                <w:rFonts w:hint="eastAsia" w:ascii="宋体" w:hAnsi="宋体" w:cs="宋体"/>
                <w:spacing w:val="-6"/>
                <w:kern w:val="0"/>
                <w:sz w:val="15"/>
                <w:szCs w:val="15"/>
                <w:highlight w:val="none"/>
              </w:rPr>
              <w:t>上年结转结余</w:t>
            </w:r>
          </w:p>
        </w:tc>
        <w:tc>
          <w:tcPr>
            <w:tcW w:w="9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spacing w:val="-6"/>
                <w:kern w:val="0"/>
                <w:sz w:val="15"/>
                <w:szCs w:val="15"/>
                <w:highlight w:val="none"/>
              </w:rPr>
            </w:pPr>
            <w:r>
              <w:rPr>
                <w:rFonts w:hint="eastAsia" w:ascii="宋体" w:hAnsi="宋体" w:cs="宋体"/>
                <w:spacing w:val="-6"/>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spacing w:val="-6"/>
                <w:kern w:val="0"/>
                <w:sz w:val="15"/>
                <w:szCs w:val="15"/>
                <w:highlight w:val="none"/>
              </w:rPr>
            </w:pPr>
            <w:r>
              <w:rPr>
                <w:rFonts w:hint="eastAsia" w:ascii="宋体" w:hAnsi="宋体" w:cs="宋体"/>
                <w:spacing w:val="-6"/>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spacing w:val="-6"/>
                <w:kern w:val="0"/>
                <w:sz w:val="15"/>
                <w:szCs w:val="15"/>
                <w:highlight w:val="none"/>
              </w:rPr>
            </w:pPr>
            <w:r>
              <w:rPr>
                <w:rFonts w:hint="eastAsia" w:ascii="宋体" w:hAnsi="宋体" w:cs="宋体"/>
                <w:spacing w:val="-6"/>
                <w:kern w:val="0"/>
                <w:sz w:val="15"/>
                <w:szCs w:val="15"/>
                <w:highlight w:val="none"/>
              </w:rPr>
              <w:t>上级补助收入</w:t>
            </w:r>
          </w:p>
        </w:tc>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spacing w:val="-6"/>
                <w:kern w:val="0"/>
                <w:sz w:val="15"/>
                <w:szCs w:val="15"/>
                <w:highlight w:val="none"/>
              </w:rPr>
            </w:pPr>
            <w:r>
              <w:rPr>
                <w:rFonts w:hint="eastAsia" w:ascii="宋体" w:hAnsi="宋体" w:cs="宋体"/>
                <w:spacing w:val="-6"/>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spacing w:val="-6"/>
                <w:kern w:val="0"/>
                <w:sz w:val="15"/>
                <w:szCs w:val="15"/>
                <w:highlight w:val="none"/>
              </w:rPr>
            </w:pPr>
            <w:r>
              <w:rPr>
                <w:rFonts w:hint="eastAsia" w:ascii="宋体" w:hAnsi="宋体" w:cs="宋体"/>
                <w:spacing w:val="-6"/>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spacing w:val="-6"/>
                <w:kern w:val="0"/>
                <w:sz w:val="15"/>
                <w:szCs w:val="15"/>
                <w:highlight w:val="none"/>
              </w:rPr>
            </w:pPr>
            <w:r>
              <w:rPr>
                <w:rFonts w:hint="eastAsia" w:ascii="宋体" w:hAnsi="宋体" w:cs="宋体"/>
                <w:spacing w:val="-6"/>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41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1012"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spacing w:val="-6"/>
                <w:kern w:val="0"/>
                <w:sz w:val="15"/>
                <w:szCs w:val="15"/>
                <w:highlight w:val="none"/>
              </w:rPr>
              <w:t>其中：财政拨款</w:t>
            </w:r>
          </w:p>
        </w:tc>
        <w:tc>
          <w:tcPr>
            <w:tcW w:w="548"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77"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53"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1,197.69</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508.76</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505.26</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688.93</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1,197.69</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508.76</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505.26</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688.93</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20.41</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20.41</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20.41</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离退休费</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24.26</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24.26</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24.26</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52.22</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52.22</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52.22</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31.07</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31.07</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31.07</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113.96</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113.96</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113.96</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2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54.20</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54.20</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54.20</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12.60</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12.60</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12.60</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0.20</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0.20</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0.20</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06</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电费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4.35</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4.35</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4.35</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其他商品和服务支出</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749.97</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61.04</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57.54</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688.93</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3.90</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3.90</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3.90</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w:t>
            </w:r>
          </w:p>
        </w:tc>
        <w:tc>
          <w:tcPr>
            <w:tcW w:w="2818"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邮电费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101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4.00</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4.00</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4.00</w:t>
            </w:r>
          </w:p>
        </w:tc>
        <w:tc>
          <w:tcPr>
            <w:tcW w:w="54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45"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26</w:t>
            </w:r>
          </w:p>
        </w:tc>
        <w:tc>
          <w:tcPr>
            <w:tcW w:w="2818" w:type="dxa"/>
            <w:gridSpan w:val="5"/>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劳务费</w:t>
            </w:r>
          </w:p>
        </w:tc>
        <w:tc>
          <w:tcPr>
            <w:tcW w:w="52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w:t>
            </w:r>
          </w:p>
        </w:tc>
        <w:tc>
          <w:tcPr>
            <w:tcW w:w="1725" w:type="dxa"/>
            <w:gridSpan w:val="4"/>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委托业务费</w:t>
            </w:r>
          </w:p>
        </w:tc>
        <w:tc>
          <w:tcPr>
            <w:tcW w:w="1012" w:type="dxa"/>
            <w:gridSpan w:val="2"/>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50.00</w:t>
            </w:r>
          </w:p>
        </w:tc>
        <w:tc>
          <w:tcPr>
            <w:tcW w:w="84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50.00</w:t>
            </w:r>
          </w:p>
        </w:tc>
        <w:tc>
          <w:tcPr>
            <w:tcW w:w="825" w:type="dxa"/>
            <w:gridSpan w:val="2"/>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50.00</w:t>
            </w:r>
          </w:p>
        </w:tc>
        <w:tc>
          <w:tcPr>
            <w:tcW w:w="548" w:type="dxa"/>
            <w:gridSpan w:val="3"/>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72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0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5.00</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5.00</w:t>
            </w:r>
          </w:p>
        </w:tc>
        <w:tc>
          <w:tcPr>
            <w:tcW w:w="5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w:t>
            </w:r>
          </w:p>
        </w:tc>
        <w:tc>
          <w:tcPr>
            <w:tcW w:w="281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72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10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31.72</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31.72</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31.72</w:t>
            </w:r>
          </w:p>
        </w:tc>
        <w:tc>
          <w:tcPr>
            <w:tcW w:w="5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5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w:t>
            </w:r>
          </w:p>
        </w:tc>
        <w:tc>
          <w:tcPr>
            <w:tcW w:w="281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72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10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15.89</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15.89</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15.89</w:t>
            </w:r>
          </w:p>
        </w:tc>
        <w:tc>
          <w:tcPr>
            <w:tcW w:w="5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5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w:t>
            </w:r>
          </w:p>
        </w:tc>
        <w:tc>
          <w:tcPr>
            <w:tcW w:w="281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172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10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23.94</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23.94</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23.94</w:t>
            </w:r>
          </w:p>
        </w:tc>
        <w:tc>
          <w:tcPr>
            <w:tcW w:w="5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5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gridBefore w:val="4"/>
          <w:gridAfter w:val="4"/>
          <w:wBefore w:w="1008" w:type="dxa"/>
          <w:wAfter w:w="1880" w:type="dxa"/>
          <w:trHeight w:val="285" w:hRule="atLeast"/>
        </w:trPr>
        <w:tc>
          <w:tcPr>
            <w:tcW w:w="13032" w:type="dxa"/>
            <w:gridSpan w:val="28"/>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gridBefore w:val="4"/>
          <w:gridAfter w:val="4"/>
          <w:wBefore w:w="1008" w:type="dxa"/>
          <w:wAfter w:w="1880" w:type="dxa"/>
          <w:trHeight w:val="570" w:hRule="atLeast"/>
        </w:trPr>
        <w:tc>
          <w:tcPr>
            <w:tcW w:w="13032" w:type="dxa"/>
            <w:gridSpan w:val="2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Layout w:type="fixed"/>
          <w:tblCellMar>
            <w:top w:w="0" w:type="dxa"/>
            <w:left w:w="108" w:type="dxa"/>
            <w:bottom w:w="0" w:type="dxa"/>
            <w:right w:w="108" w:type="dxa"/>
          </w:tblCellMar>
        </w:tblPrEx>
        <w:trPr>
          <w:gridBefore w:val="4"/>
          <w:gridAfter w:val="4"/>
          <w:wBefore w:w="1008" w:type="dxa"/>
          <w:wAfter w:w="1880" w:type="dxa"/>
          <w:trHeight w:val="285" w:hRule="atLeast"/>
        </w:trPr>
        <w:tc>
          <w:tcPr>
            <w:tcW w:w="10692" w:type="dxa"/>
            <w:gridSpan w:val="2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部门名称:新乡市卫滨区南桥街道办事处</w:t>
            </w:r>
          </w:p>
        </w:tc>
        <w:tc>
          <w:tcPr>
            <w:tcW w:w="2340"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4"/>
          <w:gridAfter w:val="4"/>
          <w:wBefore w:w="1008" w:type="dxa"/>
          <w:wAfter w:w="1880" w:type="dxa"/>
          <w:trHeight w:val="285" w:hRule="atLeast"/>
        </w:trPr>
        <w:tc>
          <w:tcPr>
            <w:tcW w:w="235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1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gridBefore w:val="4"/>
          <w:gridAfter w:val="4"/>
          <w:wBefore w:w="1008" w:type="dxa"/>
          <w:wAfter w:w="1880" w:type="dxa"/>
          <w:trHeight w:val="285" w:hRule="atLeast"/>
        </w:trPr>
        <w:tc>
          <w:tcPr>
            <w:tcW w:w="235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gridSpan w:val="5"/>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gridSpan w:val="6"/>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gridSpan w:val="6"/>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4"/>
          <w:gridAfter w:val="4"/>
          <w:wBefore w:w="1008" w:type="dxa"/>
          <w:wAfter w:w="1880" w:type="dxa"/>
          <w:trHeight w:val="285" w:hRule="atLeast"/>
        </w:trPr>
        <w:tc>
          <w:tcPr>
            <w:tcW w:w="2352"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785"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75"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gridSpan w:val="6"/>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gridSpan w:val="6"/>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4"/>
          <w:gridAfter w:val="4"/>
          <w:wBefore w:w="1008" w:type="dxa"/>
          <w:wAfter w:w="1880" w:type="dxa"/>
          <w:trHeight w:val="1448" w:hRule="atLeast"/>
        </w:trPr>
        <w:tc>
          <w:tcPr>
            <w:tcW w:w="13032" w:type="dxa"/>
            <w:gridSpan w:val="28"/>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我们单位没有一般公共预算“三公”经费预算，也没有使用一般公共预算“三公”经</w:t>
            </w:r>
            <w:r>
              <w:rPr>
                <w:rFonts w:hint="eastAsia" w:ascii="宋体" w:hAnsi="宋体" w:cs="宋体"/>
                <w:kern w:val="0"/>
                <w:sz w:val="18"/>
                <w:szCs w:val="18"/>
                <w:highlight w:val="none"/>
              </w:rPr>
              <w:t>费预算</w:t>
            </w:r>
            <w:r>
              <w:rPr>
                <w:rFonts w:hint="eastAsia" w:ascii="宋体" w:hAnsi="宋体" w:cs="宋体"/>
                <w:kern w:val="0"/>
                <w:sz w:val="18"/>
                <w:szCs w:val="18"/>
                <w:highlight w:val="none"/>
                <w:lang w:val="en-US" w:eastAsia="zh-CN"/>
              </w:rPr>
              <w:t>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年政府性基金支出预算表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hint="eastAsia" w:ascii="宋体" w:hAnsi="宋体" w:cs="宋体"/>
                <w:color w:val="000000"/>
                <w:sz w:val="18"/>
                <w:szCs w:val="18"/>
                <w:highlight w:val="none"/>
              </w:rPr>
              <w:t>新乡市卫滨区南桥街道办事处</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hint="eastAsia" w:ascii="宋体" w:hAnsi="宋体" w:cs="宋体"/>
          <w:kern w:val="0"/>
          <w:sz w:val="18"/>
          <w:szCs w:val="18"/>
          <w:highlight w:val="none"/>
          <w:lang w:eastAsia="zh-CN"/>
        </w:rPr>
      </w:pPr>
      <w:r>
        <w:rPr>
          <w:rFonts w:hint="eastAsia" w:ascii="宋体" w:hAnsi="宋体" w:cs="宋体"/>
          <w:kern w:val="0"/>
          <w:sz w:val="18"/>
          <w:szCs w:val="18"/>
          <w:highlight w:val="none"/>
          <w:lang w:eastAsia="zh-CN"/>
        </w:rPr>
        <w:t>说明：</w:t>
      </w:r>
      <w:r>
        <w:rPr>
          <w:rFonts w:hint="eastAsia" w:ascii="宋体" w:hAnsi="宋体" w:cs="宋体"/>
          <w:kern w:val="0"/>
          <w:sz w:val="18"/>
          <w:szCs w:val="18"/>
          <w:highlight w:val="none"/>
          <w:lang w:val="en-US" w:eastAsia="zh-CN"/>
        </w:rPr>
        <w:t>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097" w:type="dxa"/>
        <w:tblInd w:w="1037" w:type="dxa"/>
        <w:tblLayout w:type="fixed"/>
        <w:tblCellMar>
          <w:top w:w="0" w:type="dxa"/>
          <w:left w:w="108" w:type="dxa"/>
          <w:bottom w:w="0" w:type="dxa"/>
          <w:right w:w="108" w:type="dxa"/>
        </w:tblCellMar>
      </w:tblPr>
      <w:tblGrid>
        <w:gridCol w:w="1198"/>
        <w:gridCol w:w="1275"/>
        <w:gridCol w:w="2725"/>
        <w:gridCol w:w="915"/>
        <w:gridCol w:w="975"/>
        <w:gridCol w:w="1065"/>
        <w:gridCol w:w="1185"/>
        <w:gridCol w:w="975"/>
        <w:gridCol w:w="885"/>
        <w:gridCol w:w="1020"/>
        <w:gridCol w:w="1065"/>
        <w:gridCol w:w="814"/>
      </w:tblGrid>
      <w:tr>
        <w:tblPrEx>
          <w:tblLayout w:type="fixed"/>
          <w:tblCellMar>
            <w:top w:w="0" w:type="dxa"/>
            <w:left w:w="108" w:type="dxa"/>
            <w:bottom w:w="0" w:type="dxa"/>
            <w:right w:w="108" w:type="dxa"/>
          </w:tblCellMar>
        </w:tblPrEx>
        <w:trPr>
          <w:trHeight w:val="462" w:hRule="atLeast"/>
        </w:trPr>
        <w:tc>
          <w:tcPr>
            <w:tcW w:w="14097" w:type="dxa"/>
            <w:gridSpan w:val="12"/>
            <w:tcBorders>
              <w:top w:val="nil"/>
              <w:left w:val="nil"/>
              <w:bottom w:val="nil"/>
              <w:right w:val="nil"/>
            </w:tcBorders>
            <w:shd w:val="clear" w:color="auto" w:fill="auto"/>
            <w:vAlign w:val="center"/>
          </w:tcPr>
          <w:p>
            <w:pPr>
              <w:widowControl/>
              <w:ind w:firstLine="12960" w:firstLineChars="7200"/>
              <w:jc w:val="both"/>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项目支出预算表</w:t>
            </w:r>
          </w:p>
        </w:tc>
      </w:tr>
      <w:tr>
        <w:tblPrEx>
          <w:tblLayout w:type="fixed"/>
          <w:tblCellMar>
            <w:top w:w="0" w:type="dxa"/>
            <w:left w:w="108" w:type="dxa"/>
            <w:bottom w:w="0" w:type="dxa"/>
            <w:right w:w="108" w:type="dxa"/>
          </w:tblCellMar>
        </w:tblPrEx>
        <w:trPr>
          <w:trHeight w:val="339"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08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新乡市卫滨区南桥街道办事处</w:t>
            </w:r>
          </w:p>
        </w:tc>
        <w:tc>
          <w:tcPr>
            <w:tcW w:w="814" w:type="dxa"/>
            <w:tcBorders>
              <w:top w:val="nil"/>
              <w:left w:val="nil"/>
              <w:bottom w:val="nil"/>
              <w:right w:val="nil"/>
            </w:tcBorders>
            <w:shd w:val="clear" w:color="auto" w:fill="auto"/>
            <w:vAlign w:val="center"/>
          </w:tcPr>
          <w:p>
            <w:pPr>
              <w:widowControl/>
              <w:jc w:val="right"/>
              <w:rPr>
                <w:rFonts w:ascii="宋体" w:hAnsi="宋体" w:cs="宋体"/>
                <w:kern w:val="0"/>
                <w:sz w:val="13"/>
                <w:szCs w:val="13"/>
                <w:highlight w:val="none"/>
              </w:rPr>
            </w:pPr>
            <w:r>
              <w:rPr>
                <w:rFonts w:hint="eastAsia" w:ascii="宋体" w:hAnsi="宋体" w:cs="宋体"/>
                <w:kern w:val="0"/>
                <w:sz w:val="13"/>
                <w:szCs w:val="13"/>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2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2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288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72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06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8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9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88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0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1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72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869.43</w:t>
            </w: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180.50</w:t>
            </w:r>
          </w:p>
        </w:tc>
        <w:tc>
          <w:tcPr>
            <w:tcW w:w="106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653.93</w:t>
            </w:r>
          </w:p>
        </w:tc>
        <w:tc>
          <w:tcPr>
            <w:tcW w:w="8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0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106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403</w:t>
            </w:r>
          </w:p>
        </w:tc>
        <w:tc>
          <w:tcPr>
            <w:tcW w:w="27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869.43</w:t>
            </w: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180.50</w:t>
            </w:r>
          </w:p>
        </w:tc>
        <w:tc>
          <w:tcPr>
            <w:tcW w:w="106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18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653.93</w:t>
            </w:r>
          </w:p>
        </w:tc>
        <w:tc>
          <w:tcPr>
            <w:tcW w:w="88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106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14"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8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spacing w:val="-11"/>
                <w:kern w:val="0"/>
                <w:sz w:val="18"/>
                <w:szCs w:val="18"/>
                <w:u w:val="none"/>
                <w:lang w:val="en-US" w:eastAsia="zh-CN" w:bidi="ar"/>
              </w:rPr>
              <w:t>改善办公条件及日常运转</w:t>
            </w:r>
          </w:p>
        </w:tc>
        <w:tc>
          <w:tcPr>
            <w:tcW w:w="27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127.00</w:t>
            </w: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127.00</w:t>
            </w:r>
          </w:p>
        </w:tc>
        <w:tc>
          <w:tcPr>
            <w:tcW w:w="106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18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8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2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65"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14"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34" w:hRule="atLeast"/>
        </w:trPr>
        <w:tc>
          <w:tcPr>
            <w:tcW w:w="1198" w:type="dxa"/>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劳务费</w:t>
            </w:r>
          </w:p>
        </w:tc>
        <w:tc>
          <w:tcPr>
            <w:tcW w:w="272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91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50.00</w:t>
            </w:r>
          </w:p>
        </w:tc>
        <w:tc>
          <w:tcPr>
            <w:tcW w:w="97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50.00</w:t>
            </w:r>
          </w:p>
        </w:tc>
        <w:tc>
          <w:tcPr>
            <w:tcW w:w="1065"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185"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85"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20"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65"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14" w:type="dxa"/>
            <w:tcBorders>
              <w:top w:val="nil"/>
              <w:left w:val="nil"/>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spacing w:val="-11"/>
                <w:kern w:val="0"/>
                <w:sz w:val="13"/>
                <w:szCs w:val="13"/>
                <w:u w:val="none"/>
                <w:lang w:val="en-US" w:eastAsia="zh-CN" w:bidi="ar"/>
              </w:rPr>
              <w:t>新财预【2023】381号关于提前下达2024年公共图书馆、美术馆、文化馆（站）免费开放补助资金预算的通知</w:t>
            </w:r>
          </w:p>
        </w:tc>
        <w:tc>
          <w:tcPr>
            <w:tcW w:w="2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8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新财预2023.34老旧小区改造</w:t>
            </w:r>
          </w:p>
        </w:tc>
        <w:tc>
          <w:tcPr>
            <w:tcW w:w="2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531.85</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531.85</w:t>
            </w: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新财预2023.213老旧小区改造</w:t>
            </w:r>
          </w:p>
        </w:tc>
        <w:tc>
          <w:tcPr>
            <w:tcW w:w="2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122.08</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122.08</w:t>
            </w: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3"/>
                <w:szCs w:val="13"/>
                <w:u w:val="none"/>
                <w:lang w:val="en-US" w:eastAsia="zh-CN" w:bidi="ar"/>
              </w:rPr>
              <w:t>提前下达2023年国有企业退休人员社会化管理补助资金</w:t>
            </w:r>
          </w:p>
        </w:tc>
        <w:tc>
          <w:tcPr>
            <w:tcW w:w="2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ascii="宋体" w:hAnsi="宋体" w:cs="宋体"/>
                <w:kern w:val="0"/>
                <w:sz w:val="18"/>
                <w:szCs w:val="18"/>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8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r>
    </w:tbl>
    <w:p>
      <w:pPr>
        <w:keepNext w:val="0"/>
        <w:keepLines w:val="0"/>
        <w:pageBreakBefore w:val="0"/>
        <w:kinsoku w:val="0"/>
        <w:wordWrap/>
        <w:overflowPunct w:val="0"/>
        <w:topLinePunct w:val="0"/>
        <w:autoSpaceDE/>
        <w:autoSpaceDN/>
        <w:bidi w:val="0"/>
        <w:adjustRightInd w:val="0"/>
        <w:snapToGrid w:val="0"/>
        <w:spacing w:line="240" w:lineRule="exact"/>
        <w:ind w:left="0" w:leftChars="0" w:right="0" w:rightChars="0" w:firstLine="0" w:firstLineChars="0"/>
        <w:outlineLvl w:val="9"/>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新乡市卫滨区南桥街道办事处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切实加强办事处内部管理，各部门科室日常开展各项工作的办公经费支出需求，保障各项工作正常运行；认真开展社区党建工作：关注民生，把各项惠民政策落到实处；维护社区稳定工作；切实做好社区环境卫生保洁工作，为辖区群众打造生态宜居社区。</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Layout w:type="fixed"/>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改善办公条件及日常运转</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维护日常办公运转，党建工作经费，冬季取暖经费，工会经费，征订杂志报刊，邮电信息费，水电维修，计生经费，消防安全经费，招商引资经费，疫情防控经费，大气经费等。</w:t>
            </w:r>
          </w:p>
        </w:tc>
      </w:tr>
      <w:tr>
        <w:tblPrEx>
          <w:tblLayout w:type="fixed"/>
          <w:tblCellMar>
            <w:top w:w="0" w:type="dxa"/>
            <w:left w:w="108" w:type="dxa"/>
            <w:bottom w:w="0" w:type="dxa"/>
            <w:right w:w="108" w:type="dxa"/>
          </w:tblCellMar>
        </w:tblPrEx>
        <w:trPr>
          <w:trHeight w:val="904"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劳务费</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临时人员工资及保险，外包保洁员工资等</w:t>
            </w:r>
          </w:p>
        </w:tc>
      </w:tr>
      <w:tr>
        <w:tblPrEx>
          <w:tblLayout w:type="fixed"/>
          <w:tblCellMar>
            <w:top w:w="0" w:type="dxa"/>
            <w:left w:w="108" w:type="dxa"/>
            <w:bottom w:w="0" w:type="dxa"/>
            <w:right w:w="108" w:type="dxa"/>
          </w:tblCellMar>
        </w:tblPrEx>
        <w:trPr>
          <w:trHeight w:val="285"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提前下达2023年国有企业退休人员社会化管理补助资金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提高国有企业退休人员生活品质</w:t>
            </w:r>
          </w:p>
        </w:tc>
      </w:tr>
      <w:tr>
        <w:tblPrEx>
          <w:tblLayout w:type="fixed"/>
          <w:tblCellMar>
            <w:top w:w="0" w:type="dxa"/>
            <w:left w:w="108" w:type="dxa"/>
            <w:bottom w:w="0" w:type="dxa"/>
            <w:right w:w="108" w:type="dxa"/>
          </w:tblCellMar>
        </w:tblPrEx>
        <w:trPr>
          <w:trHeight w:val="285"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新财预2023.213老旧小区改造</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老旧小区改造</w:t>
            </w:r>
          </w:p>
        </w:tc>
      </w:tr>
      <w:tr>
        <w:tblPrEx>
          <w:tblLayout w:type="fixed"/>
          <w:tblCellMar>
            <w:top w:w="0" w:type="dxa"/>
            <w:left w:w="108" w:type="dxa"/>
            <w:bottom w:w="0" w:type="dxa"/>
            <w:right w:w="108" w:type="dxa"/>
          </w:tblCellMar>
        </w:tblPrEx>
        <w:trPr>
          <w:trHeight w:val="285"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新财预2023.34老旧小区改造</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老旧小区改造</w:t>
            </w:r>
          </w:p>
        </w:tc>
      </w:tr>
      <w:tr>
        <w:tblPrEx>
          <w:tblLayout w:type="fixed"/>
          <w:tblCellMar>
            <w:top w:w="0" w:type="dxa"/>
            <w:left w:w="108" w:type="dxa"/>
            <w:bottom w:w="0" w:type="dxa"/>
            <w:right w:w="108" w:type="dxa"/>
          </w:tblCellMar>
        </w:tblPrEx>
        <w:trPr>
          <w:trHeight w:val="285" w:hRule="atLeast"/>
        </w:trPr>
        <w:tc>
          <w:tcPr>
            <w:tcW w:w="1360"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新财预【2023】381号下达2024年公共图书馆、美术馆、文化馆（站）免费开放补助资金预算的通知</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2024年公共图书馆、美术馆、文化馆（站）免费开放补助</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1,197.69</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1,197.69</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328.26</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869.43</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相关</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科学</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合理</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完整</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90"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健全</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公开</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规范</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66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改善办公条件及日常运转工作任务完成率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1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提前下达2023年国有企业退休人员社会化管理补助资金工作任务完成率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1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支付劳务费工作任务完成率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1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新财预【2023】381号2024年公共图书馆、美术馆、文化馆（站）免费开放补助工作完成率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1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新财预2023.213老旧小区改造工作任务完成率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新财预2023.34老旧小区改造工作任务完成率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提升群众服务能力实现率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提升辖区群众居住环境实现率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提升服务群众能力，提高工作效率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明显提升</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增加群众幸福感</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显著</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改善社区环境，为辖区群众打造生态宜居社区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有效改善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辖区居民满意度</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反映社会公众或服务对象在部门履职效果、解决民众关心的热点问题等方面的满意程度。可根据部门实际情况有选择的进行设置，并将三级指标细化为相应的个性化指标。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1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辖区享受服务居民满意度</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反映社会公众或服务对象在部门履职效果、解决民众关心的热点问题等方面的满意程度。可根据部门实际情况有选择的进行设置，并将三级指标细化为相应的个性化指标。</w:t>
            </w:r>
          </w:p>
        </w:tc>
      </w:tr>
    </w:tbl>
    <w:p>
      <w:pPr>
        <w:keepNext w:val="0"/>
        <w:keepLines w:val="0"/>
        <w:pageBreakBefore w:val="0"/>
        <w:kinsoku w:val="0"/>
        <w:wordWrap/>
        <w:overflowPunct w:val="0"/>
        <w:topLinePunct w:val="0"/>
        <w:autoSpaceDE/>
        <w:autoSpaceDN/>
        <w:bidi w:val="0"/>
        <w:adjustRightInd w:val="0"/>
        <w:snapToGrid w:val="0"/>
        <w:spacing w:line="240" w:lineRule="exact"/>
        <w:ind w:left="0" w:leftChars="0" w:right="0" w:rightChars="0" w:firstLine="0" w:firstLineChars="0"/>
        <w:outlineLvl w:val="9"/>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tbl>
      <w:tblPr>
        <w:tblStyle w:val="6"/>
        <w:tblW w:w="15451" w:type="dxa"/>
        <w:tblInd w:w="108" w:type="dxa"/>
        <w:tblLayout w:type="fixed"/>
        <w:tblCellMar>
          <w:top w:w="0" w:type="dxa"/>
          <w:left w:w="108" w:type="dxa"/>
          <w:bottom w:w="0" w:type="dxa"/>
          <w:right w:w="108" w:type="dxa"/>
        </w:tblCellMar>
      </w:tblPr>
      <w:tblGrid>
        <w:gridCol w:w="2106"/>
        <w:gridCol w:w="1756"/>
        <w:gridCol w:w="810"/>
        <w:gridCol w:w="885"/>
        <w:gridCol w:w="1005"/>
        <w:gridCol w:w="975"/>
        <w:gridCol w:w="1020"/>
        <w:gridCol w:w="885"/>
        <w:gridCol w:w="1095"/>
        <w:gridCol w:w="930"/>
        <w:gridCol w:w="1095"/>
        <w:gridCol w:w="930"/>
        <w:gridCol w:w="1095"/>
        <w:gridCol w:w="864"/>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年度部门预算项目绩效目标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新乡市卫滨区南桥街道办事处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33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367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7914"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5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75"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0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02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02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9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CellMar>
            <w:top w:w="0" w:type="dxa"/>
            <w:left w:w="108" w:type="dxa"/>
            <w:bottom w:w="0" w:type="dxa"/>
            <w:right w:w="108" w:type="dxa"/>
          </w:tblCellMar>
        </w:tblPrEx>
        <w:trPr>
          <w:trHeight w:val="657"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5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1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88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97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02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8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09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3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09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3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09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64"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285"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403</w:t>
            </w:r>
          </w:p>
        </w:tc>
        <w:tc>
          <w:tcPr>
            <w:tcW w:w="175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869.43</w:t>
            </w:r>
          </w:p>
        </w:tc>
        <w:tc>
          <w:tcPr>
            <w:tcW w:w="8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869.43</w:t>
            </w:r>
          </w:p>
        </w:tc>
        <w:tc>
          <w:tcPr>
            <w:tcW w:w="100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7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2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8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3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3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64"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582" w:hRule="atLeast"/>
        </w:trPr>
        <w:tc>
          <w:tcPr>
            <w:tcW w:w="210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403001</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新乡市卫滨区南桥街道办事处本级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177.00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52" w:hRule="atLeast"/>
        </w:trPr>
        <w:tc>
          <w:tcPr>
            <w:tcW w:w="210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center"/>
              <w:outlineLvl w:val="9"/>
              <w:rPr>
                <w:rFonts w:hint="eastAsia" w:ascii="宋体" w:hAnsi="宋体" w:cs="宋体"/>
                <w:kern w:val="0"/>
                <w:sz w:val="18"/>
                <w:szCs w:val="18"/>
                <w:highlight w:val="none"/>
              </w:rPr>
            </w:pP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新乡市卫滨区南桥街道办事处</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692.43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692.43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3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410703220000000016936</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改善办公条件及日常运转</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127.00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127.00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57"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410703220000000016941</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劳务费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7"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410703240000000042827</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新财预2023.213老旧小区改造</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122.08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122.08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87"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410703240000000042837</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新财预2023.34老旧小区改造</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531.85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531.85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76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410703240000000058414</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提前下达2023年国有企业退休人员社会化管理补助资金</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110"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410703240000000058425</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新财预【2023】381号关于提前下达2024年公共图书馆、美术馆、文化馆（站）免费开放补助资金预算的通知</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right"/>
              <w:textAlignment w:val="center"/>
              <w:outlineLvl w:val="9"/>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right"/>
              <w:outlineLvl w:val="9"/>
              <w:rPr>
                <w:rFonts w:hint="eastAsia" w:ascii="宋体" w:hAnsi="宋体" w:cs="宋体"/>
                <w:kern w:val="0"/>
                <w:sz w:val="18"/>
                <w:szCs w:val="18"/>
                <w:highlight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ind w:left="0" w:leftChars="0" w:right="0" w:rightChars="0" w:firstLine="0" w:firstLineChars="0"/>
              <w:jc w:val="left"/>
              <w:outlineLvl w:val="9"/>
              <w:rPr>
                <w:rFonts w:hint="eastAsia" w:ascii="宋体" w:hAnsi="宋体" w:cs="宋体"/>
                <w:kern w:val="0"/>
                <w:sz w:val="18"/>
                <w:szCs w:val="18"/>
                <w:highlight w:val="none"/>
              </w:rPr>
            </w:pPr>
          </w:p>
        </w:tc>
      </w:tr>
    </w:tbl>
    <w:p>
      <w:pPr>
        <w:keepNext w:val="0"/>
        <w:keepLines w:val="0"/>
        <w:pageBreakBefore w:val="0"/>
        <w:kinsoku w:val="0"/>
        <w:wordWrap/>
        <w:overflowPunct w:val="0"/>
        <w:topLinePunct w:val="0"/>
        <w:autoSpaceDE/>
        <w:autoSpaceDN/>
        <w:bidi w:val="0"/>
        <w:adjustRightInd w:val="0"/>
        <w:snapToGrid w:val="0"/>
        <w:spacing w:line="240" w:lineRule="exact"/>
        <w:ind w:left="0" w:leftChars="0" w:right="0" w:rightChars="0" w:firstLine="0" w:firstLineChars="0"/>
        <w:outlineLvl w:val="9"/>
        <w:rPr>
          <w:rFonts w:hint="eastAsia" w:ascii="黑体" w:hAnsi="Times New Roman" w:eastAsia="黑体" w:cs="黑体"/>
          <w:sz w:val="32"/>
          <w:szCs w:val="32"/>
          <w:highlight w:val="none"/>
        </w:rPr>
      </w:pPr>
    </w:p>
    <w:sectPr>
      <w:pgSz w:w="16838" w:h="11906" w:orient="landscape"/>
      <w:pgMar w:top="1701" w:right="567" w:bottom="1559" w:left="56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EC20E2"/>
    <w:rsid w:val="028A615F"/>
    <w:rsid w:val="04E82E5D"/>
    <w:rsid w:val="04EB0D09"/>
    <w:rsid w:val="0600615C"/>
    <w:rsid w:val="068C5C42"/>
    <w:rsid w:val="06C47767"/>
    <w:rsid w:val="0822685D"/>
    <w:rsid w:val="086A430B"/>
    <w:rsid w:val="08EE5446"/>
    <w:rsid w:val="09E907EB"/>
    <w:rsid w:val="0AB32D58"/>
    <w:rsid w:val="0BFC73C5"/>
    <w:rsid w:val="0CEE31B2"/>
    <w:rsid w:val="0CEF2B00"/>
    <w:rsid w:val="0F2C1D70"/>
    <w:rsid w:val="0FA90872"/>
    <w:rsid w:val="108D4A90"/>
    <w:rsid w:val="10914580"/>
    <w:rsid w:val="11146F5F"/>
    <w:rsid w:val="11A825AE"/>
    <w:rsid w:val="123705B9"/>
    <w:rsid w:val="12CD1645"/>
    <w:rsid w:val="13272F7A"/>
    <w:rsid w:val="13910C45"/>
    <w:rsid w:val="139F4D6C"/>
    <w:rsid w:val="15B925CF"/>
    <w:rsid w:val="169267C0"/>
    <w:rsid w:val="17180B22"/>
    <w:rsid w:val="175F3CA6"/>
    <w:rsid w:val="17731C50"/>
    <w:rsid w:val="17767D2A"/>
    <w:rsid w:val="19FB7D8E"/>
    <w:rsid w:val="1A5B6391"/>
    <w:rsid w:val="1B9430C3"/>
    <w:rsid w:val="1C7012F4"/>
    <w:rsid w:val="209B625B"/>
    <w:rsid w:val="219D5072"/>
    <w:rsid w:val="221D378B"/>
    <w:rsid w:val="223B53EA"/>
    <w:rsid w:val="25C04903"/>
    <w:rsid w:val="25E2722C"/>
    <w:rsid w:val="2A37305D"/>
    <w:rsid w:val="2A5266D7"/>
    <w:rsid w:val="2AD76DF3"/>
    <w:rsid w:val="2C1A4849"/>
    <w:rsid w:val="2DB41456"/>
    <w:rsid w:val="2E5A1FFE"/>
    <w:rsid w:val="2EB86D24"/>
    <w:rsid w:val="30006BD5"/>
    <w:rsid w:val="31132938"/>
    <w:rsid w:val="32B83797"/>
    <w:rsid w:val="33692296"/>
    <w:rsid w:val="33ED7470"/>
    <w:rsid w:val="343D3BEB"/>
    <w:rsid w:val="365B3B1A"/>
    <w:rsid w:val="368469FD"/>
    <w:rsid w:val="385C66DD"/>
    <w:rsid w:val="39063762"/>
    <w:rsid w:val="399C7E17"/>
    <w:rsid w:val="39D92970"/>
    <w:rsid w:val="3A322081"/>
    <w:rsid w:val="3BD07B55"/>
    <w:rsid w:val="3D440195"/>
    <w:rsid w:val="3F307B68"/>
    <w:rsid w:val="3FAE2155"/>
    <w:rsid w:val="47D755C8"/>
    <w:rsid w:val="480E1D32"/>
    <w:rsid w:val="4A0A4905"/>
    <w:rsid w:val="4A7B537E"/>
    <w:rsid w:val="4B716A37"/>
    <w:rsid w:val="4BAC1AC0"/>
    <w:rsid w:val="4BBF201F"/>
    <w:rsid w:val="4C371778"/>
    <w:rsid w:val="4C7813AD"/>
    <w:rsid w:val="4CDA2801"/>
    <w:rsid w:val="4F917FC6"/>
    <w:rsid w:val="50115BCE"/>
    <w:rsid w:val="501B68C6"/>
    <w:rsid w:val="508D27A6"/>
    <w:rsid w:val="510D0E91"/>
    <w:rsid w:val="5115798C"/>
    <w:rsid w:val="51C51D65"/>
    <w:rsid w:val="5236524B"/>
    <w:rsid w:val="52377DDC"/>
    <w:rsid w:val="55381AB4"/>
    <w:rsid w:val="571D2E2C"/>
    <w:rsid w:val="57803FD4"/>
    <w:rsid w:val="579D29FC"/>
    <w:rsid w:val="57C60097"/>
    <w:rsid w:val="58B3330D"/>
    <w:rsid w:val="58B8154B"/>
    <w:rsid w:val="58E01999"/>
    <w:rsid w:val="59156B87"/>
    <w:rsid w:val="59642F2F"/>
    <w:rsid w:val="59AA14E0"/>
    <w:rsid w:val="59E52906"/>
    <w:rsid w:val="5AB37B9B"/>
    <w:rsid w:val="5AF554D4"/>
    <w:rsid w:val="5B5A4B3C"/>
    <w:rsid w:val="5C2F77C1"/>
    <w:rsid w:val="5C675762"/>
    <w:rsid w:val="5CB70498"/>
    <w:rsid w:val="5D1412C6"/>
    <w:rsid w:val="5DB82D9D"/>
    <w:rsid w:val="5E155F2A"/>
    <w:rsid w:val="5E211941"/>
    <w:rsid w:val="5ED512CA"/>
    <w:rsid w:val="600E40C9"/>
    <w:rsid w:val="604E3D2F"/>
    <w:rsid w:val="62200402"/>
    <w:rsid w:val="62A55CA5"/>
    <w:rsid w:val="6468013A"/>
    <w:rsid w:val="649C46F2"/>
    <w:rsid w:val="6643017F"/>
    <w:rsid w:val="66792AAC"/>
    <w:rsid w:val="66B82470"/>
    <w:rsid w:val="67875A5C"/>
    <w:rsid w:val="69E76134"/>
    <w:rsid w:val="6B14138E"/>
    <w:rsid w:val="6BC229B5"/>
    <w:rsid w:val="6F232DF4"/>
    <w:rsid w:val="71A9298B"/>
    <w:rsid w:val="71B132B0"/>
    <w:rsid w:val="72BD29C0"/>
    <w:rsid w:val="737F4D96"/>
    <w:rsid w:val="73CB561A"/>
    <w:rsid w:val="73F13E37"/>
    <w:rsid w:val="748B06D6"/>
    <w:rsid w:val="74D42813"/>
    <w:rsid w:val="75651B17"/>
    <w:rsid w:val="7617142A"/>
    <w:rsid w:val="762A388D"/>
    <w:rsid w:val="7789230E"/>
    <w:rsid w:val="779C1699"/>
    <w:rsid w:val="781047D4"/>
    <w:rsid w:val="797F6F0E"/>
    <w:rsid w:val="79DC6ADA"/>
    <w:rsid w:val="7A990D85"/>
    <w:rsid w:val="7AE75F94"/>
    <w:rsid w:val="7B0E49A9"/>
    <w:rsid w:val="7D1D18E6"/>
    <w:rsid w:val="7D2F3C22"/>
    <w:rsid w:val="7D8C29CD"/>
    <w:rsid w:val="7DC47EB1"/>
    <w:rsid w:val="7DE6123C"/>
    <w:rsid w:val="7F802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8700</Words>
  <Characters>10422</Characters>
  <Lines>117</Lines>
  <Paragraphs>32</Paragraphs>
  <ScaleCrop>false</ScaleCrop>
  <LinksUpToDate>false</LinksUpToDate>
  <CharactersWithSpaces>11549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2024-03-21T08:00:25Z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