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hint="eastAsia" w:ascii="华文宋体" w:hAnsi="华文宋体" w:eastAsia="华文宋体" w:cs="华文宋体"/>
          <w:sz w:val="44"/>
          <w:szCs w:val="44"/>
        </w:rPr>
      </w:pPr>
      <w:r>
        <w:rPr>
          <w:rFonts w:hint="eastAsia" w:ascii="华文宋体" w:hAnsi="华文宋体" w:eastAsia="华文宋体" w:cs="华文宋体"/>
          <w:b/>
          <w:kern w:val="0"/>
          <w:sz w:val="44"/>
          <w:szCs w:val="44"/>
        </w:rPr>
        <w:t>202</w:t>
      </w:r>
      <w:r>
        <w:rPr>
          <w:rFonts w:hint="eastAsia" w:ascii="华文宋体" w:hAnsi="华文宋体" w:eastAsia="华文宋体" w:cs="华文宋体"/>
          <w:b/>
          <w:kern w:val="0"/>
          <w:sz w:val="44"/>
          <w:szCs w:val="44"/>
          <w:lang w:val="en-US" w:eastAsia="zh-CN"/>
        </w:rPr>
        <w:t>3</w:t>
      </w:r>
      <w:r>
        <w:rPr>
          <w:rFonts w:hint="eastAsia" w:ascii="华文宋体" w:hAnsi="华文宋体" w:eastAsia="华文宋体" w:cs="华文宋体"/>
          <w:b/>
          <w:kern w:val="0"/>
          <w:sz w:val="44"/>
          <w:szCs w:val="44"/>
        </w:rPr>
        <w:t>年度一般公共预算“三公”经费决算执行情况说明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文星仿宋" w:eastAsia="仿宋_GB2312"/>
          <w:sz w:val="32"/>
          <w:szCs w:val="24"/>
        </w:rPr>
      </w:pPr>
    </w:p>
    <w:tbl>
      <w:tblPr>
        <w:tblStyle w:val="4"/>
        <w:tblpPr w:leftFromText="180" w:rightFromText="180" w:vertAnchor="text" w:horzAnchor="page" w:tblpX="554" w:tblpY="3209"/>
        <w:tblOverlap w:val="never"/>
        <w:tblW w:w="111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2"/>
        <w:gridCol w:w="471"/>
        <w:gridCol w:w="937"/>
        <w:gridCol w:w="992"/>
        <w:gridCol w:w="977"/>
        <w:gridCol w:w="963"/>
        <w:gridCol w:w="1036"/>
        <w:gridCol w:w="1007"/>
        <w:gridCol w:w="829"/>
        <w:gridCol w:w="963"/>
        <w:gridCol w:w="903"/>
        <w:gridCol w:w="8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是否机关本级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（是/否）</w:t>
            </w:r>
          </w:p>
        </w:tc>
        <w:tc>
          <w:tcPr>
            <w:tcW w:w="943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2022年截至第4季度有关经费支出累计数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</w:trPr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一、“三公”经费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</w:trPr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“三公”经费合计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30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公务用车购置及运行维护费</w:t>
            </w:r>
          </w:p>
        </w:tc>
        <w:tc>
          <w:tcPr>
            <w:tcW w:w="35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公务接待费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其中：出国（境）培训费用</w:t>
            </w:r>
          </w:p>
        </w:tc>
        <w:tc>
          <w:tcPr>
            <w:tcW w:w="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1.公务用车购置费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2.公务用车运行费</w:t>
            </w:r>
          </w:p>
        </w:tc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1.国内接待费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2.国（境）外接待费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4" w:hRule="atLeast"/>
        </w:trPr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其中：外事接待费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卫滨区总合计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131.75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130.50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14.30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116.20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卫滨区本级合计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107.42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106.17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106.17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文星仿宋" w:eastAsia="仿宋_GB2312"/>
          <w:sz w:val="32"/>
          <w:szCs w:val="24"/>
        </w:rPr>
      </w:pPr>
      <w:r>
        <w:rPr>
          <w:rFonts w:ascii="仿宋_GB2312" w:hAnsi="文星仿宋" w:eastAsia="仿宋_GB2312"/>
          <w:sz w:val="32"/>
          <w:szCs w:val="24"/>
        </w:rPr>
        <w:t>202</w:t>
      </w:r>
      <w:r>
        <w:rPr>
          <w:rFonts w:hint="eastAsia" w:ascii="仿宋_GB2312" w:hAnsi="文星仿宋" w:eastAsia="仿宋_GB2312"/>
          <w:sz w:val="32"/>
          <w:szCs w:val="24"/>
          <w:lang w:val="en-US" w:eastAsia="zh-CN"/>
        </w:rPr>
        <w:t>3</w:t>
      </w:r>
      <w:r>
        <w:rPr>
          <w:rFonts w:hint="eastAsia" w:ascii="仿宋_GB2312" w:hAnsi="文星仿宋" w:eastAsia="仿宋_GB2312"/>
          <w:sz w:val="32"/>
          <w:szCs w:val="24"/>
        </w:rPr>
        <w:t>年全区一般公共预算安排的“三公”经费决算支出</w:t>
      </w:r>
      <w:r>
        <w:rPr>
          <w:rFonts w:hint="eastAsia" w:ascii="仿宋_GB2312" w:hAnsi="文星仿宋" w:eastAsia="仿宋_GB2312"/>
          <w:sz w:val="32"/>
          <w:szCs w:val="24"/>
          <w:lang w:val="en-US" w:eastAsia="zh-CN"/>
        </w:rPr>
        <w:t>122.08</w:t>
      </w:r>
      <w:r>
        <w:rPr>
          <w:rFonts w:hint="eastAsia" w:ascii="仿宋_GB2312" w:hAnsi="文星仿宋" w:eastAsia="仿宋_GB2312"/>
          <w:sz w:val="32"/>
          <w:szCs w:val="24"/>
        </w:rPr>
        <w:t>万元，比上年</w:t>
      </w:r>
      <w:r>
        <w:rPr>
          <w:rFonts w:hint="eastAsia" w:ascii="仿宋_GB2312" w:hAnsi="文星仿宋" w:eastAsia="仿宋_GB2312"/>
          <w:sz w:val="32"/>
          <w:szCs w:val="24"/>
          <w:lang w:eastAsia="zh-CN"/>
        </w:rPr>
        <w:t>减少</w:t>
      </w:r>
      <w:r>
        <w:rPr>
          <w:rFonts w:hint="eastAsia" w:ascii="仿宋_GB2312" w:hAnsi="文星仿宋" w:eastAsia="仿宋_GB2312"/>
          <w:sz w:val="32"/>
          <w:szCs w:val="24"/>
          <w:lang w:val="en-US" w:eastAsia="zh-CN"/>
        </w:rPr>
        <w:t>9.67</w:t>
      </w:r>
      <w:r>
        <w:rPr>
          <w:rFonts w:hint="eastAsia" w:ascii="仿宋_GB2312" w:hAnsi="文星仿宋" w:eastAsia="仿宋_GB2312"/>
          <w:sz w:val="32"/>
          <w:szCs w:val="24"/>
        </w:rPr>
        <w:t>万元，</w:t>
      </w:r>
      <w:r>
        <w:rPr>
          <w:rFonts w:hint="eastAsia" w:ascii="仿宋_GB2312" w:hAnsi="文星仿宋" w:eastAsia="仿宋_GB2312"/>
          <w:sz w:val="32"/>
          <w:szCs w:val="24"/>
          <w:lang w:eastAsia="zh-CN"/>
        </w:rPr>
        <w:t>下降</w:t>
      </w:r>
      <w:r>
        <w:rPr>
          <w:rFonts w:hint="eastAsia" w:ascii="仿宋_GB2312" w:hAnsi="文星仿宋" w:eastAsia="仿宋_GB2312"/>
          <w:sz w:val="32"/>
          <w:szCs w:val="24"/>
          <w:lang w:val="en-US" w:eastAsia="zh-CN"/>
        </w:rPr>
        <w:t>7.34</w:t>
      </w:r>
      <w:r>
        <w:rPr>
          <w:rFonts w:ascii="仿宋_GB2312" w:hAnsi="文星仿宋" w:eastAsia="仿宋_GB2312"/>
          <w:sz w:val="32"/>
          <w:szCs w:val="24"/>
        </w:rPr>
        <w:t>%</w:t>
      </w:r>
      <w:r>
        <w:rPr>
          <w:rFonts w:hint="eastAsia" w:ascii="仿宋_GB2312" w:hAnsi="文星仿宋" w:eastAsia="仿宋_GB2312"/>
          <w:sz w:val="32"/>
          <w:szCs w:val="24"/>
        </w:rPr>
        <w:t>。其中：因公出国（境）费</w:t>
      </w:r>
      <w:r>
        <w:rPr>
          <w:rFonts w:ascii="仿宋_GB2312" w:hAnsi="文星仿宋" w:eastAsia="仿宋_GB2312"/>
          <w:sz w:val="32"/>
          <w:szCs w:val="24"/>
        </w:rPr>
        <w:t>0</w:t>
      </w:r>
      <w:r>
        <w:rPr>
          <w:rFonts w:hint="eastAsia" w:ascii="仿宋_GB2312" w:hAnsi="文星仿宋" w:eastAsia="仿宋_GB2312"/>
          <w:sz w:val="32"/>
          <w:szCs w:val="24"/>
        </w:rPr>
        <w:t>万元，公务接待费</w:t>
      </w:r>
      <w:r>
        <w:rPr>
          <w:rFonts w:hint="eastAsia" w:ascii="仿宋_GB2312" w:hAnsi="文星仿宋" w:eastAsia="仿宋_GB2312"/>
          <w:sz w:val="32"/>
          <w:szCs w:val="24"/>
          <w:lang w:val="en-US" w:eastAsia="zh-CN"/>
        </w:rPr>
        <w:t>4.92</w:t>
      </w:r>
      <w:r>
        <w:rPr>
          <w:rFonts w:hint="eastAsia" w:ascii="仿宋_GB2312" w:hAnsi="文星仿宋" w:eastAsia="仿宋_GB2312"/>
          <w:sz w:val="32"/>
          <w:szCs w:val="24"/>
        </w:rPr>
        <w:t>万元，</w:t>
      </w:r>
      <w:r>
        <w:rPr>
          <w:rFonts w:hint="eastAsia" w:ascii="仿宋_GB2312" w:hAnsi="文星仿宋" w:eastAsia="仿宋_GB2312"/>
          <w:sz w:val="32"/>
          <w:szCs w:val="24"/>
          <w:lang w:eastAsia="zh-CN"/>
        </w:rPr>
        <w:t>上升</w:t>
      </w:r>
      <w:r>
        <w:rPr>
          <w:rFonts w:hint="eastAsia" w:ascii="仿宋_GB2312" w:hAnsi="文星仿宋" w:eastAsia="仿宋_GB2312"/>
          <w:sz w:val="32"/>
          <w:szCs w:val="24"/>
          <w:lang w:val="en-US" w:eastAsia="zh-CN"/>
        </w:rPr>
        <w:t>293.6</w:t>
      </w:r>
      <w:r>
        <w:rPr>
          <w:rFonts w:ascii="仿宋_GB2312" w:hAnsi="文星仿宋" w:eastAsia="仿宋_GB2312"/>
          <w:sz w:val="32"/>
          <w:szCs w:val="24"/>
        </w:rPr>
        <w:t>%</w:t>
      </w:r>
      <w:r>
        <w:rPr>
          <w:rFonts w:hint="eastAsia" w:ascii="仿宋_GB2312" w:hAnsi="文星仿宋" w:eastAsia="仿宋_GB2312"/>
          <w:sz w:val="32"/>
          <w:szCs w:val="24"/>
        </w:rPr>
        <w:t>；公务用车运行维护费</w:t>
      </w:r>
      <w:r>
        <w:rPr>
          <w:rFonts w:hint="eastAsia" w:ascii="仿宋_GB2312" w:hAnsi="文星仿宋" w:eastAsia="仿宋_GB2312"/>
          <w:sz w:val="32"/>
          <w:szCs w:val="24"/>
          <w:lang w:val="en-US" w:eastAsia="zh-CN"/>
        </w:rPr>
        <w:t>117.16</w:t>
      </w:r>
      <w:r>
        <w:rPr>
          <w:rFonts w:hint="eastAsia" w:ascii="仿宋_GB2312" w:hAnsi="文星仿宋" w:eastAsia="仿宋_GB2312"/>
          <w:sz w:val="32"/>
          <w:szCs w:val="24"/>
        </w:rPr>
        <w:t>万元，</w:t>
      </w:r>
      <w:r>
        <w:rPr>
          <w:rFonts w:hint="eastAsia" w:ascii="仿宋_GB2312" w:hAnsi="文星仿宋" w:eastAsia="仿宋_GB2312"/>
          <w:sz w:val="32"/>
          <w:szCs w:val="24"/>
          <w:lang w:eastAsia="zh-CN"/>
        </w:rPr>
        <w:t>增长</w:t>
      </w:r>
      <w:r>
        <w:rPr>
          <w:rFonts w:hint="eastAsia" w:ascii="仿宋_GB2312" w:hAnsi="文星仿宋" w:eastAsia="仿宋_GB2312"/>
          <w:sz w:val="32"/>
          <w:szCs w:val="24"/>
          <w:lang w:val="en-US" w:eastAsia="zh-CN"/>
        </w:rPr>
        <w:t>0.83</w:t>
      </w:r>
      <w:r>
        <w:rPr>
          <w:rFonts w:ascii="仿宋_GB2312" w:hAnsi="文星仿宋" w:eastAsia="仿宋_GB2312"/>
          <w:sz w:val="32"/>
          <w:szCs w:val="24"/>
        </w:rPr>
        <w:t>%</w:t>
      </w:r>
      <w:r>
        <w:rPr>
          <w:rFonts w:hint="eastAsia" w:ascii="仿宋_GB2312" w:hAnsi="文星仿宋" w:eastAsia="仿宋_GB2312"/>
          <w:sz w:val="32"/>
          <w:szCs w:val="24"/>
        </w:rPr>
        <w:t>；公务用车购置费</w:t>
      </w:r>
      <w:r>
        <w:rPr>
          <w:rFonts w:hint="eastAsia" w:ascii="仿宋_GB2312" w:hAnsi="文星仿宋" w:eastAsia="仿宋_GB2312"/>
          <w:sz w:val="32"/>
          <w:szCs w:val="24"/>
          <w:lang w:val="en-US" w:eastAsia="zh-CN"/>
        </w:rPr>
        <w:t>0万元，下降</w:t>
      </w:r>
      <w:bookmarkStart w:id="0" w:name="_GoBack"/>
      <w:bookmarkEnd w:id="0"/>
      <w:r>
        <w:rPr>
          <w:rFonts w:hint="eastAsia" w:ascii="仿宋_GB2312" w:hAnsi="文星仿宋" w:eastAsia="仿宋_GB2312"/>
          <w:sz w:val="32"/>
          <w:szCs w:val="24"/>
          <w:lang w:val="en-US" w:eastAsia="zh-CN"/>
        </w:rPr>
        <w:t>100%</w:t>
      </w:r>
      <w:r>
        <w:rPr>
          <w:rFonts w:hint="eastAsia" w:ascii="仿宋_GB2312" w:hAnsi="文星仿宋" w:eastAsia="仿宋_GB2312"/>
          <w:sz w:val="32"/>
          <w:szCs w:val="24"/>
        </w:rPr>
        <w:t>。</w:t>
      </w:r>
    </w:p>
    <w:tbl>
      <w:tblPr>
        <w:tblStyle w:val="4"/>
        <w:tblpPr w:leftFromText="180" w:rightFromText="180" w:vertAnchor="text" w:horzAnchor="page" w:tblpX="578" w:tblpY="313"/>
        <w:tblOverlap w:val="never"/>
        <w:tblW w:w="1115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0"/>
        <w:gridCol w:w="450"/>
        <w:gridCol w:w="950"/>
        <w:gridCol w:w="1000"/>
        <w:gridCol w:w="983"/>
        <w:gridCol w:w="984"/>
        <w:gridCol w:w="1016"/>
        <w:gridCol w:w="1000"/>
        <w:gridCol w:w="850"/>
        <w:gridCol w:w="934"/>
        <w:gridCol w:w="933"/>
        <w:gridCol w:w="80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是否机关本级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（是/否）</w:t>
            </w:r>
          </w:p>
        </w:tc>
        <w:tc>
          <w:tcPr>
            <w:tcW w:w="94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2023年截至第4季度有关经费支出累计数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一、“三公”经费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“三公”经费合计</w:t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公务用车购置及运行维护费</w:t>
            </w:r>
          </w:p>
        </w:tc>
        <w:tc>
          <w:tcPr>
            <w:tcW w:w="35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公务接待费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其中：出国（境）培训费用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1.公务用车购置费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2.公务用车运行费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1.国内接待费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2.国（境）外接待费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其中：外事接待费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卫滨区总合计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122.08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117.16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4.92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本级合计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106.09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101.69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101.69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4.40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</w:tbl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仿宋_GB2312" w:hAnsi="文星仿宋" w:eastAsia="仿宋_GB2312"/>
          <w:sz w:val="32"/>
          <w:szCs w:val="24"/>
        </w:rPr>
      </w:pP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仿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NotTrackMoves/>
  <w:documentProtection w:enforcement="0"/>
  <w:defaultTabStop w:val="72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87F"/>
    <w:rsid w:val="00000000"/>
    <w:rsid w:val="0034187F"/>
    <w:rsid w:val="00B20F7D"/>
    <w:rsid w:val="0DD85A5F"/>
    <w:rsid w:val="2A5A4FA8"/>
    <w:rsid w:val="31283C8F"/>
    <w:rsid w:val="3FFC464F"/>
    <w:rsid w:val="500B1A57"/>
    <w:rsid w:val="55283F8A"/>
    <w:rsid w:val="5B384B4D"/>
    <w:rsid w:val="69BF34CF"/>
    <w:rsid w:val="739C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9" w:name="heading 2"/>
    <w:lsdException w:qFormat="1" w:uiPriority="99" w:name="heading 3"/>
    <w:lsdException w:qFormat="1" w:uiPriority="99" w:name="heading 4"/>
    <w:lsdException w:qFormat="1" w:uiPriority="99" w:name="heading 5"/>
    <w:lsdException w:qFormat="1" w:uiPriority="99" w:name="heading 6"/>
    <w:lsdException w:qFormat="1" w:uiPriority="99" w:name="heading 7"/>
    <w:lsdException w:qFormat="1" w:uiPriority="99" w:name="heading 8"/>
    <w:lsdException w:qFormat="1"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99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Wingdings" w:hAnsi="Wingdings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Wingdings" w:hAnsi="Wingdings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Wingdings" w:hAnsi="Wingdings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112</Words>
  <Characters>642</Characters>
  <Lines>5</Lines>
  <Paragraphs>1</Paragraphs>
  <TotalTime>3</TotalTime>
  <ScaleCrop>false</ScaleCrop>
  <LinksUpToDate>false</LinksUpToDate>
  <CharactersWithSpaces>753</CharactersWithSpaces>
  <Application>WPS Office_11.1.0.9329_F1E327BC-269C-435d-A152-05C5408002CA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2021-09-03T09:02:00Z</dcterms:created>
  <dc:creator>Administrator</dc:creator>
  <cp:lastModifiedBy>Administrator</cp:lastModifiedBy>
  <dcterms:modified xsi:type="dcterms:W3CDTF">2024-08-23T03:09:09Z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