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2797">
      <w:pPr>
        <w:spacing w:line="480" w:lineRule="auto"/>
        <w:jc w:val="center"/>
        <w:rPr>
          <w:b/>
          <w:color w:val="FF0000"/>
          <w:sz w:val="48"/>
          <w:szCs w:val="48"/>
        </w:rPr>
      </w:pPr>
      <w:r>
        <w:rPr>
          <w:rFonts w:hint="eastAsia"/>
          <w:b/>
          <w:color w:val="FF0000"/>
          <w:sz w:val="48"/>
          <w:szCs w:val="48"/>
        </w:rPr>
        <w:t>新乡市卫滨区市场监督管理局</w:t>
      </w:r>
    </w:p>
    <w:p w14:paraId="6F06C80F">
      <w:pPr>
        <w:spacing w:line="480" w:lineRule="auto"/>
        <w:jc w:val="center"/>
        <w:rPr>
          <w:b/>
          <w:color w:val="FF0000"/>
          <w:sz w:val="48"/>
          <w:szCs w:val="48"/>
        </w:rPr>
      </w:pPr>
      <w:r>
        <w:rPr>
          <w:rFonts w:hint="eastAsia"/>
          <w:b/>
          <w:color w:val="FF0000"/>
          <w:sz w:val="48"/>
          <w:szCs w:val="48"/>
        </w:rPr>
        <w:t>通    告</w:t>
      </w:r>
    </w:p>
    <w:p w14:paraId="333AE703">
      <w:pPr>
        <w:jc w:val="center"/>
        <w:rPr>
          <w:b/>
          <w:sz w:val="36"/>
          <w:szCs w:val="36"/>
        </w:rPr>
      </w:pPr>
      <w:r>
        <w:rPr>
          <w:rFonts w:hint="eastAsia"/>
          <w:b/>
          <w:sz w:val="36"/>
          <w:szCs w:val="36"/>
        </w:rPr>
        <w:t>新乡市卫滨区市场监督管理局关于食品安全</w:t>
      </w:r>
    </w:p>
    <w:p w14:paraId="2C43F762">
      <w:pPr>
        <w:jc w:val="center"/>
        <w:rPr>
          <w:b/>
          <w:sz w:val="36"/>
          <w:szCs w:val="36"/>
        </w:rPr>
      </w:pPr>
      <w:r>
        <w:rPr>
          <w:rFonts w:hint="eastAsia"/>
          <w:b/>
          <w:sz w:val="36"/>
          <w:szCs w:val="36"/>
        </w:rPr>
        <w:t>监督抽检情况的通告</w:t>
      </w:r>
    </w:p>
    <w:p w14:paraId="39B37000">
      <w:pPr>
        <w:jc w:val="center"/>
        <w:rPr>
          <w:b/>
          <w:color w:val="FF0000"/>
          <w:sz w:val="36"/>
          <w:szCs w:val="36"/>
          <w:highlight w:val="none"/>
        </w:rPr>
      </w:pPr>
      <w:r>
        <w:rPr>
          <w:rFonts w:hint="eastAsia"/>
          <w:b/>
          <w:color w:val="FF0000"/>
          <w:sz w:val="36"/>
          <w:szCs w:val="36"/>
          <w:highlight w:val="none"/>
        </w:rPr>
        <w:t>(20</w:t>
      </w:r>
      <w:r>
        <w:rPr>
          <w:b/>
          <w:color w:val="FF0000"/>
          <w:sz w:val="36"/>
          <w:szCs w:val="36"/>
          <w:highlight w:val="none"/>
        </w:rPr>
        <w:t>2</w:t>
      </w:r>
      <w:r>
        <w:rPr>
          <w:rFonts w:hint="eastAsia"/>
          <w:b/>
          <w:color w:val="FF0000"/>
          <w:sz w:val="36"/>
          <w:szCs w:val="36"/>
          <w:highlight w:val="none"/>
          <w:lang w:val="en-US" w:eastAsia="zh-CN"/>
        </w:rPr>
        <w:t>5</w:t>
      </w:r>
      <w:r>
        <w:rPr>
          <w:rFonts w:hint="eastAsia"/>
          <w:b/>
          <w:color w:val="FF0000"/>
          <w:sz w:val="36"/>
          <w:szCs w:val="36"/>
          <w:highlight w:val="none"/>
        </w:rPr>
        <w:t>年第</w:t>
      </w:r>
      <w:r>
        <w:rPr>
          <w:rFonts w:hint="eastAsia"/>
          <w:b/>
          <w:color w:val="FF0000"/>
          <w:sz w:val="36"/>
          <w:szCs w:val="36"/>
          <w:highlight w:val="none"/>
          <w:lang w:val="en-US" w:eastAsia="zh-CN"/>
        </w:rPr>
        <w:t>2</w:t>
      </w:r>
      <w:r>
        <w:rPr>
          <w:rFonts w:hint="eastAsia"/>
          <w:b/>
          <w:color w:val="FF0000"/>
          <w:sz w:val="36"/>
          <w:szCs w:val="36"/>
          <w:highlight w:val="none"/>
        </w:rPr>
        <w:t>期)</w:t>
      </w:r>
    </w:p>
    <w:p w14:paraId="2DA28C75">
      <w:pPr>
        <w:pStyle w:val="8"/>
        <w:ind w:firstLine="600"/>
        <w:rPr>
          <w:rFonts w:asciiTheme="minorEastAsia" w:hAnsiTheme="minorEastAsia"/>
          <w:sz w:val="30"/>
          <w:szCs w:val="30"/>
        </w:rPr>
      </w:pPr>
      <w:r>
        <w:rPr>
          <w:rFonts w:hint="eastAsia" w:asciiTheme="minorEastAsia" w:hAnsiTheme="minorEastAsia"/>
          <w:color w:val="000000" w:themeColor="text1"/>
          <w:sz w:val="30"/>
          <w:szCs w:val="30"/>
          <w14:textFill>
            <w14:solidFill>
              <w14:schemeClr w14:val="tx1"/>
            </w14:solidFill>
          </w14:textFill>
        </w:rPr>
        <w:t>近期，新乡市卫滨区市场监督管理局组织</w:t>
      </w:r>
      <w:r>
        <w:rPr>
          <w:rFonts w:hint="eastAsia" w:asciiTheme="minorEastAsia" w:hAnsiTheme="minorEastAsia"/>
          <w:color w:val="000000" w:themeColor="text1"/>
          <w:sz w:val="30"/>
          <w:szCs w:val="30"/>
          <w:lang w:val="en-US" w:eastAsia="zh-CN"/>
          <w14:textFill>
            <w14:solidFill>
              <w14:schemeClr w14:val="tx1"/>
            </w14:solidFill>
          </w14:textFill>
        </w:rPr>
        <w:t>开展了3·15“你点我检”专项抽检，</w:t>
      </w:r>
      <w:r>
        <w:rPr>
          <w:rFonts w:hint="eastAsia" w:asciiTheme="minorEastAsia" w:hAnsiTheme="minorEastAsia"/>
          <w:color w:val="000000" w:themeColor="text1"/>
          <w:sz w:val="30"/>
          <w:szCs w:val="30"/>
          <w14:textFill>
            <w14:solidFill>
              <w14:schemeClr w14:val="tx1"/>
            </w14:solidFill>
          </w14:textFill>
        </w:rPr>
        <w:t>抽检</w:t>
      </w:r>
      <w:r>
        <w:rPr>
          <w:rFonts w:hint="eastAsia" w:asciiTheme="minorEastAsia" w:hAnsiTheme="minorEastAsia"/>
          <w:color w:val="000000" w:themeColor="text1"/>
          <w:sz w:val="30"/>
          <w:szCs w:val="30"/>
          <w:highlight w:val="none"/>
          <w14:textFill>
            <w14:solidFill>
              <w14:schemeClr w14:val="tx1"/>
            </w14:solidFill>
          </w14:textFill>
        </w:rPr>
        <w:t>了</w:t>
      </w:r>
      <w:r>
        <w:rPr>
          <w:rFonts w:hint="eastAsia" w:asciiTheme="minorEastAsia" w:hAnsiTheme="minorEastAsia"/>
          <w:color w:val="auto"/>
          <w:sz w:val="30"/>
          <w:szCs w:val="30"/>
          <w:highlight w:val="none"/>
          <w:lang w:eastAsia="zh-CN"/>
        </w:rPr>
        <w:t>淀粉及淀粉制品、</w:t>
      </w:r>
      <w:r>
        <w:rPr>
          <w:rFonts w:hint="eastAsia" w:asciiTheme="minorEastAsia" w:hAnsiTheme="minorEastAsia"/>
          <w:color w:val="auto"/>
          <w:sz w:val="30"/>
          <w:szCs w:val="30"/>
          <w:highlight w:val="none"/>
          <w:lang w:val="en-US" w:eastAsia="zh-CN"/>
        </w:rPr>
        <w:t>调味品、豆制品、粮食加工品、肉制品、乳制品、食用农产品7</w:t>
      </w:r>
      <w:r>
        <w:rPr>
          <w:rFonts w:hint="eastAsia" w:asciiTheme="minorEastAsia" w:hAnsiTheme="minorEastAsia"/>
          <w:color w:val="auto"/>
          <w:sz w:val="30"/>
          <w:szCs w:val="30"/>
          <w:highlight w:val="none"/>
        </w:rPr>
        <w:t>大类</w:t>
      </w:r>
      <w:r>
        <w:rPr>
          <w:rFonts w:hint="eastAsia" w:asciiTheme="minorEastAsia" w:hAnsiTheme="minorEastAsia"/>
          <w:color w:val="auto"/>
          <w:sz w:val="30"/>
          <w:szCs w:val="30"/>
        </w:rPr>
        <w:t>食品</w:t>
      </w:r>
      <w:r>
        <w:rPr>
          <w:rFonts w:hint="eastAsia" w:asciiTheme="minorEastAsia" w:hAnsiTheme="minorEastAsia"/>
          <w:color w:val="auto"/>
          <w:sz w:val="30"/>
          <w:szCs w:val="30"/>
          <w:lang w:val="en-US" w:eastAsia="zh-CN"/>
        </w:rPr>
        <w:t>10</w:t>
      </w:r>
      <w:r>
        <w:rPr>
          <w:rFonts w:hint="eastAsia" w:asciiTheme="minorEastAsia" w:hAnsiTheme="minorEastAsia"/>
          <w:color w:val="auto"/>
          <w:sz w:val="30"/>
          <w:szCs w:val="30"/>
        </w:rPr>
        <w:t>批次样品，抽样检验项目合格样品</w:t>
      </w:r>
      <w:r>
        <w:rPr>
          <w:rFonts w:hint="eastAsia" w:asciiTheme="minorEastAsia" w:hAnsiTheme="minorEastAsia"/>
          <w:color w:val="auto"/>
          <w:sz w:val="30"/>
          <w:szCs w:val="30"/>
          <w:lang w:val="en-US" w:eastAsia="zh-CN"/>
        </w:rPr>
        <w:t>10</w:t>
      </w:r>
      <w:r>
        <w:rPr>
          <w:rFonts w:hint="eastAsia" w:asciiTheme="minorEastAsia" w:hAnsiTheme="minorEastAsia"/>
          <w:color w:val="auto"/>
          <w:sz w:val="30"/>
          <w:szCs w:val="30"/>
        </w:rPr>
        <w:t>批次，</w:t>
      </w:r>
      <w:r>
        <w:rPr>
          <w:rFonts w:hint="eastAsia" w:asciiTheme="minorEastAsia" w:hAnsiTheme="minorEastAsia"/>
          <w:sz w:val="30"/>
          <w:szCs w:val="30"/>
          <w:lang w:eastAsia="zh-CN"/>
        </w:rPr>
        <w:t>未检出不合格样品</w:t>
      </w:r>
      <w:r>
        <w:rPr>
          <w:rFonts w:hint="eastAsia" w:asciiTheme="minorEastAsia" w:hAnsiTheme="minorEastAsia"/>
          <w:color w:val="auto"/>
          <w:sz w:val="30"/>
          <w:szCs w:val="30"/>
        </w:rPr>
        <w:t>。</w:t>
      </w:r>
      <w:r>
        <w:rPr>
          <w:rFonts w:hint="eastAsia" w:asciiTheme="minorEastAsia" w:hAnsiTheme="minorEastAsia"/>
          <w:sz w:val="30"/>
          <w:szCs w:val="30"/>
        </w:rPr>
        <w:t>检验项目等具体情况见附件。</w:t>
      </w:r>
    </w:p>
    <w:p w14:paraId="0BF3E175">
      <w:pPr>
        <w:pStyle w:val="8"/>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14:paraId="195292AC">
      <w:pPr>
        <w:pStyle w:val="8"/>
        <w:ind w:firstLine="600"/>
        <w:rPr>
          <w:rFonts w:asciiTheme="minorEastAsia" w:hAnsiTheme="minorEastAsia"/>
          <w:sz w:val="30"/>
          <w:szCs w:val="30"/>
          <w:highlight w:val="none"/>
        </w:rPr>
      </w:pPr>
      <w:r>
        <w:rPr>
          <w:rFonts w:hint="eastAsia" w:asciiTheme="minorEastAsia" w:hAnsiTheme="minorEastAsia"/>
          <w:sz w:val="30"/>
          <w:szCs w:val="30"/>
        </w:rPr>
        <w:t>特此通告。</w:t>
      </w:r>
    </w:p>
    <w:p w14:paraId="7A446BC2">
      <w:pPr>
        <w:pStyle w:val="8"/>
        <w:ind w:left="420" w:firstLine="0" w:firstLineChars="0"/>
        <w:rPr>
          <w:rFonts w:hint="default" w:asciiTheme="minorEastAsia" w:hAnsiTheme="minorEastAsia" w:eastAsiaTheme="minorEastAsia"/>
          <w:sz w:val="30"/>
          <w:szCs w:val="30"/>
          <w:highlight w:val="none"/>
          <w:lang w:val="en-US" w:eastAsia="zh-CN"/>
        </w:rPr>
      </w:pPr>
      <w:r>
        <w:rPr>
          <w:rFonts w:hint="eastAsia" w:asciiTheme="minorEastAsia" w:hAnsiTheme="minorEastAsia"/>
          <w:sz w:val="30"/>
          <w:szCs w:val="30"/>
          <w:highlight w:val="none"/>
        </w:rPr>
        <w:t>附件：1、本次检验项目-</w:t>
      </w:r>
      <w:r>
        <w:rPr>
          <w:rFonts w:hint="eastAsia" w:asciiTheme="minorEastAsia" w:hAnsiTheme="minorEastAsia"/>
          <w:color w:val="auto"/>
          <w:sz w:val="30"/>
          <w:szCs w:val="30"/>
          <w:highlight w:val="none"/>
          <w:lang w:val="en-US" w:eastAsia="zh-CN"/>
        </w:rPr>
        <w:t>20250325</w:t>
      </w:r>
    </w:p>
    <w:p w14:paraId="5267D0FA">
      <w:pPr>
        <w:ind w:firstLine="1350" w:firstLineChars="450"/>
        <w:rPr>
          <w:rFonts w:hint="default" w:asciiTheme="minorEastAsia" w:hAnsiTheme="minorEastAsia"/>
          <w:sz w:val="30"/>
          <w:szCs w:val="30"/>
          <w:highlight w:val="none"/>
          <w:lang w:val="en-US"/>
        </w:rPr>
      </w:pPr>
      <w:r>
        <w:rPr>
          <w:rFonts w:hint="eastAsia" w:asciiTheme="minorEastAsia" w:hAnsiTheme="minorEastAsia"/>
          <w:sz w:val="30"/>
          <w:szCs w:val="30"/>
          <w:highlight w:val="none"/>
        </w:rPr>
        <w:t>2、食品安全监督抽检合格信息-</w:t>
      </w:r>
      <w:r>
        <w:rPr>
          <w:rFonts w:hint="eastAsia" w:asciiTheme="minorEastAsia" w:hAnsiTheme="minorEastAsia"/>
          <w:color w:val="auto"/>
          <w:sz w:val="30"/>
          <w:szCs w:val="30"/>
          <w:highlight w:val="none"/>
          <w:lang w:val="en-US" w:eastAsia="zh-CN"/>
        </w:rPr>
        <w:t>20250325</w:t>
      </w:r>
    </w:p>
    <w:p w14:paraId="6C8A10D0">
      <w:pPr>
        <w:ind w:firstLine="1350" w:firstLineChars="450"/>
        <w:rPr>
          <w:rFonts w:hint="eastAsia" w:asciiTheme="minorEastAsia" w:hAnsiTheme="minorEastAsia"/>
          <w:sz w:val="30"/>
          <w:szCs w:val="30"/>
          <w:highlight w:val="none"/>
          <w:lang w:val="en-US" w:eastAsia="zh-CN"/>
        </w:rPr>
      </w:pPr>
    </w:p>
    <w:p w14:paraId="038C99FE">
      <w:pPr>
        <w:pStyle w:val="8"/>
        <w:ind w:left="420" w:firstLine="4800" w:firstLineChars="1600"/>
        <w:rPr>
          <w:rFonts w:asciiTheme="minorEastAsia" w:hAnsiTheme="minorEastAsia"/>
          <w:b/>
          <w:sz w:val="36"/>
          <w:szCs w:val="36"/>
        </w:rPr>
      </w:pPr>
      <w:r>
        <w:rPr>
          <w:rFonts w:hint="eastAsia" w:asciiTheme="minorEastAsia" w:hAnsiTheme="minorEastAsia"/>
          <w:color w:val="auto"/>
          <w:sz w:val="30"/>
          <w:szCs w:val="30"/>
          <w:highlight w:val="none"/>
        </w:rPr>
        <w:t>20</w:t>
      </w:r>
      <w:r>
        <w:rPr>
          <w:rFonts w:asciiTheme="minorEastAsia" w:hAnsiTheme="minorEastAsia"/>
          <w:color w:val="auto"/>
          <w:sz w:val="30"/>
          <w:szCs w:val="30"/>
          <w:highlight w:val="none"/>
        </w:rPr>
        <w:t>2</w:t>
      </w:r>
      <w:r>
        <w:rPr>
          <w:rFonts w:hint="eastAsia" w:asciiTheme="minorEastAsia" w:hAnsiTheme="minorEastAsia"/>
          <w:color w:val="auto"/>
          <w:sz w:val="30"/>
          <w:szCs w:val="30"/>
          <w:highlight w:val="none"/>
          <w:lang w:val="en-US" w:eastAsia="zh-CN"/>
        </w:rPr>
        <w:t>5</w:t>
      </w:r>
      <w:r>
        <w:rPr>
          <w:rFonts w:hint="eastAsia" w:asciiTheme="minorEastAsia" w:hAnsiTheme="minorEastAsia"/>
          <w:color w:val="auto"/>
          <w:sz w:val="30"/>
          <w:szCs w:val="30"/>
          <w:highlight w:val="none"/>
        </w:rPr>
        <w:t>年</w:t>
      </w:r>
      <w:r>
        <w:rPr>
          <w:rFonts w:hint="eastAsia" w:asciiTheme="minorEastAsia" w:hAnsiTheme="minorEastAsia"/>
          <w:color w:val="auto"/>
          <w:sz w:val="30"/>
          <w:szCs w:val="30"/>
          <w:highlight w:val="none"/>
          <w:lang w:val="en-US" w:eastAsia="zh-CN"/>
        </w:rPr>
        <w:t>03</w:t>
      </w:r>
      <w:r>
        <w:rPr>
          <w:rFonts w:hint="eastAsia" w:asciiTheme="minorEastAsia" w:hAnsiTheme="minorEastAsia"/>
          <w:color w:val="auto"/>
          <w:sz w:val="30"/>
          <w:szCs w:val="30"/>
          <w:highlight w:val="none"/>
        </w:rPr>
        <w:t>月</w:t>
      </w:r>
      <w:r>
        <w:rPr>
          <w:rFonts w:hint="eastAsia" w:asciiTheme="minorEastAsia" w:hAnsiTheme="minorEastAsia"/>
          <w:color w:val="auto"/>
          <w:sz w:val="30"/>
          <w:szCs w:val="30"/>
          <w:highlight w:val="none"/>
          <w:lang w:val="en-US" w:eastAsia="zh-CN"/>
        </w:rPr>
        <w:t>25</w:t>
      </w:r>
      <w:r>
        <w:rPr>
          <w:rFonts w:hint="eastAsia" w:asciiTheme="minorEastAsia" w:hAnsiTheme="minorEastAsia"/>
          <w:color w:val="auto"/>
          <w:sz w:val="30"/>
          <w:szCs w:val="30"/>
          <w:highlight w:val="none"/>
        </w:rPr>
        <w:t>日</w:t>
      </w:r>
      <w:r>
        <w:rPr>
          <w:rFonts w:asciiTheme="minorEastAsia" w:hAnsiTheme="minorEastAsia"/>
          <w:color w:val="auto"/>
          <w:sz w:val="30"/>
          <w:szCs w:val="30"/>
          <w:highlight w:val="none"/>
        </w:rPr>
        <w:br w:type="page"/>
      </w:r>
      <w:r>
        <w:rPr>
          <w:rFonts w:hint="eastAsia" w:asciiTheme="minorEastAsia" w:hAnsiTheme="minorEastAsia"/>
          <w:b/>
          <w:sz w:val="36"/>
          <w:szCs w:val="36"/>
        </w:rPr>
        <w:t>附件1</w:t>
      </w:r>
    </w:p>
    <w:p w14:paraId="026FE5F2">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14:paraId="1C61CB04">
      <w:pPr>
        <w:numPr>
          <w:ilvl w:val="0"/>
          <w:numId w:val="0"/>
        </w:numPr>
        <w:spacing w:line="560" w:lineRule="exac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一、淀粉及淀粉制品</w:t>
      </w:r>
    </w:p>
    <w:p w14:paraId="5CAA56CB">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14:paraId="0CEC7747">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抽检依据GB 2760-2014《食品安全国家标准 食品添加剂使用标准》、GB 2762-2022《食品安全国家标准 食品中污染物限量》等标准的要求。</w:t>
      </w:r>
    </w:p>
    <w:p w14:paraId="060AE0B9">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14:paraId="61347B86">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粉丝粉条抽检项目包括铅（以Pb计）、铝的残留量（干样品，以Al计）、苯甲酸及其钠盐（以苯甲酸计）、山梨酸及其钾盐（以山梨酸计）、脱氢乙酸及其钠盐（以脱氢乙酸计）。</w:t>
      </w:r>
    </w:p>
    <w:p w14:paraId="6E8BF636">
      <w:pPr>
        <w:spacing w:line="560" w:lineRule="exact"/>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二、调味品</w:t>
      </w:r>
    </w:p>
    <w:p w14:paraId="115E65BE">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（一）抽检依据</w:t>
      </w:r>
    </w:p>
    <w:p w14:paraId="3C8541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抽检依据GB 2760-2014《食品安全国家标准 食品添加剂使用标准》、</w:t>
      </w:r>
      <w:r>
        <w:rPr>
          <w:rFonts w:hint="eastAsia" w:ascii="仿宋_GB2312" w:hAnsi="仿宋_GB2312" w:eastAsia="仿宋_GB2312" w:cs="仿宋_GB2312"/>
          <w:color w:val="000000" w:themeColor="text1"/>
          <w:kern w:val="2"/>
          <w:sz w:val="32"/>
          <w:szCs w:val="32"/>
          <w14:textFill>
            <w14:solidFill>
              <w14:schemeClr w14:val="tx1"/>
            </w14:solidFill>
          </w14:textFill>
        </w:rPr>
        <w:t>GB 2762-2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022</w:t>
      </w:r>
      <w:r>
        <w:rPr>
          <w:rFonts w:hint="eastAsia" w:ascii="仿宋_GB2312" w:hAnsi="仿宋_GB2312" w:eastAsia="仿宋_GB2312" w:cs="仿宋_GB2312"/>
          <w:color w:val="000000" w:themeColor="text1"/>
          <w:kern w:val="2"/>
          <w:sz w:val="32"/>
          <w:szCs w:val="32"/>
          <w14:textFill>
            <w14:solidFill>
              <w14:schemeClr w14:val="tx1"/>
            </w14:solidFill>
          </w14:textFill>
        </w:rPr>
        <w:t>《食品安全国家标准 食品中污染物限量》</w:t>
      </w:r>
      <w:r>
        <w:rPr>
          <w:rFonts w:hint="eastAsia" w:ascii="仿宋_GB2312" w:hAnsi="仿宋_GB2312" w:eastAsia="仿宋_GB2312" w:cs="仿宋_GB2312"/>
          <w:sz w:val="32"/>
          <w:szCs w:val="32"/>
          <w:lang w:val="en-US" w:eastAsia="zh-CN"/>
        </w:rPr>
        <w:t>等标准及产品明示标准和质量要求。</w:t>
      </w:r>
    </w:p>
    <w:p w14:paraId="6D53E03D">
      <w:pPr>
        <w:spacing w:line="560" w:lineRule="exac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14:paraId="12A5422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香辛料调味油检验项目包括酸价/酸值、过氧化值、铅（以Pb计）。</w:t>
      </w:r>
    </w:p>
    <w:p w14:paraId="541911B2">
      <w:pPr>
        <w:spacing w:line="560" w:lineRule="exact"/>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三、</w:t>
      </w:r>
      <w:r>
        <w:rPr>
          <w:rFonts w:hint="eastAsia" w:ascii="黑体" w:hAnsi="黑体" w:eastAsia="黑体" w:cs="黑体"/>
          <w:bCs/>
          <w:color w:val="000000" w:themeColor="text1"/>
          <w:sz w:val="32"/>
          <w:szCs w:val="32"/>
          <w:lang w:eastAsia="zh-CN"/>
          <w14:textFill>
            <w14:solidFill>
              <w14:schemeClr w14:val="tx1"/>
            </w14:solidFill>
          </w14:textFill>
        </w:rPr>
        <w:t>豆制品</w:t>
      </w:r>
    </w:p>
    <w:p w14:paraId="1998B015">
      <w:pPr>
        <w:pStyle w:val="4"/>
        <w:spacing w:line="560" w:lineRule="exact"/>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5CB4B822">
      <w:pPr>
        <w:pStyle w:val="4"/>
        <w:spacing w:line="560" w:lineRule="exact"/>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抽检依据GB 276</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2"/>
          <w:sz w:val="32"/>
          <w:szCs w:val="32"/>
          <w14:textFill>
            <w14:solidFill>
              <w14:schemeClr w14:val="tx1"/>
            </w14:solidFill>
          </w14:textFill>
        </w:rPr>
        <w:t>-201</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《食品安全国家标准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食品添加剂使用标准</w:t>
      </w:r>
      <w:r>
        <w:rPr>
          <w:rFonts w:hint="eastAsia" w:ascii="仿宋_GB2312" w:hAnsi="仿宋_GB2312" w:eastAsia="仿宋_GB2312" w:cs="仿宋_GB2312"/>
          <w:color w:val="000000" w:themeColor="text1"/>
          <w:kern w:val="2"/>
          <w:sz w:val="32"/>
          <w:szCs w:val="32"/>
          <w14:textFill>
            <w14:solidFill>
              <w14:schemeClr w14:val="tx1"/>
            </w14:solidFill>
          </w14:textFill>
        </w:rPr>
        <w:t>》、GB 2762-2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022</w:t>
      </w:r>
      <w:r>
        <w:rPr>
          <w:rFonts w:hint="eastAsia" w:ascii="仿宋_GB2312" w:hAnsi="仿宋_GB2312" w:eastAsia="仿宋_GB2312" w:cs="仿宋_GB2312"/>
          <w:color w:val="000000" w:themeColor="text1"/>
          <w:kern w:val="2"/>
          <w:sz w:val="32"/>
          <w:szCs w:val="32"/>
          <w14:textFill>
            <w14:solidFill>
              <w14:schemeClr w14:val="tx1"/>
            </w14:solidFill>
          </w14:textFill>
        </w:rPr>
        <w:t>《食品安全国家标准 食品中污染物限量》</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GB 2712</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-2014</w:t>
      </w:r>
      <w:r>
        <w:rPr>
          <w:rFonts w:hint="eastAsia" w:ascii="仿宋_GB2312" w:hAnsi="仿宋_GB2312" w:eastAsia="仿宋_GB2312" w:cs="仿宋_GB2312"/>
          <w:color w:val="000000" w:themeColor="text1"/>
          <w:kern w:val="2"/>
          <w:sz w:val="32"/>
          <w:szCs w:val="32"/>
          <w14:textFill>
            <w14:solidFill>
              <w14:schemeClr w14:val="tx1"/>
            </w14:solidFill>
          </w14:textFill>
        </w:rPr>
        <w:t>《食品安全国家标准 豆制品》</w:t>
      </w:r>
      <w:r>
        <w:rPr>
          <w:rFonts w:hint="eastAsia" w:ascii="仿宋_GB2312" w:hAnsi="仿宋_GB2312" w:eastAsia="仿宋_GB2312" w:cs="仿宋_GB2312"/>
          <w:sz w:val="32"/>
          <w:szCs w:val="32"/>
        </w:rPr>
        <w:t>等标准的要求</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1A8C8B6A">
      <w:pPr>
        <w:pStyle w:val="4"/>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1CE8756D">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大豆蛋白类制品抽检项目包括铅（以Pb计）、苯甲酸及其钠盐（以苯甲酸计）、山梨酸及其钾盐（以山梨酸计）、脱氢乙酸及其钠盐（以脱氢乙酸计）、糖精钠（以糖精计）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铝的残留量（干样品，以Al计）</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14:paraId="3C909BF5">
      <w:p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四、粮食加工品</w:t>
      </w:r>
    </w:p>
    <w:p w14:paraId="7149EEBE">
      <w:pPr>
        <w:pStyle w:val="4"/>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4A24601F">
      <w:pPr>
        <w:pStyle w:val="4"/>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抽检依据GB 2760-2014 《食品安全国家标准 食品添加剂使用标准》、GB 2762-2022《食品安全国家标准 食品中污染物限量》、GB 2761-2017 《食品安全国家标准 食品中真菌毒素限量》等标准的要求。</w:t>
      </w:r>
    </w:p>
    <w:p w14:paraId="39E318B6">
      <w:pPr>
        <w:pStyle w:val="4"/>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42F13504">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挂面抽检项目包括</w:t>
      </w:r>
      <w:r>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t>铅（以Pb计）、脱氢乙酸及其钠盐（以脱氢乙酸计）</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w:t>
      </w:r>
    </w:p>
    <w:p w14:paraId="1F5B939B">
      <w:pPr>
        <w:spacing w:line="560" w:lineRule="exact"/>
        <w:rPr>
          <w:rFonts w:hint="eastAsia" w:ascii="仿宋_GB2312" w:hAnsi="宋体" w:eastAsia="仿宋_GB2312"/>
          <w:b/>
          <w:bCs/>
          <w:sz w:val="32"/>
          <w:szCs w:val="32"/>
          <w:highlight w:val="none"/>
          <w:lang w:val="en-US" w:eastAsia="zh-CN"/>
        </w:rPr>
      </w:pPr>
      <w:r>
        <w:rPr>
          <w:rFonts w:hint="eastAsia" w:ascii="黑体" w:hAnsi="黑体" w:eastAsia="黑体" w:cs="黑体"/>
          <w:b w:val="0"/>
          <w:bCs w:val="0"/>
          <w:sz w:val="32"/>
          <w:szCs w:val="32"/>
          <w:highlight w:val="none"/>
          <w:lang w:val="en-US" w:eastAsia="zh-CN"/>
        </w:rPr>
        <w:t>五、肉制品</w:t>
      </w:r>
    </w:p>
    <w:p w14:paraId="0A2199BE">
      <w:pPr>
        <w:pStyle w:val="4"/>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2EC4E90D">
      <w:pPr>
        <w:pStyle w:val="4"/>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抽检依据GB 2762-2022《食品安全国家标准 食品中污染物限量》、整顿办函〔2011〕1号《食品中可能违法添加的非食用物质和易滥用的食品添加剂品种名单(第五批)》、食品整治办〔2008〕3 号 全国打击违法添加非食用物质和滥用食品添加剂专项整治领 导小组关于印发《食品中可能违法添加的非食用物质和易滥用的食品添加剂品种名单（第一批）》的通知、GB 2760-2014《食品安全国家标准 食品添加剂使用标准》、GB 2726-2016《食品安全国家标准 熟肉制品》、GB 29921-2021《食品安全国家标准 预包装食品中致病菌限量》、GB/T 23586-2022《酱卤肉制品质量通则》等标准及产品明示标准和质量要求。</w:t>
      </w:r>
    </w:p>
    <w:p w14:paraId="06AE3732">
      <w:pPr>
        <w:pStyle w:val="4"/>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3ABD6DB3">
      <w:pPr>
        <w:numPr>
          <w:ilvl w:val="0"/>
          <w:numId w:val="0"/>
        </w:numPr>
        <w:spacing w:line="560" w:lineRule="exact"/>
        <w:ind w:firstLine="640" w:firstLineChars="200"/>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熏煮香肠火腿制品检验项目包括铅（以Pb计）、亚硝酸盐（以亚硝酸钠计）、苯甲酸及其钠盐（以苯甲酸计）、山梨酸及其钾盐（以山梨酸计）、脱氢乙酸及其钠盐（以脱氢乙酸计）、纳他霉素、防腐剂混合使用时各自用量占其最大使用量的比例之和、氯霉素、菌落总数、大肠菌群、沙门氏菌。</w:t>
      </w:r>
    </w:p>
    <w:p w14:paraId="398EA673">
      <w:p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六、乳制品</w:t>
      </w:r>
    </w:p>
    <w:p w14:paraId="4CA12BE7">
      <w:pPr>
        <w:pStyle w:val="4"/>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109FA0EF">
      <w:pPr>
        <w:pStyle w:val="4"/>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抽检依据GB 2760-2014 《食品安全国家标准 食品添加剂使用标准》、GB 2762-2022《食品安全国家标准 食品中污染物限量》、GB 2761-2017 《食品安全国家标准 食品中真菌毒素限量》、GB 25190-2010《食品安全国家标准 灭菌乳》等标准的要求。</w:t>
      </w:r>
    </w:p>
    <w:p w14:paraId="134FAE57">
      <w:pPr>
        <w:pStyle w:val="4"/>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0FBBCCA3">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液体乳（灭菌乳）抽检项目包括蛋白质、非脂乳固体、酸度、脂肪、三聚氰胺。</w:t>
      </w:r>
    </w:p>
    <w:p w14:paraId="6C490AF4">
      <w:pPr>
        <w:spacing w:line="560" w:lineRule="exact"/>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七</w:t>
      </w:r>
      <w:r>
        <w:rPr>
          <w:rFonts w:hint="eastAsia" w:ascii="黑体" w:hAnsi="黑体" w:eastAsia="黑体" w:cs="黑体"/>
          <w:bCs/>
          <w:color w:val="000000" w:themeColor="text1"/>
          <w:sz w:val="32"/>
          <w:szCs w:val="32"/>
          <w14:textFill>
            <w14:solidFill>
              <w14:schemeClr w14:val="tx1"/>
            </w14:solidFill>
          </w14:textFill>
        </w:rPr>
        <w:t>、食用农产品</w:t>
      </w:r>
    </w:p>
    <w:p w14:paraId="1150F8C0">
      <w:pPr>
        <w:pStyle w:val="4"/>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12B71854">
      <w:pPr>
        <w:pStyle w:val="4"/>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抽检依据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、GB 2762-20</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《食品安全国家标准 食品中污染物限量》、GB 2763-2021《食品安全国家标准 食品中农药最大残留限量》、GB 31650-2019《食品安全国家标准 食品中兽药最大残留限量》、国家食品药品监督管理总局 农业部 国家卫生和计划生育委员会关于豆芽生产过程中禁止使用6-苄基腺嘌呤等物质的公告（2015 年第 11 号）、农业农村部公告 第250号《食品动物中禁止使用的药品及其他化合物清单》、整顿办函[2010]50号《食品中可能违法添加的非食用物质和易滥用的食品添加剂名单(第四批)》</w:t>
      </w:r>
      <w:r>
        <w:rPr>
          <w:rFonts w:hint="eastAsia" w:ascii="仿宋_GB2312" w:hAnsi="仿宋_GB2312" w:eastAsia="仿宋_GB2312" w:cs="仿宋_GB2312"/>
          <w:color w:val="000000" w:themeColor="text1"/>
          <w:kern w:val="2"/>
          <w:sz w:val="32"/>
          <w:szCs w:val="32"/>
          <w14:textFill>
            <w14:solidFill>
              <w14:schemeClr w14:val="tx1"/>
            </w14:solidFill>
          </w14:textFill>
        </w:rPr>
        <w:t>等标准的要求。</w:t>
      </w:r>
    </w:p>
    <w:p w14:paraId="62F0B8B5">
      <w:pPr>
        <w:pStyle w:val="4"/>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1C06AC98">
      <w:pPr>
        <w:pStyle w:val="4"/>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1.番茄</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kern w:val="2"/>
          <w:sz w:val="32"/>
          <w:szCs w:val="32"/>
          <w14:textFill>
            <w14:solidFill>
              <w14:schemeClr w14:val="tx1"/>
            </w14:solidFill>
          </w14:textFill>
        </w:rPr>
        <w:t>吡唑醚菌酯</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、敌敌畏、毒死蜱、</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腐霉利、甲拌磷、氯氟氰菊酯和高效氯氟氰菊酯、噻虫嗪</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6CFD5B27">
      <w:pPr>
        <w:pStyle w:val="4"/>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2.黄瓜</w:t>
      </w:r>
      <w:r>
        <w:rPr>
          <w:rFonts w:hint="eastAsia" w:ascii="仿宋_GB2312" w:hAnsi="仿宋_GB2312" w:eastAsia="仿宋_GB2312" w:cs="仿宋_GB2312"/>
          <w:color w:val="000000" w:themeColor="text1"/>
          <w:kern w:val="2"/>
          <w:sz w:val="32"/>
          <w:szCs w:val="32"/>
          <w14:textFill>
            <w14:solidFill>
              <w14:schemeClr w14:val="tx1"/>
            </w14:solidFill>
          </w14:textFill>
        </w:rPr>
        <w:t>抽检项目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包括阿维菌素、敌敌畏、</w:t>
      </w:r>
      <w:r>
        <w:rPr>
          <w:rFonts w:hint="default" w:ascii="仿宋_GB2312" w:hAnsi="仿宋_GB2312" w:eastAsia="仿宋_GB2312" w:cs="仿宋_GB2312"/>
          <w:color w:val="000000" w:themeColor="text1"/>
          <w:kern w:val="2"/>
          <w:sz w:val="32"/>
          <w:szCs w:val="32"/>
          <w14:textFill>
            <w14:solidFill>
              <w14:schemeClr w14:val="tx1"/>
            </w14:solidFill>
          </w14:textFill>
        </w:rPr>
        <w:t>毒死蜱</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腐霉利、乐果、噻虫嗪、甲拌磷、乙酰甲胺磷</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14:paraId="28F8880B">
      <w:pPr>
        <w:pStyle w:val="4"/>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3.鸡蛋抽检项目包括</w:t>
      </w:r>
      <w:r>
        <w:rPr>
          <w:rFonts w:hint="eastAsia" w:ascii="仿宋_GB2312" w:hAnsi="仿宋_GB2312" w:eastAsia="仿宋_GB2312" w:cs="仿宋_GB2312"/>
          <w:color w:val="000000" w:themeColor="text1"/>
          <w:kern w:val="2"/>
          <w:sz w:val="32"/>
          <w:szCs w:val="32"/>
          <w:lang w:val="zh-TW" w:eastAsia="zh-CN"/>
          <w14:textFill>
            <w14:solidFill>
              <w14:schemeClr w14:val="tx1"/>
            </w14:solidFill>
          </w14:textFill>
        </w:rPr>
        <w:t>甲硝唑、地美硝唑、甲氧苄啶、多西环素、恩诺沙星、氧氟沙星、沙拉沙星、磺胺类(总量)</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w:t>
      </w:r>
    </w:p>
    <w:p w14:paraId="64F7CCB1">
      <w:pPr>
        <w:pStyle w:val="4"/>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bookmarkStart w:id="0" w:name="_GoBack"/>
      <w:bookmarkEnd w:id="0"/>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猪肉抽检项目包括五氯酚酸钠（以五氯酚计）、恩诺沙星、磺胺类(总量）、甲氧苄啶、沙丁胺醇、氯霉素。</w:t>
      </w:r>
    </w:p>
    <w:p w14:paraId="66D83C83">
      <w:pPr>
        <w:pStyle w:val="4"/>
        <w:spacing w:line="560" w:lineRule="exact"/>
        <w:rPr>
          <w:rFonts w:hint="eastAsia" w:ascii="仿宋_GB2312" w:hAnsi="仿宋_GB2312" w:eastAsia="仿宋_GB2312" w:cs="仿宋_GB2312"/>
          <w:color w:val="000000" w:themeColor="text1"/>
          <w:kern w:val="2"/>
          <w:sz w:val="32"/>
          <w:szCs w:val="32"/>
          <w14:textFill>
            <w14:solidFill>
              <w14:schemeClr w14:val="tx1"/>
            </w14:solidFill>
          </w14:textFill>
        </w:rPr>
      </w:pPr>
    </w:p>
    <w:p w14:paraId="4D468169">
      <w:pPr>
        <w:pStyle w:val="4"/>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0D215E08">
      <w:pPr>
        <w:widowControl/>
        <w:jc w:val="left"/>
        <w:rPr>
          <w:rFonts w:hint="eastAsia" w:asciiTheme="minorEastAsia" w:hAnsiTheme="minorEastAsia"/>
          <w:b/>
          <w:sz w:val="36"/>
          <w:szCs w:val="36"/>
        </w:rPr>
      </w:pPr>
    </w:p>
    <w:p w14:paraId="7236ECDD">
      <w:pPr>
        <w:widowControl/>
        <w:jc w:val="left"/>
        <w:rPr>
          <w:rFonts w:hint="eastAsia" w:asciiTheme="minorEastAsia" w:hAnsiTheme="minorEastAsia"/>
          <w:b/>
          <w:sz w:val="36"/>
          <w:szCs w:val="36"/>
        </w:rPr>
      </w:pPr>
    </w:p>
    <w:p w14:paraId="31E1BFE8">
      <w:pPr>
        <w:widowControl/>
        <w:jc w:val="left"/>
        <w:rPr>
          <w:rFonts w:hint="eastAsia" w:asciiTheme="minorEastAsia" w:hAnsiTheme="minorEastAsia"/>
          <w:b/>
          <w:sz w:val="36"/>
          <w:szCs w:val="36"/>
        </w:rPr>
      </w:pPr>
    </w:p>
    <w:p w14:paraId="00E40E65">
      <w:pPr>
        <w:widowControl/>
        <w:jc w:val="left"/>
        <w:rPr>
          <w:rFonts w:asciiTheme="minorEastAsia" w:hAnsiTheme="minorEastAsia"/>
          <w:b/>
          <w:sz w:val="36"/>
          <w:szCs w:val="36"/>
        </w:rPr>
      </w:pPr>
      <w:r>
        <w:rPr>
          <w:rFonts w:hint="eastAsia" w:asciiTheme="minorEastAsia" w:hAnsiTheme="minorEastAsia"/>
          <w:b/>
          <w:sz w:val="36"/>
          <w:szCs w:val="36"/>
        </w:rPr>
        <w:t>附件2</w:t>
      </w:r>
    </w:p>
    <w:p w14:paraId="31458572">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5"/>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2307"/>
        <w:gridCol w:w="1032"/>
        <w:gridCol w:w="1088"/>
        <w:gridCol w:w="756"/>
        <w:gridCol w:w="1012"/>
        <w:gridCol w:w="757"/>
        <w:gridCol w:w="1127"/>
        <w:gridCol w:w="1125"/>
        <w:gridCol w:w="576"/>
        <w:gridCol w:w="414"/>
      </w:tblGrid>
      <w:tr w14:paraId="44BD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center"/>
          </w:tcPr>
          <w:p w14:paraId="10646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本次抽检的产品包</w:t>
            </w:r>
            <w:r>
              <w:rPr>
                <w:rFonts w:hint="eastAsia" w:ascii="宋体" w:hAnsi="宋体" w:eastAsia="宋体" w:cs="宋体"/>
                <w:i w:val="0"/>
                <w:iCs w:val="0"/>
                <w:color w:val="auto"/>
                <w:kern w:val="0"/>
                <w:sz w:val="22"/>
                <w:szCs w:val="22"/>
                <w:highlight w:val="none"/>
                <w:u w:val="none"/>
                <w:lang w:val="en-US" w:eastAsia="zh-CN" w:bidi="ar"/>
              </w:rPr>
              <w:t>括淀粉及淀粉制品、调味品、豆制品、粮食加工品、肉制品、乳制品、食用农产品。</w:t>
            </w:r>
          </w:p>
        </w:tc>
      </w:tr>
      <w:tr w14:paraId="0BA9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49DD4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共抽检10批次产品，其中合格产品10批次。</w:t>
            </w:r>
          </w:p>
        </w:tc>
      </w:tr>
      <w:tr w14:paraId="1BE5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17528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抽检合格产品信息见附表。</w:t>
            </w:r>
          </w:p>
        </w:tc>
      </w:tr>
      <w:tr w14:paraId="384E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75941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附表：合格产品信息</w:t>
            </w:r>
          </w:p>
        </w:tc>
      </w:tr>
      <w:tr w14:paraId="3A6E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71250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（声明：以下信息仅指本次抽检标称的食品生产、经营企业相关产品的生产日期/批号和所检合格项目）</w:t>
            </w:r>
          </w:p>
        </w:tc>
      </w:tr>
      <w:tr w14:paraId="15C6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1FA1">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FC9B">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C4C8">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3B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A644">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37A">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被抽样单位所在地址</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6001">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A7FC">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FAE">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F9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EE00">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14:paraId="4613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69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D9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XBJ25410703933830222ZX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10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B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E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6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黄瓜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E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E0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C781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8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EF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XBJ25410703933830224ZX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C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6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B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E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西红柿</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95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7F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B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5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171A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7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B3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XBJ25410703933830225ZX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72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辉县市兴隆淀粉制品厂</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CD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辉县市孟庄镇小蒲水村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D6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1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土豆粉（湿粉条非即食类）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609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D8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淀粉及淀粉制品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7D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97B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C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2A6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XBJ25410703933830226ZX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C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镇平想念食品有限公司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5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镇平县杨营镇玉漳大道与玉源南路交叉口东南角</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A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新乡市卫滨区德隆万家百货超市</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2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河南省新乡市卫滨区南桥街道华兰大道119号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A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鸡蛋风味挂面</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1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800克/包</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3E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2024-12-03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E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粮食加工品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2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3FC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1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88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XBJ25410703933830278ZX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E5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9F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1E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新乡市卫滨区润佰林购物广场超市（个体工商户）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EC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新乡市卫滨区平原镇张固城村南街十字东南角（原老鞋厂）办公楼1楼门面房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3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鸡蛋</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77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C3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5A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A0A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2A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XBJ25410703933830279ZX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15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正阳牧原肉食品有限公司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D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河南省驻马店市正阳县鲁花大道与西四环交叉口路西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0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新乡市卫滨区润佰林购物广场超市（个体工商户）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8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新乡市卫滨区平原镇张固城村南街十字东南角（原老鞋厂）办公楼1楼门面房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1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猪后腿肉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B8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AC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2025-03-14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C6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E2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7142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14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9A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XBJ25410703933830280ZX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C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河南省荆辉食品有限公司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河南省焦作市武陟县詹店镇何营西村车站街农业银行东临交通旅社院内第一家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5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新乡市卫滨区润佰林购物广场超市（个体工商户）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9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新乡市卫滨区平原镇张固城村南街十字东南角（原老鞋厂）办公楼1楼门面房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F8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麻椒调味油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9A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105ml/瓶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68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F8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45E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E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C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XBJ25410703933830281ZX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1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重庆市君哥食品有限公司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重庆市合川区钓办处思居工业园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E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新乡市卫滨区润佰林购物广场超市（个体工商户）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8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新乡市卫滨区平原镇张固城村南街十字东南角（原老鞋厂）办公楼1楼门面房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46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卤汁豆干（麻辣味）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C3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计量称重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08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2024-09-08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5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豆制品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2A1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CE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XBJ25410703933830282ZX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B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临沂金锣文瑞食品有限公司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临沂市兰山区半程镇金锣科技园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02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新乡市卫滨区润佰林购物广场超市（个体工商户）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2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新乡市卫滨区平原镇张固城村南街十字东南角（原老鞋厂）办公楼1楼门面房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金锣口口福蒸煮淀粉肉肠</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0D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130g/根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3C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2025-02-06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F6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BF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5175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47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XBJ25410703933830283ZX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D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天润齐源乳品有限公司</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1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山东省德州市齐河县经济开发区齐发大道168号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54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新乡市卫滨区润佰林购物广场超市（个体工商户）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6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新乡市卫滨区平原镇张固城村南街十字东南角（原老鞋厂）办公楼1楼门面房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7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盼盼纯牛奶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67C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125克/盒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49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2025-01-05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50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2969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0218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以下空白</w:t>
            </w:r>
          </w:p>
        </w:tc>
      </w:tr>
    </w:tbl>
    <w:p w14:paraId="43302959">
      <w:pPr>
        <w:keepNext w:val="0"/>
        <w:keepLines w:val="0"/>
        <w:widowControl/>
        <w:suppressLineNumbers w:val="0"/>
        <w:jc w:val="center"/>
        <w:textAlignment w:val="center"/>
        <w:rPr>
          <w:rFonts w:hint="eastAsia" w:ascii="Calibri" w:hAnsi="Calibri" w:eastAsia="宋体" w:cs="Calibri"/>
          <w:i w:val="0"/>
          <w:iCs w:val="0"/>
          <w:color w:val="000000"/>
          <w:kern w:val="0"/>
          <w:sz w:val="18"/>
          <w:szCs w:val="18"/>
          <w:u w:val="none"/>
          <w:lang w:val="en-US" w:eastAsia="zh-CN" w:bidi="ar"/>
        </w:rPr>
      </w:pPr>
    </w:p>
    <w:p w14:paraId="30B7B71A"/>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WEwMWY5ZTY1ZTg2NTgyMDdlMWVhNGU2NzE5ZGYifQ=="/>
  </w:docVars>
  <w:rsids>
    <w:rsidRoot w:val="7E0916E1"/>
    <w:rsid w:val="00270BE1"/>
    <w:rsid w:val="09802FD2"/>
    <w:rsid w:val="09D43B87"/>
    <w:rsid w:val="0BB70474"/>
    <w:rsid w:val="0CBA7DDF"/>
    <w:rsid w:val="162E2871"/>
    <w:rsid w:val="18E24930"/>
    <w:rsid w:val="1A1F3E96"/>
    <w:rsid w:val="1E220F0E"/>
    <w:rsid w:val="1F2B065E"/>
    <w:rsid w:val="208F215E"/>
    <w:rsid w:val="27CC3C98"/>
    <w:rsid w:val="28871665"/>
    <w:rsid w:val="2AAF3B29"/>
    <w:rsid w:val="361E1B63"/>
    <w:rsid w:val="372F02B2"/>
    <w:rsid w:val="38163439"/>
    <w:rsid w:val="38237904"/>
    <w:rsid w:val="39577055"/>
    <w:rsid w:val="3B253993"/>
    <w:rsid w:val="3D475E43"/>
    <w:rsid w:val="3ED7429C"/>
    <w:rsid w:val="40ED6D01"/>
    <w:rsid w:val="42D24401"/>
    <w:rsid w:val="45C46E6C"/>
    <w:rsid w:val="493636E9"/>
    <w:rsid w:val="4937624A"/>
    <w:rsid w:val="4C6B4F7E"/>
    <w:rsid w:val="4CF3569F"/>
    <w:rsid w:val="4E235B10"/>
    <w:rsid w:val="4F7E3559"/>
    <w:rsid w:val="526D7CA2"/>
    <w:rsid w:val="531B3FCB"/>
    <w:rsid w:val="552A7DCC"/>
    <w:rsid w:val="557C1FAA"/>
    <w:rsid w:val="686D3412"/>
    <w:rsid w:val="69820B98"/>
    <w:rsid w:val="69DD3507"/>
    <w:rsid w:val="6ADC678A"/>
    <w:rsid w:val="6D200C7E"/>
    <w:rsid w:val="78745037"/>
    <w:rsid w:val="79E65AE1"/>
    <w:rsid w:val="7A3F363F"/>
    <w:rsid w:val="7C352D2F"/>
    <w:rsid w:val="7DDD088A"/>
    <w:rsid w:val="7E09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rFonts w:ascii="Calibri" w:hAnsi="Calibri" w:eastAsia="宋体" w:cs="Calibri"/>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font41"/>
    <w:basedOn w:val="7"/>
    <w:qFormat/>
    <w:uiPriority w:val="0"/>
    <w:rPr>
      <w:rFonts w:ascii="Calibri" w:hAnsi="Calibri" w:cs="Calibri"/>
      <w:color w:val="FF0000"/>
      <w:sz w:val="24"/>
      <w:szCs w:val="24"/>
      <w:u w:val="none"/>
    </w:rPr>
  </w:style>
  <w:style w:type="character" w:customStyle="1" w:styleId="10">
    <w:name w:val="font21"/>
    <w:basedOn w:val="7"/>
    <w:qFormat/>
    <w:uiPriority w:val="0"/>
    <w:rPr>
      <w:rFonts w:hint="eastAsia" w:ascii="宋体" w:hAnsi="宋体" w:eastAsia="宋体" w:cs="宋体"/>
      <w:color w:val="FF0000"/>
      <w:sz w:val="24"/>
      <w:szCs w:val="24"/>
      <w:u w:val="none"/>
    </w:rPr>
  </w:style>
  <w:style w:type="paragraph" w:customStyle="1" w:styleId="11">
    <w:name w:val="Table Paragraph"/>
    <w:basedOn w:val="1"/>
    <w:autoRedefine/>
    <w:qFormat/>
    <w:uiPriority w:val="1"/>
    <w:pPr>
      <w:jc w:val="center"/>
    </w:pPr>
    <w:rPr>
      <w:rFonts w:ascii="Times New Roman" w:hAnsi="Times New Roman" w:eastAsia="Times New Roman"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2888</Words>
  <Characters>3492</Characters>
  <Lines>0</Lines>
  <Paragraphs>0</Paragraphs>
  <TotalTime>2</TotalTime>
  <ScaleCrop>false</ScaleCrop>
  <LinksUpToDate>false</LinksUpToDate>
  <CharactersWithSpaces>3728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2024-10-09T07:01:00Z</dcterms:created>
  <dc:creator>995</dc:creator>
  <cp:lastModifiedBy>lenovo</cp:lastModifiedBy>
  <dcterms:modified xsi:type="dcterms:W3CDTF">2025-03-25T02:43:00Z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C9AF5C00FF2D4A23B7FC3D22B21ACE3B_11</vt:lpwstr>
  </property>
  <property fmtid="{D5CDD505-2E9C-101B-9397-08002B2CF9AE}" pid="4" name="KSOTemplateDocerSaveRecord">
    <vt:lpwstr>eyJoZGlkIjoiMTI3OTY3NWM5MWNjMzQ1ZmE0YWMzNGE2ZTQzZjRkODMifQ==</vt:lpwstr>
  </property>
</Properties>
</file>