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0E946">
      <w:pPr>
        <w:keepNext w:val="0"/>
        <w:keepLines w:val="0"/>
        <w:pageBreakBefore w:val="0"/>
        <w:widowControl w:val="0"/>
        <w:kinsoku/>
        <w:wordWrap/>
        <w:overflowPunct/>
        <w:topLinePunct w:val="0"/>
        <w:autoSpaceDE/>
        <w:autoSpaceDN/>
        <w:bidi w:val="0"/>
        <w:adjustRightInd/>
        <w:snapToGrid/>
        <w:spacing w:before="240" w:line="58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eastAsia="方正小标宋简体" w:cs="Times New Roman"/>
          <w:sz w:val="44"/>
          <w:szCs w:val="44"/>
          <w:lang w:val="en-US" w:eastAsia="zh-CN"/>
        </w:rPr>
        <w:t>新乡市卫滨区</w:t>
      </w:r>
      <w:r>
        <w:rPr>
          <w:rFonts w:hint="default" w:ascii="Times New Roman" w:hAnsi="Times New Roman" w:eastAsia="方正小标宋简体" w:cs="Times New Roman"/>
          <w:sz w:val="44"/>
          <w:szCs w:val="44"/>
        </w:rPr>
        <w:t>消防救援</w:t>
      </w:r>
      <w:r>
        <w:rPr>
          <w:rFonts w:hint="eastAsia" w:ascii="Times New Roman" w:eastAsia="方正小标宋简体" w:cs="Times New Roman"/>
          <w:sz w:val="44"/>
          <w:szCs w:val="44"/>
          <w:lang w:val="en-US" w:eastAsia="zh-CN"/>
        </w:rPr>
        <w:t>局</w:t>
      </w:r>
    </w:p>
    <w:p w14:paraId="1833948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关于主动申报消防安全重点单位及火灾高危</w:t>
      </w:r>
    </w:p>
    <w:p w14:paraId="181EB65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单位的通告</w:t>
      </w:r>
    </w:p>
    <w:p w14:paraId="7500BE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_GB2312" w:cs="Times New Roman"/>
          <w:sz w:val="44"/>
          <w:szCs w:val="44"/>
        </w:rPr>
      </w:pPr>
    </w:p>
    <w:p w14:paraId="728EABB7">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进一步加强消防安全重点单位及火灾高危单位管理，有效预防和减少火灾事故发生，依据《中华人民共和国消防法》《机关、团体、企业、事业单位消防安全管理规定》《河南省火灾高危单位消防安全管理规定》《新乡市消防安全重点单位分级界定标准》等法律规定，现启动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年度消防安全重点单位及火灾高危单位调整界定工作，请各单位参考界定标准认真自评申报，并按照现行消防法律法规要求，进一步强化消防安全主体责任。有关事项通告如下：</w:t>
      </w:r>
    </w:p>
    <w:p w14:paraId="6E367484">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黑体" w:hAnsi="黑体" w:eastAsia="黑体" w:cs="黑体"/>
        </w:rPr>
      </w:pPr>
      <w:r>
        <w:rPr>
          <w:rFonts w:hint="eastAsia" w:ascii="黑体" w:hAnsi="黑体" w:eastAsia="黑体" w:cs="黑体"/>
        </w:rPr>
        <w:t>一、申报时间</w:t>
      </w:r>
    </w:p>
    <w:p w14:paraId="0A6C716F">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即日起至202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w:t>
      </w:r>
      <w:r>
        <w:rPr>
          <w:rFonts w:hint="eastAsia" w:ascii="仿宋_GB2312" w:hAnsi="仿宋_GB2312" w:eastAsia="仿宋_GB2312" w:cs="仿宋_GB2312"/>
          <w:lang w:val="en-US" w:eastAsia="zh-CN"/>
        </w:rPr>
        <w:t>3</w:t>
      </w:r>
      <w:r>
        <w:rPr>
          <w:rFonts w:hint="eastAsia" w:ascii="仿宋_GB2312" w:hAnsi="仿宋_GB2312" w:eastAsia="仿宋_GB2312" w:cs="仿宋_GB2312"/>
        </w:rPr>
        <w:t>月</w:t>
      </w:r>
      <w:r>
        <w:rPr>
          <w:rFonts w:hint="eastAsia" w:ascii="仿宋_GB2312" w:hAnsi="仿宋_GB2312" w:eastAsia="仿宋_GB2312" w:cs="仿宋_GB2312"/>
          <w:lang w:val="en-US" w:eastAsia="zh-CN"/>
        </w:rPr>
        <w:t>15</w:t>
      </w:r>
      <w:r>
        <w:rPr>
          <w:rFonts w:hint="eastAsia" w:ascii="仿宋_GB2312" w:hAnsi="仿宋_GB2312" w:eastAsia="仿宋_GB2312" w:cs="仿宋_GB2312"/>
        </w:rPr>
        <w:t>日。</w:t>
      </w:r>
    </w:p>
    <w:p w14:paraId="4E1B5E54">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黑体" w:hAnsi="黑体" w:eastAsia="黑体" w:cs="黑体"/>
        </w:rPr>
      </w:pPr>
      <w:r>
        <w:rPr>
          <w:rFonts w:hint="eastAsia" w:ascii="黑体" w:hAnsi="黑体" w:eastAsia="黑体" w:cs="黑体"/>
        </w:rPr>
        <w:t>二、申报途径</w:t>
      </w:r>
    </w:p>
    <w:p w14:paraId="6B52EABB">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Times New Roman" w:eastAsia="方正仿宋_GBK" w:cs="Times New Roman"/>
          <w:b/>
          <w:bCs/>
          <w:lang w:val="en-US" w:eastAsia="zh-CN"/>
        </w:rPr>
      </w:pPr>
      <w:r>
        <w:rPr>
          <w:rFonts w:hint="eastAsia" w:ascii="Times New Roman" w:eastAsia="方正仿宋_GBK" w:cs="Times New Roman"/>
          <w:b w:val="0"/>
          <w:bCs w:val="0"/>
          <w:lang w:val="en-US" w:eastAsia="zh-CN"/>
        </w:rPr>
        <w:t>1.</w:t>
      </w:r>
      <w:r>
        <w:rPr>
          <w:rFonts w:hint="default" w:ascii="Times New Roman" w:hAnsi="Times New Roman" w:eastAsia="方正仿宋_GBK" w:cs="Times New Roman"/>
          <w:b/>
          <w:bCs/>
          <w:lang w:val="en-US" w:eastAsia="zh-CN"/>
        </w:rPr>
        <w:t>二级消防安全重点单位</w:t>
      </w:r>
    </w:p>
    <w:p w14:paraId="1CC4AD44">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新乡市卫滨区</w:t>
      </w:r>
      <w:r>
        <w:rPr>
          <w:rFonts w:hint="eastAsia" w:ascii="仿宋_GB2312" w:hAnsi="仿宋_GB2312" w:eastAsia="仿宋_GB2312" w:cs="仿宋_GB2312"/>
        </w:rPr>
        <w:t>消防救援</w:t>
      </w:r>
      <w:r>
        <w:rPr>
          <w:rFonts w:hint="eastAsia" w:ascii="仿宋_GB2312" w:hAnsi="仿宋_GB2312" w:eastAsia="仿宋_GB2312" w:cs="仿宋_GB2312"/>
          <w:lang w:val="en-US" w:eastAsia="zh-CN"/>
        </w:rPr>
        <w:t>局</w:t>
      </w:r>
      <w:r>
        <w:rPr>
          <w:rFonts w:hint="eastAsia" w:ascii="仿宋_GB2312" w:hAnsi="仿宋_GB2312" w:eastAsia="仿宋_GB2312" w:cs="仿宋_GB2312"/>
        </w:rPr>
        <w:t>（地址：</w:t>
      </w:r>
      <w:r>
        <w:rPr>
          <w:rFonts w:hint="eastAsia" w:ascii="仿宋_GB2312" w:hAnsi="仿宋_GB2312" w:eastAsia="仿宋_GB2312" w:cs="仿宋_GB2312"/>
          <w:lang w:val="en-US" w:eastAsia="zh-CN"/>
        </w:rPr>
        <w:t>新乡市卫滨区解放大道（南）26号</w:t>
      </w:r>
      <w:r>
        <w:rPr>
          <w:rFonts w:hint="eastAsia" w:ascii="仿宋_GB2312" w:hAnsi="仿宋_GB2312" w:eastAsia="仿宋_GB2312" w:cs="仿宋_GB2312"/>
        </w:rPr>
        <w:t>），联系电话：</w:t>
      </w:r>
      <w:r>
        <w:rPr>
          <w:rFonts w:hint="eastAsia" w:ascii="仿宋_GB2312" w:hAnsi="仿宋_GB2312" w:eastAsia="仿宋_GB2312" w:cs="仿宋_GB2312"/>
          <w:lang w:val="en-US" w:eastAsia="zh-CN"/>
        </w:rPr>
        <w:t>15137316119</w:t>
      </w:r>
      <w:r>
        <w:rPr>
          <w:rFonts w:hint="eastAsia" w:ascii="仿宋_GB2312" w:hAnsi="仿宋_GB2312" w:eastAsia="仿宋_GB2312" w:cs="仿宋_GB2312"/>
        </w:rPr>
        <w:t>。</w:t>
      </w:r>
    </w:p>
    <w:p w14:paraId="6055404C">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2.三级消防安全重点单位</w:t>
      </w:r>
    </w:p>
    <w:p w14:paraId="165504C3">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新乡市公安局卫滨分局（地址：新乡市卫滨区引黄路126号），联系电话：18638315252。</w:t>
      </w:r>
    </w:p>
    <w:p w14:paraId="74F03FE7">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可事先联系沟通，通过邮寄、传真、电子邮箱等多种形式递交申报材料。</w:t>
      </w:r>
    </w:p>
    <w:p w14:paraId="7504E687">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黑体" w:hAnsi="黑体" w:eastAsia="黑体" w:cs="黑体"/>
        </w:rPr>
      </w:pPr>
      <w:r>
        <w:rPr>
          <w:rFonts w:hint="eastAsia" w:ascii="黑体" w:hAnsi="黑体" w:eastAsia="黑体" w:cs="黑体"/>
        </w:rPr>
        <w:t>三、申报内容</w:t>
      </w:r>
    </w:p>
    <w:p w14:paraId="5C5AB5B9">
      <w:pPr>
        <w:keepNext w:val="0"/>
        <w:keepLines w:val="0"/>
        <w:pageBreakBefore w:val="0"/>
        <w:widowControl w:val="0"/>
        <w:kinsoku/>
        <w:wordWrap/>
        <w:overflowPunct/>
        <w:topLinePunct w:val="0"/>
        <w:autoSpaceDE/>
        <w:autoSpaceDN/>
        <w:bidi w:val="0"/>
        <w:adjustRightInd/>
        <w:snapToGrid/>
        <w:spacing w:line="580" w:lineRule="exact"/>
        <w:ind w:firstLine="643"/>
        <w:jc w:val="left"/>
        <w:textAlignment w:val="auto"/>
        <w:rPr>
          <w:rFonts w:hint="eastAsia" w:ascii="仿宋_GB2312" w:hAnsi="仿宋_GB2312" w:eastAsia="仿宋_GB2312" w:cs="仿宋_GB2312"/>
        </w:rPr>
      </w:pPr>
      <w:r>
        <w:rPr>
          <w:rFonts w:hint="eastAsia" w:ascii="仿宋_GB2312" w:hAnsi="仿宋_GB2312" w:eastAsia="仿宋_GB2312" w:cs="仿宋_GB2312"/>
        </w:rPr>
        <w:t>参考《河南省消防安全重点单位界定标准》（附件2）和《新乡市消防安全重点单位分级界定标准》（附件3）进行自评，符合界定标准的填写《新乡市消防安全重点单位申报表》（附件1）。其中，符合火灾高危单位界定标准（附件4）的，按照消防安全重点单位备案要求同步申报。请于申报时间内</w:t>
      </w:r>
      <w:r>
        <w:rPr>
          <w:rFonts w:hint="eastAsia" w:ascii="仿宋_GB2312" w:hAnsi="仿宋_GB2312" w:eastAsia="仿宋_GB2312" w:cs="仿宋_GB2312"/>
          <w:lang w:val="en-US" w:eastAsia="zh-CN"/>
        </w:rPr>
        <w:t>将</w:t>
      </w:r>
      <w:r>
        <w:rPr>
          <w:rFonts w:hint="eastAsia" w:ascii="仿宋_GB2312" w:hAnsi="仿宋_GB2312" w:eastAsia="仿宋_GB2312" w:cs="仿宋_GB2312"/>
        </w:rPr>
        <w:t>《新乡市消防安全重点单位申报表》及单位身份证明材料复印件（单位盖章、消防安全责任人签字）报</w:t>
      </w:r>
      <w:r>
        <w:rPr>
          <w:rFonts w:hint="eastAsia" w:ascii="仿宋_GB2312" w:hAnsi="仿宋_GB2312" w:eastAsia="仿宋_GB2312" w:cs="仿宋_GB2312"/>
          <w:lang w:val="en-US" w:eastAsia="zh-CN"/>
        </w:rPr>
        <w:t>新乡市卫滨区</w:t>
      </w:r>
      <w:r>
        <w:rPr>
          <w:rFonts w:hint="eastAsia" w:ascii="仿宋_GB2312" w:hAnsi="仿宋_GB2312" w:eastAsia="仿宋_GB2312" w:cs="仿宋_GB2312"/>
        </w:rPr>
        <w:t>消防救援</w:t>
      </w:r>
      <w:r>
        <w:rPr>
          <w:rFonts w:hint="eastAsia" w:ascii="仿宋_GB2312" w:hAnsi="仿宋_GB2312" w:eastAsia="仿宋_GB2312" w:cs="仿宋_GB2312"/>
          <w:lang w:val="en-US" w:eastAsia="zh-CN"/>
        </w:rPr>
        <w:t>局（二级消防安全重点单位申报）、新乡市公安局卫滨分局（三级消防安全重点单位申报）</w:t>
      </w:r>
      <w:r>
        <w:rPr>
          <w:rFonts w:hint="eastAsia" w:ascii="仿宋_GB2312" w:hAnsi="仿宋_GB2312" w:eastAsia="仿宋_GB2312" w:cs="仿宋_GB2312"/>
        </w:rPr>
        <w:t>。</w:t>
      </w:r>
    </w:p>
    <w:p w14:paraId="045CE801">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黑体" w:hAnsi="黑体" w:eastAsia="黑体" w:cs="黑体"/>
        </w:rPr>
      </w:pPr>
      <w:r>
        <w:rPr>
          <w:rFonts w:hint="eastAsia" w:ascii="黑体" w:hAnsi="黑体" w:eastAsia="黑体" w:cs="黑体"/>
        </w:rPr>
        <w:t>四、申报要求</w:t>
      </w:r>
    </w:p>
    <w:p w14:paraId="4AA920A2">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凡是符合消防安全重点单位界定标准的机关、团体、企业、事业单位，以及符合企业登记标准且经营规模符合消防安全重点单位界定标准的个体工商户，均应主动申报。如单位符合界定标准未申报，发生严重后果的，将依法追究单位法律责任。</w:t>
      </w:r>
    </w:p>
    <w:p w14:paraId="1361FDC7">
      <w:pPr>
        <w:keepNext w:val="0"/>
        <w:keepLines w:val="0"/>
        <w:pageBreakBefore w:val="0"/>
        <w:widowControl w:val="0"/>
        <w:kinsoku/>
        <w:wordWrap/>
        <w:overflowPunct/>
        <w:topLinePunct w:val="0"/>
        <w:autoSpaceDE/>
        <w:autoSpaceDN/>
        <w:bidi w:val="0"/>
        <w:adjustRightInd/>
        <w:snapToGrid/>
        <w:spacing w:line="580" w:lineRule="exact"/>
        <w:ind w:firstLine="631"/>
        <w:textAlignment w:val="auto"/>
        <w:rPr>
          <w:rFonts w:hint="eastAsia" w:ascii="仿宋_GB2312" w:hAnsi="仿宋_GB2312" w:eastAsia="仿宋_GB2312" w:cs="仿宋_GB2312"/>
        </w:rPr>
      </w:pPr>
      <w:r>
        <w:rPr>
          <w:rFonts w:hint="eastAsia" w:ascii="仿宋_GB2312" w:hAnsi="仿宋_GB2312" w:eastAsia="仿宋_GB2312" w:cs="仿宋_GB2312"/>
        </w:rPr>
        <w:t>特此通告。</w:t>
      </w:r>
    </w:p>
    <w:p w14:paraId="26721F94">
      <w:pPr>
        <w:keepNext w:val="0"/>
        <w:keepLines w:val="0"/>
        <w:pageBreakBefore w:val="0"/>
        <w:widowControl w:val="0"/>
        <w:kinsoku/>
        <w:wordWrap/>
        <w:overflowPunct/>
        <w:topLinePunct w:val="0"/>
        <w:autoSpaceDE/>
        <w:autoSpaceDN/>
        <w:bidi w:val="0"/>
        <w:adjustRightInd/>
        <w:snapToGrid/>
        <w:spacing w:line="580" w:lineRule="exact"/>
        <w:ind w:firstLine="631"/>
        <w:textAlignment w:val="auto"/>
        <w:rPr>
          <w:rFonts w:hint="default" w:ascii="Times New Roman" w:hAnsi="Times New Roman" w:eastAsia="方正仿宋_GBK" w:cs="Times New Roman"/>
        </w:rPr>
      </w:pPr>
    </w:p>
    <w:p w14:paraId="01196AC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件：</w:t>
      </w:r>
      <w:r>
        <w:rPr>
          <w:rFonts w:hint="eastAsia" w:ascii="仿宋_GB2312" w:hAnsi="仿宋_GB2312" w:eastAsia="仿宋_GB2312" w:cs="仿宋_GB2312"/>
        </w:rPr>
        <w:t>1.新乡市消防安全重点单位申报表</w:t>
      </w:r>
    </w:p>
    <w:p w14:paraId="3211A9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2.河南省消防安全重点单位界定标准</w:t>
      </w:r>
    </w:p>
    <w:p w14:paraId="5CD025D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3.新乡市消防安全重点单位分级界定标准</w:t>
      </w:r>
    </w:p>
    <w:p w14:paraId="2AFF86E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lang w:val="en-US" w:eastAsia="zh-CN"/>
        </w:rPr>
      </w:pPr>
      <w:r>
        <w:rPr>
          <w:rFonts w:hint="eastAsia" w:hAnsi="仿宋_GB2312" w:cs="仿宋_GB2312"/>
          <w:lang w:val="en-US" w:eastAsia="zh-CN"/>
        </w:rPr>
        <w:t xml:space="preserve">       </w:t>
      </w:r>
      <w:r>
        <w:rPr>
          <w:rFonts w:hint="eastAsia" w:ascii="仿宋_GB2312" w:hAnsi="仿宋_GB2312" w:eastAsia="仿宋_GB2312" w:cs="仿宋_GB2312"/>
        </w:rPr>
        <w:t>4.河南省火灾高危单位消防安全管理规定</w:t>
      </w:r>
    </w:p>
    <w:p w14:paraId="515345F5">
      <w:pPr>
        <w:keepNext w:val="0"/>
        <w:keepLines w:val="0"/>
        <w:pageBreakBefore w:val="0"/>
        <w:widowControl w:val="0"/>
        <w:kinsoku/>
        <w:wordWrap/>
        <w:overflowPunct/>
        <w:topLinePunct w:val="0"/>
        <w:autoSpaceDE/>
        <w:autoSpaceDN/>
        <w:bidi w:val="0"/>
        <w:adjustRightInd/>
        <w:snapToGrid/>
        <w:spacing w:line="580" w:lineRule="exact"/>
        <w:ind w:firstLine="5357" w:firstLineChars="1695"/>
        <w:textAlignment w:val="auto"/>
        <w:rPr>
          <w:rFonts w:hint="eastAsia" w:ascii="Times New Roman" w:eastAsia="方正仿宋_GBK" w:cs="Times New Roman"/>
          <w:lang w:val="en-US" w:eastAsia="zh-CN"/>
        </w:rPr>
      </w:pPr>
    </w:p>
    <w:p w14:paraId="5CDA96B5">
      <w:pPr>
        <w:keepNext w:val="0"/>
        <w:keepLines w:val="0"/>
        <w:pageBreakBefore w:val="0"/>
        <w:widowControl w:val="0"/>
        <w:kinsoku/>
        <w:wordWrap/>
        <w:overflowPunct/>
        <w:topLinePunct w:val="0"/>
        <w:autoSpaceDE/>
        <w:autoSpaceDN/>
        <w:bidi w:val="0"/>
        <w:adjustRightInd/>
        <w:snapToGrid/>
        <w:spacing w:line="580" w:lineRule="exact"/>
        <w:ind w:firstLine="5357" w:firstLineChars="1695"/>
        <w:textAlignment w:val="auto"/>
        <w:rPr>
          <w:rFonts w:hint="eastAsia" w:ascii="Times New Roman" w:eastAsia="方正仿宋_GBK" w:cs="Times New Roman"/>
          <w:lang w:val="en-US" w:eastAsia="zh-CN"/>
        </w:rPr>
      </w:pPr>
    </w:p>
    <w:p w14:paraId="14A1F9B6">
      <w:pPr>
        <w:keepNext w:val="0"/>
        <w:keepLines w:val="0"/>
        <w:pageBreakBefore w:val="0"/>
        <w:widowControl w:val="0"/>
        <w:kinsoku/>
        <w:wordWrap/>
        <w:overflowPunct/>
        <w:topLinePunct w:val="0"/>
        <w:autoSpaceDE/>
        <w:autoSpaceDN/>
        <w:bidi w:val="0"/>
        <w:adjustRightInd/>
        <w:snapToGrid/>
        <w:spacing w:line="580" w:lineRule="exact"/>
        <w:ind w:firstLine="5357" w:firstLineChars="1695"/>
        <w:textAlignment w:val="auto"/>
        <w:rPr>
          <w:rFonts w:hint="eastAsia" w:ascii="Times New Roman" w:eastAsia="方正仿宋_GBK" w:cs="Times New Roman"/>
          <w:lang w:val="en-US" w:eastAsia="zh-CN"/>
        </w:rPr>
      </w:pPr>
    </w:p>
    <w:p w14:paraId="283EFBE5">
      <w:pPr>
        <w:keepNext w:val="0"/>
        <w:keepLines w:val="0"/>
        <w:pageBreakBefore w:val="0"/>
        <w:widowControl w:val="0"/>
        <w:kinsoku/>
        <w:wordWrap/>
        <w:overflowPunct/>
        <w:topLinePunct w:val="0"/>
        <w:autoSpaceDE/>
        <w:autoSpaceDN/>
        <w:bidi w:val="0"/>
        <w:adjustRightInd/>
        <w:snapToGrid/>
        <w:spacing w:line="580" w:lineRule="exact"/>
        <w:ind w:firstLine="5357" w:firstLineChars="1695"/>
        <w:textAlignment w:val="auto"/>
        <w:rPr>
          <w:rFonts w:hint="eastAsia" w:ascii="Times New Roman" w:eastAsia="方正仿宋_GBK" w:cs="Times New Roman"/>
          <w:lang w:val="en-US" w:eastAsia="zh-CN"/>
        </w:rPr>
      </w:pPr>
    </w:p>
    <w:p w14:paraId="01BD0917">
      <w:pPr>
        <w:keepNext w:val="0"/>
        <w:keepLines w:val="0"/>
        <w:pageBreakBefore w:val="0"/>
        <w:widowControl w:val="0"/>
        <w:kinsoku/>
        <w:wordWrap/>
        <w:overflowPunct/>
        <w:topLinePunct w:val="0"/>
        <w:autoSpaceDE/>
        <w:autoSpaceDN/>
        <w:bidi w:val="0"/>
        <w:adjustRightInd/>
        <w:snapToGrid/>
        <w:spacing w:line="580" w:lineRule="exact"/>
        <w:ind w:firstLine="5357" w:firstLineChars="1695"/>
        <w:textAlignment w:val="auto"/>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新乡市卫滨区</w:t>
      </w:r>
      <w:r>
        <w:rPr>
          <w:rFonts w:hint="eastAsia" w:ascii="仿宋_GB2312" w:hAnsi="仿宋_GB2312" w:eastAsia="仿宋_GB2312" w:cs="仿宋_GB2312"/>
        </w:rPr>
        <w:t>消防救援</w:t>
      </w:r>
      <w:r>
        <w:rPr>
          <w:rFonts w:hint="eastAsia" w:ascii="仿宋_GB2312" w:hAnsi="仿宋_GB2312" w:eastAsia="仿宋_GB2312" w:cs="仿宋_GB2312"/>
          <w:lang w:val="en-US" w:eastAsia="zh-CN"/>
        </w:rPr>
        <w:t>局</w:t>
      </w:r>
    </w:p>
    <w:p w14:paraId="0C55C501">
      <w:pPr>
        <w:keepNext w:val="0"/>
        <w:keepLines w:val="0"/>
        <w:pageBreakBefore w:val="0"/>
        <w:widowControl w:val="0"/>
        <w:kinsoku/>
        <w:wordWrap/>
        <w:overflowPunct/>
        <w:topLinePunct w:val="0"/>
        <w:autoSpaceDE/>
        <w:autoSpaceDN/>
        <w:bidi w:val="0"/>
        <w:adjustRightInd/>
        <w:snapToGrid/>
        <w:spacing w:line="580" w:lineRule="exact"/>
        <w:ind w:firstLine="6162" w:firstLineChars="1950"/>
        <w:textAlignment w:val="auto"/>
        <w:rPr>
          <w:rFonts w:hint="eastAsia" w:ascii="仿宋_GB2312" w:hAnsi="仿宋_GB2312" w:eastAsia="仿宋_GB2312" w:cs="仿宋_GB2312"/>
        </w:rPr>
      </w:pPr>
      <w:r>
        <w:rPr>
          <w:rFonts w:hint="eastAsia" w:ascii="仿宋_GB2312" w:hAnsi="仿宋_GB2312" w:eastAsia="仿宋_GB2312" w:cs="仿宋_GB2312"/>
        </w:rPr>
        <w:t>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w:t>
      </w:r>
      <w:r>
        <w:rPr>
          <w:rFonts w:hint="eastAsia" w:ascii="仿宋_GB2312" w:hAnsi="仿宋_GB2312" w:eastAsia="仿宋_GB2312" w:cs="仿宋_GB2312"/>
          <w:lang w:val="en-US" w:eastAsia="zh-CN"/>
        </w:rPr>
        <w:t>3</w:t>
      </w:r>
      <w:r>
        <w:rPr>
          <w:rFonts w:hint="eastAsia" w:ascii="仿宋_GB2312" w:hAnsi="仿宋_GB2312" w:eastAsia="仿宋_GB2312" w:cs="仿宋_GB2312"/>
        </w:rPr>
        <w:t>月</w:t>
      </w:r>
      <w:r>
        <w:rPr>
          <w:rFonts w:hint="eastAsia" w:ascii="仿宋_GB2312" w:hAnsi="仿宋_GB2312" w:eastAsia="仿宋_GB2312" w:cs="仿宋_GB2312"/>
          <w:lang w:val="en-US" w:eastAsia="zh-CN"/>
        </w:rPr>
        <w:t>10</w:t>
      </w:r>
      <w:r>
        <w:rPr>
          <w:rFonts w:hint="eastAsia" w:ascii="仿宋_GB2312" w:hAnsi="仿宋_GB2312" w:eastAsia="仿宋_GB2312" w:cs="仿宋_GB2312"/>
        </w:rPr>
        <w:t>日</w:t>
      </w:r>
    </w:p>
    <w:p w14:paraId="5A21FA75">
      <w:pPr>
        <w:spacing w:line="560" w:lineRule="exact"/>
        <w:rPr>
          <w:rFonts w:hint="default" w:ascii="Times New Roman" w:hAnsi="Times New Roman" w:eastAsia="黑体" w:cs="Times New Roman"/>
        </w:rPr>
      </w:pPr>
    </w:p>
    <w:p w14:paraId="6A22B02F">
      <w:pPr>
        <w:spacing w:line="560" w:lineRule="exact"/>
        <w:rPr>
          <w:rFonts w:hint="default" w:ascii="Times New Roman" w:hAnsi="Times New Roman" w:eastAsia="黑体" w:cs="Times New Roman"/>
        </w:rPr>
      </w:pPr>
    </w:p>
    <w:p w14:paraId="23DF783D">
      <w:pPr>
        <w:spacing w:line="560" w:lineRule="exact"/>
        <w:rPr>
          <w:rFonts w:hint="default" w:ascii="Times New Roman" w:hAnsi="Times New Roman" w:eastAsia="黑体" w:cs="Times New Roman"/>
        </w:rPr>
      </w:pPr>
    </w:p>
    <w:p w14:paraId="5D296D8F">
      <w:pPr>
        <w:spacing w:line="560" w:lineRule="exact"/>
        <w:rPr>
          <w:rFonts w:hint="default" w:ascii="Times New Roman" w:hAnsi="Times New Roman" w:eastAsia="黑体" w:cs="Times New Roman"/>
        </w:rPr>
      </w:pPr>
    </w:p>
    <w:p w14:paraId="18A4C717">
      <w:pPr>
        <w:spacing w:line="560" w:lineRule="exact"/>
        <w:rPr>
          <w:rFonts w:hint="default" w:ascii="Times New Roman" w:hAnsi="Times New Roman" w:eastAsia="黑体" w:cs="Times New Roman"/>
        </w:rPr>
      </w:pPr>
    </w:p>
    <w:p w14:paraId="2195D82B">
      <w:pPr>
        <w:spacing w:line="560" w:lineRule="exact"/>
        <w:rPr>
          <w:rFonts w:hint="default" w:ascii="Times New Roman" w:hAnsi="Times New Roman" w:eastAsia="黑体" w:cs="Times New Roman"/>
        </w:rPr>
      </w:pPr>
    </w:p>
    <w:p w14:paraId="61328789">
      <w:pPr>
        <w:spacing w:line="560" w:lineRule="exact"/>
        <w:rPr>
          <w:rFonts w:hint="default" w:ascii="Times New Roman" w:hAnsi="Times New Roman" w:eastAsia="黑体" w:cs="Times New Roman"/>
        </w:rPr>
      </w:pPr>
    </w:p>
    <w:p w14:paraId="32DE3B8E">
      <w:pPr>
        <w:spacing w:line="560" w:lineRule="exact"/>
        <w:rPr>
          <w:rFonts w:hint="default" w:ascii="Times New Roman" w:hAnsi="Times New Roman" w:eastAsia="黑体" w:cs="Times New Roman"/>
        </w:rPr>
      </w:pPr>
    </w:p>
    <w:p w14:paraId="473ACD6F">
      <w:pPr>
        <w:spacing w:line="560" w:lineRule="exact"/>
        <w:rPr>
          <w:rFonts w:hint="default" w:ascii="Times New Roman" w:hAnsi="Times New Roman" w:eastAsia="黑体" w:cs="Times New Roman"/>
        </w:rPr>
      </w:pPr>
    </w:p>
    <w:p w14:paraId="105575D5">
      <w:pPr>
        <w:spacing w:line="560" w:lineRule="exact"/>
        <w:rPr>
          <w:rFonts w:hint="default" w:ascii="Times New Roman" w:hAnsi="Times New Roman" w:eastAsia="黑体" w:cs="Times New Roman"/>
        </w:rPr>
      </w:pPr>
    </w:p>
    <w:p w14:paraId="7A691E21">
      <w:pPr>
        <w:spacing w:line="560" w:lineRule="exact"/>
        <w:rPr>
          <w:rFonts w:hint="default" w:ascii="Times New Roman" w:hAnsi="Times New Roman" w:eastAsia="黑体" w:cs="Times New Roman"/>
        </w:rPr>
      </w:pPr>
    </w:p>
    <w:p w14:paraId="63A43565">
      <w:pPr>
        <w:spacing w:line="560" w:lineRule="exact"/>
        <w:rPr>
          <w:rFonts w:hint="default" w:ascii="Times New Roman" w:hAnsi="Times New Roman" w:eastAsia="黑体" w:cs="Times New Roman"/>
        </w:rPr>
      </w:pPr>
    </w:p>
    <w:p w14:paraId="227A469E">
      <w:pPr>
        <w:spacing w:line="560" w:lineRule="exact"/>
        <w:rPr>
          <w:rFonts w:hint="default" w:ascii="Times New Roman" w:hAnsi="Times New Roman" w:eastAsia="黑体" w:cs="Times New Roman"/>
        </w:rPr>
      </w:pPr>
    </w:p>
    <w:p w14:paraId="540B88ED">
      <w:pPr>
        <w:spacing w:line="560" w:lineRule="exact"/>
        <w:rPr>
          <w:rFonts w:hint="default" w:ascii="Times New Roman" w:hAnsi="Times New Roman" w:eastAsia="黑体" w:cs="Times New Roman"/>
        </w:rPr>
      </w:pPr>
    </w:p>
    <w:p w14:paraId="7ACF1523">
      <w:pPr>
        <w:spacing w:line="560" w:lineRule="exact"/>
        <w:rPr>
          <w:rFonts w:hint="eastAsia" w:ascii="黑体" w:hAnsi="黑体" w:eastAsia="黑体" w:cs="黑体"/>
        </w:rPr>
      </w:pP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件1</w:t>
      </w:r>
    </w:p>
    <w:p w14:paraId="61169E8D">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新乡市消防安全重点单位申报表</w:t>
      </w:r>
    </w:p>
    <w:tbl>
      <w:tblPr>
        <w:tblStyle w:val="5"/>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931"/>
        <w:gridCol w:w="885"/>
        <w:gridCol w:w="853"/>
        <w:gridCol w:w="1937"/>
        <w:gridCol w:w="915"/>
        <w:gridCol w:w="630"/>
        <w:gridCol w:w="1175"/>
      </w:tblGrid>
      <w:tr w14:paraId="0012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6" w:type="dxa"/>
            <w:noWrap w:val="0"/>
            <w:vAlign w:val="center"/>
          </w:tcPr>
          <w:p w14:paraId="32BA0357">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p w14:paraId="6DFDF156">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4606" w:type="dxa"/>
            <w:gridSpan w:val="4"/>
            <w:noWrap w:val="0"/>
            <w:vAlign w:val="center"/>
          </w:tcPr>
          <w:p w14:paraId="69594CEF">
            <w:pPr>
              <w:spacing w:line="360" w:lineRule="exact"/>
              <w:contextualSpacing/>
              <w:rPr>
                <w:rFonts w:hint="eastAsia" w:ascii="仿宋_GB2312" w:hAnsi="仿宋_GB2312" w:eastAsia="仿宋_GB2312" w:cs="仿宋_GB2312"/>
                <w:sz w:val="24"/>
                <w:szCs w:val="24"/>
              </w:rPr>
            </w:pPr>
          </w:p>
        </w:tc>
        <w:tc>
          <w:tcPr>
            <w:tcW w:w="915" w:type="dxa"/>
            <w:noWrap w:val="0"/>
            <w:vAlign w:val="center"/>
          </w:tcPr>
          <w:p w14:paraId="308FD761">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p w14:paraId="76C0FE65">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性质</w:t>
            </w:r>
          </w:p>
        </w:tc>
        <w:tc>
          <w:tcPr>
            <w:tcW w:w="1805" w:type="dxa"/>
            <w:gridSpan w:val="2"/>
            <w:noWrap w:val="0"/>
            <w:vAlign w:val="center"/>
          </w:tcPr>
          <w:p w14:paraId="42C98D9D">
            <w:pPr>
              <w:spacing w:line="360" w:lineRule="exact"/>
              <w:contextualSpacing/>
              <w:rPr>
                <w:rFonts w:hint="eastAsia" w:ascii="仿宋_GB2312" w:hAnsi="仿宋_GB2312" w:eastAsia="仿宋_GB2312" w:cs="仿宋_GB2312"/>
                <w:sz w:val="24"/>
                <w:szCs w:val="24"/>
              </w:rPr>
            </w:pPr>
          </w:p>
        </w:tc>
      </w:tr>
      <w:tr w14:paraId="2F07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6" w:type="dxa"/>
            <w:noWrap w:val="0"/>
            <w:vAlign w:val="center"/>
          </w:tcPr>
          <w:p w14:paraId="273D8B8B">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p w14:paraId="069C6884">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4606" w:type="dxa"/>
            <w:gridSpan w:val="4"/>
            <w:noWrap w:val="0"/>
            <w:vAlign w:val="center"/>
          </w:tcPr>
          <w:p w14:paraId="2EF87161">
            <w:pPr>
              <w:spacing w:line="360" w:lineRule="exact"/>
              <w:contextualSpacing/>
              <w:rPr>
                <w:rFonts w:hint="eastAsia" w:ascii="仿宋_GB2312" w:hAnsi="仿宋_GB2312" w:eastAsia="仿宋_GB2312" w:cs="仿宋_GB2312"/>
                <w:sz w:val="24"/>
                <w:szCs w:val="24"/>
              </w:rPr>
            </w:pPr>
          </w:p>
        </w:tc>
        <w:tc>
          <w:tcPr>
            <w:tcW w:w="915" w:type="dxa"/>
            <w:noWrap w:val="0"/>
            <w:vAlign w:val="center"/>
          </w:tcPr>
          <w:p w14:paraId="19F4D51A">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w:t>
            </w:r>
          </w:p>
          <w:p w14:paraId="56C338A6">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编码</w:t>
            </w:r>
          </w:p>
        </w:tc>
        <w:tc>
          <w:tcPr>
            <w:tcW w:w="1805" w:type="dxa"/>
            <w:gridSpan w:val="2"/>
            <w:noWrap w:val="0"/>
            <w:vAlign w:val="center"/>
          </w:tcPr>
          <w:p w14:paraId="455DA9CD">
            <w:pPr>
              <w:spacing w:line="360" w:lineRule="exact"/>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123456</w:t>
            </w:r>
          </w:p>
        </w:tc>
      </w:tr>
      <w:tr w14:paraId="1849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836" w:type="dxa"/>
            <w:noWrap w:val="0"/>
            <w:vAlign w:val="center"/>
          </w:tcPr>
          <w:p w14:paraId="0F365C60">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消防安全</w:t>
            </w:r>
          </w:p>
          <w:p w14:paraId="26E67ACE">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责任人</w:t>
            </w:r>
          </w:p>
        </w:tc>
        <w:tc>
          <w:tcPr>
            <w:tcW w:w="931" w:type="dxa"/>
            <w:noWrap w:val="0"/>
            <w:vAlign w:val="center"/>
          </w:tcPr>
          <w:p w14:paraId="40AB6096">
            <w:pPr>
              <w:spacing w:line="360" w:lineRule="exact"/>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XXX</w:t>
            </w:r>
          </w:p>
        </w:tc>
        <w:tc>
          <w:tcPr>
            <w:tcW w:w="885" w:type="dxa"/>
            <w:noWrap w:val="0"/>
            <w:vAlign w:val="center"/>
          </w:tcPr>
          <w:p w14:paraId="6CF2060E">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853" w:type="dxa"/>
            <w:noWrap w:val="0"/>
            <w:vAlign w:val="center"/>
          </w:tcPr>
          <w:p w14:paraId="620FF51E">
            <w:pPr>
              <w:spacing w:line="360" w:lineRule="exact"/>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12345</w:t>
            </w:r>
          </w:p>
        </w:tc>
        <w:tc>
          <w:tcPr>
            <w:tcW w:w="1937" w:type="dxa"/>
            <w:noWrap w:val="0"/>
            <w:vAlign w:val="center"/>
          </w:tcPr>
          <w:p w14:paraId="099B0103">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消防安全</w:t>
            </w:r>
          </w:p>
          <w:p w14:paraId="655417F0">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w:t>
            </w:r>
          </w:p>
        </w:tc>
        <w:tc>
          <w:tcPr>
            <w:tcW w:w="915" w:type="dxa"/>
            <w:noWrap w:val="0"/>
            <w:vAlign w:val="center"/>
          </w:tcPr>
          <w:p w14:paraId="12E82622">
            <w:pPr>
              <w:spacing w:line="360" w:lineRule="exact"/>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XXXX</w:t>
            </w:r>
          </w:p>
        </w:tc>
        <w:tc>
          <w:tcPr>
            <w:tcW w:w="630" w:type="dxa"/>
            <w:noWrap w:val="0"/>
            <w:vAlign w:val="center"/>
          </w:tcPr>
          <w:p w14:paraId="2886E8A3">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w:t>
            </w:r>
          </w:p>
          <w:p w14:paraId="08F08CCC">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话</w:t>
            </w:r>
          </w:p>
        </w:tc>
        <w:tc>
          <w:tcPr>
            <w:tcW w:w="1175" w:type="dxa"/>
            <w:noWrap w:val="0"/>
            <w:vAlign w:val="center"/>
          </w:tcPr>
          <w:p w14:paraId="4B607773">
            <w:pPr>
              <w:spacing w:line="360" w:lineRule="exact"/>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12345678</w:t>
            </w:r>
          </w:p>
        </w:tc>
      </w:tr>
      <w:tr w14:paraId="3430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836" w:type="dxa"/>
            <w:noWrap w:val="0"/>
            <w:vAlign w:val="center"/>
          </w:tcPr>
          <w:p w14:paraId="73A2D691">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消防安全归口</w:t>
            </w:r>
          </w:p>
          <w:p w14:paraId="24CC5D5C">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管理职能部门</w:t>
            </w:r>
          </w:p>
        </w:tc>
        <w:tc>
          <w:tcPr>
            <w:tcW w:w="931" w:type="dxa"/>
            <w:noWrap w:val="0"/>
            <w:vAlign w:val="center"/>
          </w:tcPr>
          <w:p w14:paraId="2B9B291A">
            <w:pPr>
              <w:spacing w:line="360" w:lineRule="exact"/>
              <w:contextualSpacing/>
              <w:rPr>
                <w:rFonts w:hint="eastAsia" w:ascii="仿宋_GB2312" w:hAnsi="仿宋_GB2312" w:eastAsia="仿宋_GB2312" w:cs="仿宋_GB2312"/>
                <w:sz w:val="24"/>
                <w:szCs w:val="24"/>
              </w:rPr>
            </w:pPr>
          </w:p>
        </w:tc>
        <w:tc>
          <w:tcPr>
            <w:tcW w:w="885" w:type="dxa"/>
            <w:noWrap w:val="0"/>
            <w:vAlign w:val="center"/>
          </w:tcPr>
          <w:p w14:paraId="4BAA79BB">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853" w:type="dxa"/>
            <w:noWrap w:val="0"/>
            <w:vAlign w:val="center"/>
          </w:tcPr>
          <w:p w14:paraId="49E31FD0">
            <w:pPr>
              <w:spacing w:line="360" w:lineRule="exact"/>
              <w:contextualSpacing/>
              <w:rPr>
                <w:rFonts w:hint="eastAsia" w:ascii="仿宋_GB2312" w:hAnsi="仿宋_GB2312" w:eastAsia="仿宋_GB2312" w:cs="仿宋_GB2312"/>
                <w:sz w:val="24"/>
                <w:szCs w:val="24"/>
              </w:rPr>
            </w:pPr>
          </w:p>
        </w:tc>
        <w:tc>
          <w:tcPr>
            <w:tcW w:w="1937" w:type="dxa"/>
            <w:noWrap w:val="0"/>
            <w:vAlign w:val="center"/>
          </w:tcPr>
          <w:p w14:paraId="62F769D4">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□专职  □兼职</w:t>
            </w:r>
          </w:p>
          <w:p w14:paraId="6AD79D64">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消防管理人员</w:t>
            </w:r>
          </w:p>
        </w:tc>
        <w:tc>
          <w:tcPr>
            <w:tcW w:w="915" w:type="dxa"/>
            <w:noWrap w:val="0"/>
            <w:vAlign w:val="center"/>
          </w:tcPr>
          <w:p w14:paraId="06FAF748">
            <w:pPr>
              <w:spacing w:line="360" w:lineRule="exact"/>
              <w:contextualSpacing/>
              <w:rPr>
                <w:rFonts w:hint="eastAsia" w:ascii="仿宋_GB2312" w:hAnsi="仿宋_GB2312" w:eastAsia="仿宋_GB2312" w:cs="仿宋_GB2312"/>
                <w:sz w:val="24"/>
                <w:szCs w:val="24"/>
              </w:rPr>
            </w:pPr>
          </w:p>
        </w:tc>
        <w:tc>
          <w:tcPr>
            <w:tcW w:w="630" w:type="dxa"/>
            <w:noWrap w:val="0"/>
            <w:vAlign w:val="center"/>
          </w:tcPr>
          <w:p w14:paraId="43FA3EFA">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w:t>
            </w:r>
          </w:p>
          <w:p w14:paraId="15006BA4">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话</w:t>
            </w:r>
          </w:p>
        </w:tc>
        <w:tc>
          <w:tcPr>
            <w:tcW w:w="1175" w:type="dxa"/>
            <w:noWrap w:val="0"/>
            <w:vAlign w:val="center"/>
          </w:tcPr>
          <w:p w14:paraId="460FF0E5">
            <w:pPr>
              <w:spacing w:line="360" w:lineRule="exact"/>
              <w:contextualSpacing/>
              <w:rPr>
                <w:rFonts w:hint="eastAsia" w:ascii="仿宋_GB2312" w:hAnsi="仿宋_GB2312" w:eastAsia="仿宋_GB2312" w:cs="仿宋_GB2312"/>
                <w:sz w:val="24"/>
                <w:szCs w:val="24"/>
              </w:rPr>
            </w:pPr>
          </w:p>
        </w:tc>
      </w:tr>
      <w:tr w14:paraId="624A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1836" w:type="dxa"/>
            <w:noWrap w:val="0"/>
            <w:vAlign w:val="center"/>
          </w:tcPr>
          <w:p w14:paraId="3274CC4B">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 报</w:t>
            </w:r>
          </w:p>
          <w:p w14:paraId="5ECADE03">
            <w:pPr>
              <w:spacing w:line="360" w:lineRule="exact"/>
              <w:contextualSpacing/>
              <w:jc w:val="center"/>
              <w:rPr>
                <w:rFonts w:hint="eastAsia" w:ascii="仿宋_GB2312" w:hAnsi="仿宋_GB2312" w:eastAsia="仿宋_GB2312" w:cs="仿宋_GB2312"/>
                <w:sz w:val="24"/>
                <w:szCs w:val="24"/>
              </w:rPr>
            </w:pPr>
          </w:p>
          <w:p w14:paraId="2FA5340D">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 位</w:t>
            </w:r>
          </w:p>
          <w:p w14:paraId="3A09F51F">
            <w:pPr>
              <w:spacing w:line="360" w:lineRule="exact"/>
              <w:contextualSpacing/>
              <w:jc w:val="center"/>
              <w:rPr>
                <w:rFonts w:hint="eastAsia" w:ascii="仿宋_GB2312" w:hAnsi="仿宋_GB2312" w:eastAsia="仿宋_GB2312" w:cs="仿宋_GB2312"/>
                <w:sz w:val="24"/>
                <w:szCs w:val="24"/>
              </w:rPr>
            </w:pPr>
          </w:p>
          <w:p w14:paraId="2ABEA26D">
            <w:pPr>
              <w:spacing w:line="360" w:lineRule="exact"/>
              <w:contextualSpacing/>
              <w:jc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意 见</w:t>
            </w:r>
          </w:p>
        </w:tc>
        <w:tc>
          <w:tcPr>
            <w:tcW w:w="7326" w:type="dxa"/>
            <w:gridSpan w:val="7"/>
            <w:noWrap w:val="0"/>
            <w:vAlign w:val="top"/>
          </w:tcPr>
          <w:p w14:paraId="653AFA30">
            <w:pPr>
              <w:spacing w:line="360" w:lineRule="exact"/>
              <w:ind w:firstLine="472"/>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我单位符合《新乡市消防安全重点单位分级界定标准》第    条第    款条件。根据《机关、团体、企业、事业单位消防安全管理规定》，现申报为消防安全重点单位。</w:t>
            </w:r>
          </w:p>
          <w:p w14:paraId="2C06F537">
            <w:pPr>
              <w:spacing w:line="360" w:lineRule="exact"/>
              <w:ind w:firstLine="472"/>
              <w:contextualSpacing/>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根据《河南省火灾高危单位消防安全管理规定》第  条条件，经我单位自我评估，我单位为火灾高危单位。</w:t>
            </w:r>
            <w:r>
              <w:rPr>
                <w:rFonts w:hint="eastAsia" w:ascii="仿宋_GB2312" w:hAnsi="仿宋_GB2312" w:eastAsia="仿宋_GB2312" w:cs="仿宋_GB2312"/>
                <w:sz w:val="24"/>
                <w:szCs w:val="24"/>
                <w:lang w:eastAsia="zh-CN"/>
              </w:rPr>
              <w:t>）</w:t>
            </w:r>
          </w:p>
          <w:p w14:paraId="05005B8B">
            <w:pPr>
              <w:spacing w:line="360" w:lineRule="exact"/>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单位（章）：</w:t>
            </w:r>
          </w:p>
          <w:p w14:paraId="35D8CACC">
            <w:pPr>
              <w:spacing w:line="360" w:lineRule="exact"/>
              <w:contextualSpacing/>
              <w:rPr>
                <w:rFonts w:hint="eastAsia" w:ascii="仿宋_GB2312" w:hAnsi="仿宋_GB2312" w:eastAsia="仿宋_GB2312" w:cs="仿宋_GB2312"/>
                <w:sz w:val="24"/>
                <w:szCs w:val="24"/>
              </w:rPr>
            </w:pPr>
          </w:p>
          <w:p w14:paraId="0297C2E7">
            <w:pPr>
              <w:spacing w:line="360" w:lineRule="exact"/>
              <w:ind w:firstLine="472"/>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消防安全责任人（签字）：</w:t>
            </w:r>
          </w:p>
          <w:p w14:paraId="0A0C66FA">
            <w:pPr>
              <w:spacing w:line="360" w:lineRule="exact"/>
              <w:contextualSpacing/>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r w14:paraId="25E3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exact"/>
          <w:jc w:val="center"/>
        </w:trPr>
        <w:tc>
          <w:tcPr>
            <w:tcW w:w="1836" w:type="dxa"/>
            <w:noWrap w:val="0"/>
            <w:vAlign w:val="center"/>
          </w:tcPr>
          <w:p w14:paraId="15DAC5F6">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消防部门</w:t>
            </w:r>
          </w:p>
          <w:p w14:paraId="424EA0E3">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经办人</w:t>
            </w:r>
          </w:p>
          <w:p w14:paraId="1DD6E1CB">
            <w:pPr>
              <w:spacing w:line="360" w:lineRule="exact"/>
              <w:contextualSpacing/>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  见</w:t>
            </w:r>
          </w:p>
        </w:tc>
        <w:tc>
          <w:tcPr>
            <w:tcW w:w="7326" w:type="dxa"/>
            <w:gridSpan w:val="7"/>
            <w:noWrap w:val="0"/>
            <w:vAlign w:val="top"/>
          </w:tcPr>
          <w:p w14:paraId="63691360">
            <w:pPr>
              <w:spacing w:line="360" w:lineRule="exact"/>
              <w:ind w:firstLine="472"/>
              <w:contextualSpacing/>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经核实，该单位符合《新乡市消防安全重点单位分级界定标准》第    条第    款条件。拟确定为消防安全重点单位列入监管范围。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且该单位符合《河南省火灾高危单位消防安全管理规定》第  条，界定为火灾高危单位。</w:t>
            </w:r>
            <w:r>
              <w:rPr>
                <w:rFonts w:hint="eastAsia" w:ascii="仿宋_GB2312" w:hAnsi="仿宋_GB2312" w:eastAsia="仿宋_GB2312" w:cs="仿宋_GB2312"/>
                <w:sz w:val="24"/>
                <w:szCs w:val="24"/>
                <w:lang w:eastAsia="zh-CN"/>
              </w:rPr>
              <w:t>）</w:t>
            </w:r>
          </w:p>
          <w:p w14:paraId="4E9A5BC5">
            <w:pPr>
              <w:spacing w:line="360" w:lineRule="exact"/>
              <w:ind w:firstLine="472"/>
              <w:contextualSpacing/>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经办人（签字）：</w:t>
            </w:r>
          </w:p>
          <w:p w14:paraId="58ACD442">
            <w:pPr>
              <w:spacing w:line="360" w:lineRule="exact"/>
              <w:contextualSpacing/>
              <w:jc w:val="right"/>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年    月    日</w:t>
            </w:r>
          </w:p>
        </w:tc>
      </w:tr>
      <w:tr w14:paraId="2B16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exact"/>
          <w:jc w:val="center"/>
        </w:trPr>
        <w:tc>
          <w:tcPr>
            <w:tcW w:w="1836" w:type="dxa"/>
            <w:noWrap w:val="0"/>
            <w:vAlign w:val="center"/>
          </w:tcPr>
          <w:p w14:paraId="6921CBF1">
            <w:pPr>
              <w:spacing w:line="360" w:lineRule="exact"/>
              <w:contextualSpacing/>
              <w:jc w:val="center"/>
              <w:rPr>
                <w:rFonts w:hint="eastAsia" w:ascii="仿宋_GB2312" w:hAnsi="仿宋_GB2312" w:eastAsia="仿宋_GB2312" w:cs="仿宋_GB2312"/>
                <w:sz w:val="24"/>
              </w:rPr>
            </w:pPr>
            <w:r>
              <w:rPr>
                <w:rFonts w:hint="eastAsia" w:ascii="仿宋_GB2312" w:hAnsi="仿宋_GB2312" w:eastAsia="仿宋_GB2312" w:cs="仿宋_GB2312"/>
                <w:sz w:val="24"/>
              </w:rPr>
              <w:t>消防部门</w:t>
            </w:r>
          </w:p>
          <w:p w14:paraId="406C7E29">
            <w:pPr>
              <w:spacing w:line="360" w:lineRule="exact"/>
              <w:contextualSpacing/>
              <w:jc w:val="center"/>
              <w:rPr>
                <w:rFonts w:hint="eastAsia" w:ascii="仿宋_GB2312" w:hAnsi="仿宋_GB2312" w:eastAsia="仿宋_GB2312" w:cs="仿宋_GB2312"/>
                <w:sz w:val="24"/>
              </w:rPr>
            </w:pPr>
            <w:r>
              <w:rPr>
                <w:rFonts w:hint="eastAsia" w:ascii="仿宋_GB2312" w:hAnsi="仿宋_GB2312" w:eastAsia="仿宋_GB2312" w:cs="仿宋_GB2312"/>
                <w:sz w:val="24"/>
              </w:rPr>
              <w:t>审核</w:t>
            </w:r>
          </w:p>
          <w:p w14:paraId="171DFBF2">
            <w:pPr>
              <w:spacing w:line="360" w:lineRule="exact"/>
              <w:contextualSpacing/>
              <w:jc w:val="center"/>
              <w:rPr>
                <w:rFonts w:hint="eastAsia" w:ascii="仿宋_GB2312" w:hAnsi="仿宋_GB2312" w:eastAsia="仿宋_GB2312" w:cs="仿宋_GB2312"/>
                <w:b/>
                <w:sz w:val="24"/>
              </w:rPr>
            </w:pPr>
            <w:r>
              <w:rPr>
                <w:rFonts w:hint="eastAsia" w:ascii="仿宋_GB2312" w:hAnsi="仿宋_GB2312" w:eastAsia="仿宋_GB2312" w:cs="仿宋_GB2312"/>
                <w:sz w:val="24"/>
              </w:rPr>
              <w:t>意  见</w:t>
            </w:r>
          </w:p>
        </w:tc>
        <w:tc>
          <w:tcPr>
            <w:tcW w:w="7326" w:type="dxa"/>
            <w:gridSpan w:val="7"/>
            <w:noWrap w:val="0"/>
            <w:vAlign w:val="top"/>
          </w:tcPr>
          <w:p w14:paraId="5D95C973">
            <w:pPr>
              <w:spacing w:line="360" w:lineRule="exact"/>
              <w:ind w:firstLine="472"/>
              <w:contextualSpacing/>
              <w:rPr>
                <w:rFonts w:hint="eastAsia" w:ascii="仿宋_GB2312" w:hAnsi="仿宋_GB2312" w:eastAsia="仿宋_GB2312" w:cs="仿宋_GB2312"/>
                <w:sz w:val="24"/>
              </w:rPr>
            </w:pPr>
            <w:r>
              <w:rPr>
                <w:rFonts w:hint="eastAsia" w:ascii="仿宋_GB2312" w:hAnsi="仿宋_GB2312" w:eastAsia="仿宋_GB2312" w:cs="仿宋_GB2312"/>
                <w:sz w:val="24"/>
              </w:rPr>
              <w:t>同意列管。</w:t>
            </w:r>
          </w:p>
          <w:p w14:paraId="26CA0A9E">
            <w:pPr>
              <w:spacing w:line="360" w:lineRule="exact"/>
              <w:ind w:firstLine="472"/>
              <w:contextualSpacing/>
              <w:rPr>
                <w:rFonts w:hint="eastAsia" w:ascii="仿宋_GB2312" w:hAnsi="仿宋_GB2312" w:eastAsia="仿宋_GB2312" w:cs="仿宋_GB2312"/>
                <w:sz w:val="24"/>
              </w:rPr>
            </w:pPr>
          </w:p>
          <w:p w14:paraId="5EAC3E29">
            <w:pPr>
              <w:spacing w:line="360" w:lineRule="exact"/>
              <w:ind w:firstLine="472"/>
              <w:contextualSpacing/>
              <w:rPr>
                <w:rFonts w:hint="eastAsia" w:ascii="仿宋_GB2312" w:hAnsi="仿宋_GB2312" w:eastAsia="仿宋_GB2312" w:cs="仿宋_GB2312"/>
                <w:sz w:val="24"/>
              </w:rPr>
            </w:pPr>
            <w:r>
              <w:rPr>
                <w:rFonts w:hint="eastAsia" w:ascii="仿宋_GB2312" w:hAnsi="仿宋_GB2312" w:eastAsia="仿宋_GB2312" w:cs="仿宋_GB2312"/>
                <w:sz w:val="24"/>
              </w:rPr>
              <w:t>审核人（签字）：</w:t>
            </w:r>
          </w:p>
          <w:p w14:paraId="2A1E277B">
            <w:pPr>
              <w:spacing w:line="360" w:lineRule="exact"/>
              <w:contextualSpacing/>
              <w:jc w:val="right"/>
              <w:rPr>
                <w:rFonts w:hint="eastAsia" w:ascii="仿宋_GB2312" w:hAnsi="仿宋_GB2312" w:eastAsia="仿宋_GB2312" w:cs="仿宋_GB2312"/>
                <w:sz w:val="24"/>
              </w:rPr>
            </w:pPr>
            <w:r>
              <w:rPr>
                <w:rFonts w:hint="eastAsia" w:ascii="仿宋_GB2312" w:hAnsi="仿宋_GB2312" w:eastAsia="仿宋_GB2312" w:cs="仿宋_GB2312"/>
                <w:sz w:val="24"/>
              </w:rPr>
              <w:t>年    月    日</w:t>
            </w:r>
          </w:p>
        </w:tc>
      </w:tr>
      <w:tr w14:paraId="2218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9162" w:type="dxa"/>
            <w:gridSpan w:val="8"/>
            <w:noWrap w:val="0"/>
            <w:vAlign w:val="center"/>
          </w:tcPr>
          <w:p w14:paraId="714A1707">
            <w:pPr>
              <w:spacing w:line="320" w:lineRule="exact"/>
              <w:contextualSpacing/>
              <w:rPr>
                <w:rFonts w:hint="eastAsia" w:ascii="仿宋_GB2312" w:hAnsi="仿宋_GB2312" w:eastAsia="仿宋_GB2312" w:cs="仿宋_GB2312"/>
                <w:sz w:val="24"/>
              </w:rPr>
            </w:pPr>
            <w:r>
              <w:rPr>
                <w:rFonts w:hint="eastAsia" w:ascii="仿宋_GB2312" w:hAnsi="仿宋_GB2312" w:eastAsia="仿宋_GB2312" w:cs="仿宋_GB2312"/>
                <w:sz w:val="24"/>
              </w:rPr>
              <w:t>填表说明：</w:t>
            </w:r>
          </w:p>
          <w:p w14:paraId="778DAC7A">
            <w:pPr>
              <w:spacing w:line="320" w:lineRule="exact"/>
              <w:contextualSpacing/>
              <w:rPr>
                <w:rFonts w:hint="eastAsia" w:ascii="仿宋_GB2312" w:hAnsi="仿宋_GB2312" w:eastAsia="仿宋_GB2312" w:cs="仿宋_GB2312"/>
                <w:sz w:val="24"/>
              </w:rPr>
            </w:pPr>
            <w:r>
              <w:rPr>
                <w:rFonts w:hint="eastAsia" w:ascii="仿宋_GB2312" w:hAnsi="仿宋_GB2312" w:eastAsia="仿宋_GB2312" w:cs="仿宋_GB2312"/>
                <w:sz w:val="24"/>
              </w:rPr>
              <w:t>1.消防安全责任人一栏，法人单位填写法定代表人，非法人单位填写主要负责人；</w:t>
            </w:r>
          </w:p>
          <w:p w14:paraId="685D821A">
            <w:pPr>
              <w:spacing w:line="320" w:lineRule="exact"/>
              <w:contextualSpacing/>
              <w:rPr>
                <w:rFonts w:hint="eastAsia" w:ascii="仿宋_GB2312" w:hAnsi="仿宋_GB2312" w:eastAsia="仿宋_GB2312" w:cs="仿宋_GB2312"/>
                <w:sz w:val="24"/>
              </w:rPr>
            </w:pPr>
            <w:r>
              <w:rPr>
                <w:rFonts w:hint="eastAsia" w:ascii="仿宋_GB2312" w:hAnsi="仿宋_GB2312" w:eastAsia="仿宋_GB2312" w:cs="仿宋_GB2312"/>
                <w:sz w:val="24"/>
              </w:rPr>
              <w:t>2.消防安全管理人可以由单位副职担任，也可单独设置或者聘任，直接对单位的消防安全责任人负责；</w:t>
            </w:r>
          </w:p>
          <w:p w14:paraId="1E137D5D">
            <w:pPr>
              <w:spacing w:line="320" w:lineRule="exact"/>
              <w:contextualSpacing/>
              <w:rPr>
                <w:rFonts w:hint="eastAsia" w:ascii="仿宋_GB2312" w:hAnsi="仿宋_GB2312" w:eastAsia="仿宋_GB2312" w:cs="仿宋_GB2312"/>
                <w:sz w:val="24"/>
              </w:rPr>
            </w:pPr>
            <w:r>
              <w:rPr>
                <w:rFonts w:hint="eastAsia" w:ascii="仿宋_GB2312" w:hAnsi="仿宋_GB2312" w:eastAsia="仿宋_GB2312" w:cs="仿宋_GB2312"/>
                <w:sz w:val="24"/>
              </w:rPr>
              <w:t>3.归口管理部门，是指单位消防安全管理的组织机构。如保卫处（科）、安全处（科）等。</w:t>
            </w:r>
          </w:p>
        </w:tc>
      </w:tr>
    </w:tbl>
    <w:p w14:paraId="4D5875B1">
      <w:pPr>
        <w:spacing w:line="560" w:lineRule="exact"/>
        <w:rPr>
          <w:rFonts w:hint="default" w:ascii="Times New Roman" w:hAnsi="Times New Roman" w:eastAsia="黑体" w:cs="Times New Roman"/>
        </w:rPr>
        <w:sectPr>
          <w:footerReference r:id="rId3" w:type="default"/>
          <w:footerReference r:id="rId4" w:type="even"/>
          <w:pgSz w:w="11906" w:h="16838"/>
          <w:pgMar w:top="2098" w:right="1474" w:bottom="1984" w:left="1587" w:header="851" w:footer="850" w:gutter="0"/>
          <w:pgNumType w:fmt="decimal"/>
          <w:cols w:space="720" w:num="1"/>
          <w:docGrid w:type="linesAndChars" w:linePitch="579" w:charSpace="-849"/>
        </w:sectPr>
      </w:pPr>
    </w:p>
    <w:p w14:paraId="36C65A0E">
      <w:pPr>
        <w:spacing w:line="560" w:lineRule="exact"/>
        <w:jc w:val="left"/>
        <w:rPr>
          <w:rFonts w:hint="eastAsia" w:ascii="黑体" w:hAnsi="黑体" w:eastAsia="黑体" w:cs="黑体"/>
          <w:sz w:val="44"/>
        </w:rPr>
      </w:pP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件2</w:t>
      </w:r>
    </w:p>
    <w:p w14:paraId="6B471C2F">
      <w:pPr>
        <w:spacing w:line="600" w:lineRule="exact"/>
        <w:ind w:firstLine="643"/>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rPr>
        <w:t>河南省消防安全重点单位界定标准</w:t>
      </w:r>
    </w:p>
    <w:p w14:paraId="64398A2E">
      <w:pPr>
        <w:spacing w:line="600" w:lineRule="exact"/>
        <w:ind w:firstLine="640" w:firstLineChars="200"/>
        <w:rPr>
          <w:rFonts w:hint="eastAsia" w:ascii="方正黑体_GBK" w:hAnsi="方正黑体_GBK" w:eastAsia="方正黑体_GBK" w:cs="方正黑体_GBK"/>
          <w:color w:val="000000"/>
          <w:szCs w:val="32"/>
          <w:shd w:val="clear" w:color="auto" w:fill="FFFFFF"/>
        </w:rPr>
      </w:pPr>
    </w:p>
    <w:p w14:paraId="2CC11A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Arial" w:eastAsia="黑体"/>
          <w:color w:val="000000"/>
          <w:szCs w:val="32"/>
        </w:rPr>
      </w:pPr>
      <w:r>
        <w:rPr>
          <w:rFonts w:hint="eastAsia" w:ascii="黑体" w:hAnsi="黑体" w:eastAsia="黑体" w:cs="黑体"/>
          <w:color w:val="000000"/>
          <w:szCs w:val="32"/>
          <w:shd w:val="clear" w:color="auto" w:fill="FFFFFF"/>
        </w:rPr>
        <w:t>一、宾馆、饭店、商场、集贸市场、体育场馆、会堂、公共娱乐场所等公众聚集场所</w:t>
      </w:r>
    </w:p>
    <w:p w14:paraId="33F769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（一）建筑面积在1000平方米（含本数，下同）以上且经营可燃商品的</w:t>
      </w:r>
      <w:r>
        <w:rPr>
          <w:rFonts w:hint="eastAsia" w:ascii="仿宋_GB2312" w:hAnsi="仿宋_GB2312" w:eastAsia="仿宋_GB2312" w:cs="仿宋_GB2312"/>
          <w:sz w:val="32"/>
          <w:szCs w:val="32"/>
          <w:shd w:val="clear" w:color="auto" w:fill="FFFFFF"/>
        </w:rPr>
        <w:t>商场、集贸市场</w:t>
      </w:r>
      <w:r>
        <w:rPr>
          <w:rFonts w:hint="eastAsia" w:hAnsi="仿宋_GB2312" w:cs="仿宋_GB2312"/>
          <w:sz w:val="32"/>
          <w:szCs w:val="32"/>
          <w:shd w:val="clear" w:color="auto" w:fill="FFFFFF"/>
          <w:lang w:eastAsia="zh-CN"/>
        </w:rPr>
        <w:t>；</w:t>
      </w:r>
    </w:p>
    <w:p w14:paraId="114C5B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（二）客房数在50间以上，或客房数在50间以下但设有商场、歌舞娱乐、餐饮场所等且建筑面积大于2000平方米的宾馆、饭店</w:t>
      </w:r>
      <w:r>
        <w:rPr>
          <w:rFonts w:hint="eastAsia" w:hAnsi="仿宋_GB2312" w:cs="仿宋_GB2312"/>
          <w:sz w:val="32"/>
          <w:szCs w:val="32"/>
          <w:shd w:val="clear" w:color="auto" w:fill="FFFFFF"/>
          <w:lang w:eastAsia="zh-CN"/>
        </w:rPr>
        <w:t>；</w:t>
      </w:r>
    </w:p>
    <w:p w14:paraId="06DA58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（三）公共的体育场馆、会堂</w:t>
      </w:r>
      <w:r>
        <w:rPr>
          <w:rFonts w:hint="eastAsia" w:hAnsi="仿宋_GB2312" w:cs="仿宋_GB2312"/>
          <w:sz w:val="32"/>
          <w:szCs w:val="32"/>
          <w:shd w:val="clear" w:color="auto" w:fill="FFFFFF"/>
          <w:lang w:eastAsia="zh-CN"/>
        </w:rPr>
        <w:t>；</w:t>
      </w:r>
    </w:p>
    <w:p w14:paraId="71AA8A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（四）建筑面积在200平方米以上的下列室内公共娱乐场所</w:t>
      </w:r>
    </w:p>
    <w:p w14:paraId="0287D5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1.影剧院、放映厅、礼堂等演出放映场所；</w:t>
      </w:r>
    </w:p>
    <w:p w14:paraId="4DB4A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2.舞厅、KTV等歌舞娱乐场所；</w:t>
      </w:r>
    </w:p>
    <w:p w14:paraId="0DAE37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3.具有娱乐功能的夜总会、音乐茶座和餐饮场所；</w:t>
      </w:r>
    </w:p>
    <w:p w14:paraId="50AD66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4.游艺、游乐场所</w:t>
      </w:r>
      <w:r>
        <w:rPr>
          <w:rFonts w:hint="eastAsia" w:hAnsi="仿宋_GB2312" w:cs="仿宋_GB2312"/>
          <w:sz w:val="32"/>
          <w:szCs w:val="32"/>
          <w:shd w:val="clear" w:color="auto" w:fill="FFFFFF"/>
          <w:lang w:eastAsia="zh-CN"/>
        </w:rPr>
        <w:t>。</w:t>
      </w:r>
    </w:p>
    <w:p w14:paraId="484C7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 w:val="32"/>
          <w:szCs w:val="32"/>
          <w:shd w:val="clear" w:color="auto" w:fill="FFFFFF"/>
        </w:rPr>
        <w:t>（五）建筑面积在500平方米以上的足浴、美容院、桑拿浴室（洗浴部分面积除外）等营业性健身、休闲场所</w:t>
      </w:r>
      <w:r>
        <w:rPr>
          <w:rFonts w:hint="eastAsia" w:hAnsi="仿宋_GB2312" w:cs="仿宋_GB2312"/>
          <w:sz w:val="32"/>
          <w:szCs w:val="32"/>
          <w:shd w:val="clear" w:color="auto" w:fill="FFFFFF"/>
          <w:lang w:eastAsia="zh-CN"/>
        </w:rPr>
        <w:t>。</w:t>
      </w:r>
    </w:p>
    <w:p w14:paraId="5589F7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Cs w:val="32"/>
          <w:shd w:val="clear" w:color="auto" w:fill="FFFFFF"/>
        </w:rPr>
      </w:pPr>
      <w:r>
        <w:rPr>
          <w:rFonts w:hint="eastAsia" w:ascii="黑体" w:hAnsi="黑体" w:eastAsia="黑体" w:cs="黑体"/>
          <w:color w:val="000000"/>
          <w:szCs w:val="32"/>
          <w:shd w:val="clear" w:color="auto" w:fill="FFFFFF"/>
        </w:rPr>
        <w:t>二、医院、养老院和寄宿制的学校托儿所、幼儿园</w:t>
      </w:r>
    </w:p>
    <w:p w14:paraId="435414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Cs w:val="32"/>
          <w:shd w:val="clear" w:color="auto" w:fill="FFFFFF"/>
          <w:lang w:eastAsia="zh-CN"/>
        </w:rPr>
      </w:pPr>
      <w:r>
        <w:rPr>
          <w:rFonts w:hint="eastAsia" w:ascii="仿宋_GB2312" w:hAnsi="仿宋_GB2312" w:eastAsia="仿宋_GB2312" w:cs="仿宋_GB2312"/>
          <w:color w:val="000000"/>
          <w:szCs w:val="32"/>
          <w:shd w:val="clear" w:color="auto" w:fill="FFFFFF"/>
        </w:rPr>
        <w:t>（一）住院床位在50张以上的医疗保健机构</w:t>
      </w:r>
      <w:r>
        <w:rPr>
          <w:rFonts w:hint="eastAsia" w:hAnsi="仿宋_GB2312" w:cs="仿宋_GB2312"/>
          <w:color w:val="000000"/>
          <w:szCs w:val="32"/>
          <w:shd w:val="clear" w:color="auto" w:fill="FFFFFF"/>
          <w:lang w:eastAsia="zh-CN"/>
        </w:rPr>
        <w:t>；</w:t>
      </w:r>
    </w:p>
    <w:p w14:paraId="40B36A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Cs w:val="32"/>
          <w:shd w:val="clear" w:color="auto" w:fill="FFFFFF"/>
          <w:lang w:eastAsia="zh-CN"/>
        </w:rPr>
      </w:pPr>
      <w:r>
        <w:rPr>
          <w:rFonts w:hint="eastAsia" w:ascii="仿宋_GB2312" w:hAnsi="仿宋_GB2312" w:eastAsia="仿宋_GB2312" w:cs="仿宋_GB2312"/>
          <w:color w:val="000000"/>
          <w:szCs w:val="32"/>
          <w:shd w:val="clear" w:color="auto" w:fill="FFFFFF"/>
        </w:rPr>
        <w:t>（二）住宿床位在50张以上的养老院、福利院</w:t>
      </w:r>
      <w:r>
        <w:rPr>
          <w:rFonts w:hint="eastAsia" w:hAnsi="仿宋_GB2312" w:cs="仿宋_GB2312"/>
          <w:color w:val="000000"/>
          <w:szCs w:val="32"/>
          <w:shd w:val="clear" w:color="auto" w:fill="FFFFFF"/>
          <w:lang w:eastAsia="zh-CN"/>
        </w:rPr>
        <w:t>；</w:t>
      </w:r>
    </w:p>
    <w:p w14:paraId="278CEE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Cs w:val="32"/>
          <w:shd w:val="clear" w:color="auto" w:fill="FFFFFF"/>
          <w:lang w:eastAsia="zh-CN"/>
        </w:rPr>
      </w:pPr>
      <w:r>
        <w:rPr>
          <w:rFonts w:hint="eastAsia" w:ascii="仿宋_GB2312" w:hAnsi="仿宋_GB2312" w:eastAsia="仿宋_GB2312" w:cs="仿宋_GB2312"/>
          <w:color w:val="000000"/>
          <w:szCs w:val="32"/>
          <w:shd w:val="clear" w:color="auto" w:fill="FFFFFF"/>
        </w:rPr>
        <w:t>（三）学生住宿床位在100张以上的学校</w:t>
      </w:r>
      <w:r>
        <w:rPr>
          <w:rFonts w:hint="eastAsia" w:hAnsi="仿宋_GB2312" w:cs="仿宋_GB2312"/>
          <w:color w:val="000000"/>
          <w:szCs w:val="32"/>
          <w:shd w:val="clear" w:color="auto" w:fill="FFFFFF"/>
          <w:lang w:eastAsia="zh-CN"/>
        </w:rPr>
        <w:t>；</w:t>
      </w:r>
    </w:p>
    <w:p w14:paraId="0192DC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Cs w:val="32"/>
          <w:shd w:val="clear" w:color="auto" w:fill="FFFFFF"/>
          <w:lang w:eastAsia="zh-CN"/>
        </w:rPr>
      </w:pPr>
      <w:r>
        <w:rPr>
          <w:rFonts w:hint="eastAsia" w:ascii="仿宋_GB2312" w:hAnsi="仿宋_GB2312" w:eastAsia="仿宋_GB2312" w:cs="仿宋_GB2312"/>
          <w:color w:val="000000"/>
          <w:szCs w:val="32"/>
          <w:shd w:val="clear" w:color="auto" w:fill="FFFFFF"/>
        </w:rPr>
        <w:t>（四）幼儿住宿床位在50张以上的托儿所、幼儿园</w:t>
      </w:r>
      <w:r>
        <w:rPr>
          <w:rFonts w:hint="eastAsia" w:hAnsi="仿宋_GB2312" w:cs="仿宋_GB2312"/>
          <w:color w:val="000000"/>
          <w:szCs w:val="32"/>
          <w:shd w:val="clear" w:color="auto" w:fill="FFFFFF"/>
          <w:lang w:eastAsia="zh-CN"/>
        </w:rPr>
        <w:t>。</w:t>
      </w:r>
    </w:p>
    <w:p w14:paraId="3C974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Cs w:val="32"/>
          <w:shd w:val="clear" w:color="auto" w:fill="FFFFFF"/>
        </w:rPr>
      </w:pPr>
      <w:r>
        <w:rPr>
          <w:rFonts w:hint="eastAsia" w:ascii="黑体" w:hAnsi="黑体" w:eastAsia="黑体" w:cs="黑体"/>
          <w:color w:val="000000"/>
          <w:szCs w:val="32"/>
          <w:shd w:val="clear" w:color="auto" w:fill="FFFFFF"/>
        </w:rPr>
        <w:t>三、国家机关</w:t>
      </w:r>
    </w:p>
    <w:p w14:paraId="019F2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Cs w:val="32"/>
          <w:shd w:val="clear" w:color="auto" w:fill="FFFFFF"/>
          <w:lang w:eastAsia="zh-CN"/>
        </w:rPr>
      </w:pPr>
      <w:r>
        <w:rPr>
          <w:rFonts w:hint="eastAsia" w:ascii="仿宋_GB2312" w:hAnsi="仿宋_GB2312" w:eastAsia="仿宋_GB2312" w:cs="仿宋_GB2312"/>
          <w:color w:val="000000"/>
          <w:szCs w:val="32"/>
          <w:shd w:val="clear" w:color="auto" w:fill="FFFFFF"/>
        </w:rPr>
        <w:t>（一）县级以上的党委、人大、政府、政协</w:t>
      </w:r>
      <w:r>
        <w:rPr>
          <w:rFonts w:hint="eastAsia" w:hAnsi="仿宋_GB2312" w:cs="仿宋_GB2312"/>
          <w:color w:val="000000"/>
          <w:szCs w:val="32"/>
          <w:shd w:val="clear" w:color="auto" w:fill="FFFFFF"/>
          <w:lang w:eastAsia="zh-CN"/>
        </w:rPr>
        <w:t>；</w:t>
      </w:r>
    </w:p>
    <w:p w14:paraId="16708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color w:val="000000"/>
          <w:szCs w:val="32"/>
          <w:shd w:val="clear" w:color="auto" w:fill="FFFFFF"/>
          <w:lang w:eastAsia="zh-CN"/>
        </w:rPr>
      </w:pPr>
      <w:r>
        <w:rPr>
          <w:rFonts w:hint="eastAsia" w:ascii="仿宋_GB2312" w:hAnsi="仿宋_GB2312" w:eastAsia="仿宋_GB2312" w:cs="仿宋_GB2312"/>
          <w:color w:val="000000"/>
          <w:szCs w:val="32"/>
          <w:shd w:val="clear" w:color="auto" w:fill="FFFFFF"/>
        </w:rPr>
        <w:t>（二）县级以上的人民检察院、人民法院</w:t>
      </w:r>
      <w:r>
        <w:rPr>
          <w:rFonts w:hint="eastAsia" w:hAnsi="仿宋_GB2312" w:cs="仿宋_GB2312"/>
          <w:color w:val="000000"/>
          <w:szCs w:val="32"/>
          <w:shd w:val="clear" w:color="auto" w:fill="FFFFFF"/>
          <w:lang w:eastAsia="zh-CN"/>
        </w:rPr>
        <w:t>。</w:t>
      </w:r>
    </w:p>
    <w:p w14:paraId="6EC64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Cs w:val="32"/>
          <w:shd w:val="clear" w:color="auto" w:fill="FFFFFF"/>
        </w:rPr>
      </w:pPr>
      <w:r>
        <w:rPr>
          <w:rFonts w:hint="eastAsia" w:ascii="黑体" w:hAnsi="黑体" w:eastAsia="黑体" w:cs="黑体"/>
          <w:color w:val="000000"/>
          <w:szCs w:val="32"/>
          <w:shd w:val="clear" w:color="auto" w:fill="FFFFFF"/>
        </w:rPr>
        <w:t>四、广播、电视和邮政、通信枢纽</w:t>
      </w:r>
    </w:p>
    <w:p w14:paraId="16892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Cs w:val="32"/>
          <w:shd w:val="clear" w:color="auto" w:fill="FFFFFF"/>
          <w:lang w:eastAsia="zh-CN"/>
        </w:rPr>
      </w:pPr>
      <w:r>
        <w:rPr>
          <w:rFonts w:hint="eastAsia" w:ascii="仿宋_GB2312" w:hAnsi="仿宋_GB2312" w:eastAsia="仿宋_GB2312" w:cs="仿宋_GB2312"/>
          <w:b w:val="0"/>
          <w:bCs w:val="0"/>
          <w:color w:val="000000"/>
          <w:szCs w:val="32"/>
          <w:shd w:val="clear" w:color="auto" w:fill="FFFFFF"/>
        </w:rPr>
        <w:t>（一）县级以上广播电台、电视台</w:t>
      </w:r>
      <w:r>
        <w:rPr>
          <w:rFonts w:hint="eastAsia" w:hAnsi="仿宋_GB2312" w:cs="仿宋_GB2312"/>
          <w:b w:val="0"/>
          <w:bCs w:val="0"/>
          <w:color w:val="000000"/>
          <w:szCs w:val="32"/>
          <w:shd w:val="clear" w:color="auto" w:fill="FFFFFF"/>
          <w:lang w:eastAsia="zh-CN"/>
        </w:rPr>
        <w:t>；</w:t>
      </w:r>
    </w:p>
    <w:p w14:paraId="44104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Cs w:val="32"/>
          <w:shd w:val="clear" w:color="auto" w:fill="FFFFFF"/>
          <w:lang w:eastAsia="zh-CN"/>
        </w:rPr>
      </w:pPr>
      <w:r>
        <w:rPr>
          <w:rFonts w:hint="eastAsia" w:ascii="仿宋_GB2312" w:hAnsi="仿宋_GB2312" w:eastAsia="仿宋_GB2312" w:cs="仿宋_GB2312"/>
          <w:b w:val="0"/>
          <w:bCs w:val="0"/>
          <w:color w:val="000000"/>
          <w:szCs w:val="32"/>
          <w:shd w:val="clear" w:color="auto" w:fill="FFFFFF"/>
        </w:rPr>
        <w:t>（二）县级以上邮政、通信枢纽单位</w:t>
      </w:r>
      <w:r>
        <w:rPr>
          <w:rFonts w:hint="eastAsia" w:hAnsi="仿宋_GB2312" w:cs="仿宋_GB2312"/>
          <w:b w:val="0"/>
          <w:bCs w:val="0"/>
          <w:color w:val="000000"/>
          <w:szCs w:val="32"/>
          <w:shd w:val="clear" w:color="auto" w:fill="FFFFFF"/>
          <w:lang w:eastAsia="zh-CN"/>
        </w:rPr>
        <w:t>；</w:t>
      </w:r>
    </w:p>
    <w:p w14:paraId="2D37B2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Cs w:val="32"/>
          <w:shd w:val="clear" w:color="auto" w:fill="FFFFFF"/>
          <w:lang w:eastAsia="zh-CN"/>
        </w:rPr>
      </w:pPr>
      <w:r>
        <w:rPr>
          <w:rFonts w:hint="eastAsia" w:ascii="仿宋_GB2312" w:hAnsi="仿宋_GB2312" w:eastAsia="仿宋_GB2312" w:cs="仿宋_GB2312"/>
          <w:b w:val="0"/>
          <w:bCs w:val="0"/>
          <w:szCs w:val="32"/>
          <w:shd w:val="clear" w:color="auto" w:fill="FFFFFF"/>
        </w:rPr>
        <w:t>（三）县级以上数据中心</w:t>
      </w:r>
      <w:r>
        <w:rPr>
          <w:rFonts w:hint="eastAsia" w:hAnsi="仿宋_GB2312" w:cs="仿宋_GB2312"/>
          <w:b w:val="0"/>
          <w:bCs w:val="0"/>
          <w:szCs w:val="32"/>
          <w:shd w:val="clear" w:color="auto" w:fill="FFFFFF"/>
          <w:lang w:eastAsia="zh-CN"/>
        </w:rPr>
        <w:t>。</w:t>
      </w:r>
    </w:p>
    <w:p w14:paraId="36E260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Cs w:val="32"/>
          <w:shd w:val="clear" w:color="auto" w:fill="FFFFFF"/>
        </w:rPr>
      </w:pPr>
      <w:r>
        <w:rPr>
          <w:rFonts w:hint="eastAsia" w:ascii="黑体" w:hAnsi="黑体" w:eastAsia="黑体" w:cs="黑体"/>
          <w:szCs w:val="32"/>
          <w:shd w:val="clear" w:color="auto" w:fill="FFFFFF"/>
        </w:rPr>
        <w:t>五、客运车站、码头、民用机场</w:t>
      </w:r>
    </w:p>
    <w:p w14:paraId="024513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（一）建筑面积在500平方米以的客运车站侯车厅、客运码头候船厅</w:t>
      </w:r>
      <w:r>
        <w:rPr>
          <w:rFonts w:hint="eastAsia" w:hAnsi="仿宋_GB2312" w:cs="仿宋_GB2312"/>
          <w:szCs w:val="32"/>
          <w:shd w:val="clear" w:color="auto" w:fill="FFFFFF"/>
          <w:lang w:eastAsia="zh-CN"/>
        </w:rPr>
        <w:t>；</w:t>
      </w:r>
    </w:p>
    <w:p w14:paraId="2C1D9A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（二）民用机场航站楼</w:t>
      </w:r>
      <w:r>
        <w:rPr>
          <w:rFonts w:hint="eastAsia" w:hAnsi="仿宋_GB2312" w:cs="仿宋_GB2312"/>
          <w:szCs w:val="32"/>
          <w:shd w:val="clear" w:color="auto" w:fill="FFFFFF"/>
          <w:lang w:eastAsia="zh-CN"/>
        </w:rPr>
        <w:t>。</w:t>
      </w:r>
    </w:p>
    <w:p w14:paraId="257D7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Cs w:val="32"/>
          <w:shd w:val="clear" w:color="auto" w:fill="FFFFFF"/>
        </w:rPr>
      </w:pPr>
      <w:r>
        <w:rPr>
          <w:rFonts w:hint="eastAsia" w:ascii="黑体" w:hAnsi="黑体" w:eastAsia="黑体" w:cs="黑体"/>
          <w:szCs w:val="32"/>
          <w:shd w:val="clear" w:color="auto" w:fill="FFFFFF"/>
        </w:rPr>
        <w:t>六、公共图书馆、展览馆、博物馆、档案馆以及具有火灾危险性的文物保护单位</w:t>
      </w:r>
      <w:r>
        <w:rPr>
          <w:rFonts w:hint="eastAsia" w:ascii="黑体" w:hAnsi="黑体" w:eastAsia="黑体" w:cs="黑体"/>
          <w:b/>
          <w:bCs/>
          <w:szCs w:val="32"/>
          <w:shd w:val="clear" w:color="auto" w:fill="FFFFFF"/>
        </w:rPr>
        <w:t>、</w:t>
      </w:r>
      <w:r>
        <w:rPr>
          <w:rFonts w:hint="eastAsia" w:ascii="黑体" w:hAnsi="黑体" w:eastAsia="黑体" w:cs="黑体"/>
          <w:b w:val="0"/>
          <w:bCs w:val="0"/>
          <w:szCs w:val="32"/>
          <w:shd w:val="clear" w:color="auto" w:fill="FFFFFF"/>
        </w:rPr>
        <w:t>旅游景区</w:t>
      </w:r>
    </w:p>
    <w:p w14:paraId="44CB4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Cs w:val="32"/>
          <w:shd w:val="clear" w:color="auto" w:fill="FFFFFF"/>
          <w:lang w:eastAsia="zh-CN"/>
        </w:rPr>
      </w:pPr>
      <w:r>
        <w:rPr>
          <w:rFonts w:hint="eastAsia" w:ascii="仿宋_GB2312" w:hAnsi="仿宋_GB2312" w:eastAsia="仿宋_GB2312" w:cs="仿宋_GB2312"/>
          <w:b w:val="0"/>
          <w:bCs w:val="0"/>
          <w:szCs w:val="32"/>
          <w:shd w:val="clear" w:color="auto" w:fill="FFFFFF"/>
        </w:rPr>
        <w:t>（一）建筑面积在2000平方米以上的公共图书馆、展览馆</w:t>
      </w:r>
      <w:r>
        <w:rPr>
          <w:rFonts w:hint="eastAsia" w:hAnsi="仿宋_GB2312" w:cs="仿宋_GB2312"/>
          <w:b w:val="0"/>
          <w:bCs w:val="0"/>
          <w:szCs w:val="32"/>
          <w:shd w:val="clear" w:color="auto" w:fill="FFFFFF"/>
          <w:lang w:eastAsia="zh-CN"/>
        </w:rPr>
        <w:t>；</w:t>
      </w:r>
    </w:p>
    <w:p w14:paraId="0C7B21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Cs w:val="32"/>
          <w:shd w:val="clear" w:color="auto" w:fill="FFFFFF"/>
          <w:lang w:eastAsia="zh-CN"/>
        </w:rPr>
      </w:pPr>
      <w:r>
        <w:rPr>
          <w:rFonts w:hint="eastAsia" w:ascii="仿宋_GB2312" w:hAnsi="仿宋_GB2312" w:eastAsia="仿宋_GB2312" w:cs="仿宋_GB2312"/>
          <w:b w:val="0"/>
          <w:bCs w:val="0"/>
          <w:szCs w:val="32"/>
          <w:shd w:val="clear" w:color="auto" w:fill="FFFFFF"/>
        </w:rPr>
        <w:t>（二）公共博物馆、档案馆</w:t>
      </w:r>
      <w:r>
        <w:rPr>
          <w:rFonts w:hint="eastAsia" w:hAnsi="仿宋_GB2312" w:cs="仿宋_GB2312"/>
          <w:b w:val="0"/>
          <w:bCs w:val="0"/>
          <w:szCs w:val="32"/>
          <w:shd w:val="clear" w:color="auto" w:fill="FFFFFF"/>
          <w:lang w:eastAsia="zh-CN"/>
        </w:rPr>
        <w:t>；</w:t>
      </w:r>
    </w:p>
    <w:p w14:paraId="53BA8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Cs w:val="32"/>
          <w:shd w:val="clear" w:color="auto" w:fill="FFFFFF"/>
          <w:lang w:eastAsia="zh-CN"/>
        </w:rPr>
      </w:pPr>
      <w:r>
        <w:rPr>
          <w:rFonts w:hint="eastAsia" w:ascii="仿宋_GB2312" w:hAnsi="仿宋_GB2312" w:eastAsia="仿宋_GB2312" w:cs="仿宋_GB2312"/>
          <w:b w:val="0"/>
          <w:bCs w:val="0"/>
          <w:szCs w:val="32"/>
          <w:shd w:val="clear" w:color="auto" w:fill="FFFFFF"/>
        </w:rPr>
        <w:t>（三）具有火灾危险性的县级以上文物保护单位</w:t>
      </w:r>
      <w:r>
        <w:rPr>
          <w:rFonts w:hint="eastAsia" w:hAnsi="仿宋_GB2312" w:cs="仿宋_GB2312"/>
          <w:b w:val="0"/>
          <w:bCs w:val="0"/>
          <w:szCs w:val="32"/>
          <w:shd w:val="clear" w:color="auto" w:fill="FFFFFF"/>
          <w:lang w:eastAsia="zh-CN"/>
        </w:rPr>
        <w:t>；</w:t>
      </w:r>
    </w:p>
    <w:p w14:paraId="19F277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Cs w:val="32"/>
          <w:shd w:val="clear" w:color="auto" w:fill="FFFFFF"/>
          <w:lang w:eastAsia="zh-CN"/>
        </w:rPr>
      </w:pPr>
      <w:r>
        <w:rPr>
          <w:rFonts w:hint="eastAsia" w:ascii="仿宋_GB2312" w:hAnsi="仿宋_GB2312" w:eastAsia="仿宋_GB2312" w:cs="仿宋_GB2312"/>
          <w:b w:val="0"/>
          <w:bCs w:val="0"/>
          <w:szCs w:val="32"/>
          <w:shd w:val="clear" w:color="auto" w:fill="FFFFFF"/>
        </w:rPr>
        <w:t>（四）4A级以上具有建筑火灾危险性的旅游景区</w:t>
      </w:r>
      <w:r>
        <w:rPr>
          <w:rFonts w:hint="eastAsia" w:hAnsi="仿宋_GB2312" w:cs="仿宋_GB2312"/>
          <w:b w:val="0"/>
          <w:bCs w:val="0"/>
          <w:szCs w:val="32"/>
          <w:shd w:val="clear" w:color="auto" w:fill="FFFFFF"/>
          <w:lang w:eastAsia="zh-CN"/>
        </w:rPr>
        <w:t>。</w:t>
      </w:r>
    </w:p>
    <w:p w14:paraId="7BC5C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Cs w:val="32"/>
          <w:shd w:val="clear" w:color="auto" w:fill="FFFFFF"/>
        </w:rPr>
      </w:pPr>
      <w:r>
        <w:rPr>
          <w:rFonts w:hint="eastAsia" w:ascii="黑体" w:hAnsi="黑体" w:eastAsia="黑体" w:cs="黑体"/>
          <w:szCs w:val="32"/>
          <w:shd w:val="clear" w:color="auto" w:fill="FFFFFF"/>
        </w:rPr>
        <w:t>七、发电厂（站）和电网经营企业</w:t>
      </w:r>
    </w:p>
    <w:p w14:paraId="2DE817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Cs w:val="32"/>
          <w:shd w:val="clear" w:color="auto" w:fill="FFFFFF"/>
        </w:rPr>
      </w:pPr>
      <w:r>
        <w:rPr>
          <w:rFonts w:hint="eastAsia" w:ascii="黑体" w:hAnsi="黑体" w:eastAsia="黑体" w:cs="黑体"/>
          <w:szCs w:val="32"/>
          <w:shd w:val="clear" w:color="auto" w:fill="FFFFFF"/>
        </w:rPr>
        <w:t>八、易燃易爆化学物品的生产、充装、储存、供应、销售单位</w:t>
      </w:r>
    </w:p>
    <w:p w14:paraId="69FD3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（一）生产易燃易爆化学物品的工厂</w:t>
      </w:r>
      <w:r>
        <w:rPr>
          <w:rFonts w:hint="eastAsia" w:hAnsi="仿宋_GB2312" w:cs="仿宋_GB2312"/>
          <w:szCs w:val="32"/>
          <w:shd w:val="clear" w:color="auto" w:fill="FFFFFF"/>
          <w:lang w:eastAsia="zh-CN"/>
        </w:rPr>
        <w:t>；</w:t>
      </w:r>
    </w:p>
    <w:p w14:paraId="058F77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（二）易燃易爆气体和液体的灌装站、调压站</w:t>
      </w:r>
      <w:r>
        <w:rPr>
          <w:rFonts w:hint="eastAsia" w:hAnsi="仿宋_GB2312" w:cs="仿宋_GB2312"/>
          <w:szCs w:val="32"/>
          <w:shd w:val="clear" w:color="auto" w:fill="FFFFFF"/>
          <w:lang w:eastAsia="zh-CN"/>
        </w:rPr>
        <w:t>；</w:t>
      </w:r>
    </w:p>
    <w:p w14:paraId="5927D0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（三）储存易燃易爆化学物品的专用仓库（堆场、储罐场所）</w:t>
      </w:r>
      <w:r>
        <w:rPr>
          <w:rFonts w:hint="eastAsia" w:hAnsi="仿宋_GB2312" w:cs="仿宋_GB2312"/>
          <w:szCs w:val="32"/>
          <w:shd w:val="clear" w:color="auto" w:fill="FFFFFF"/>
          <w:lang w:eastAsia="zh-CN"/>
        </w:rPr>
        <w:t>；</w:t>
      </w:r>
    </w:p>
    <w:p w14:paraId="313E2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（四）营业性加油站、加气站，液化石油气供应站（换瓶站）</w:t>
      </w:r>
      <w:r>
        <w:rPr>
          <w:rFonts w:hint="eastAsia" w:hAnsi="仿宋_GB2312" w:cs="仿宋_GB2312"/>
          <w:szCs w:val="32"/>
          <w:shd w:val="clear" w:color="auto" w:fill="FFFFFF"/>
          <w:lang w:eastAsia="zh-CN"/>
        </w:rPr>
        <w:t>；</w:t>
      </w:r>
    </w:p>
    <w:p w14:paraId="596AE6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（五）经营易燃易爆化学物品的化工商店</w:t>
      </w:r>
    </w:p>
    <w:p w14:paraId="314988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1.经营甲、乙类易燃易爆化学物品，站内总存量300公斤或5立方米以上的商店；</w:t>
      </w:r>
    </w:p>
    <w:p w14:paraId="06F92C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2.经营甲、乙类易燃易爆化学物品营业面积在300平方米以上的商店。</w:t>
      </w:r>
    </w:p>
    <w:p w14:paraId="28865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Cs w:val="32"/>
          <w:shd w:val="clear" w:color="auto" w:fill="FFFFFF"/>
        </w:rPr>
      </w:pPr>
      <w:r>
        <w:rPr>
          <w:rFonts w:hint="eastAsia" w:ascii="黑体" w:hAnsi="黑体" w:eastAsia="黑体" w:cs="黑体"/>
          <w:szCs w:val="32"/>
          <w:shd w:val="clear" w:color="auto" w:fill="FFFFFF"/>
        </w:rPr>
        <w:t>九、劳动密集型生产、加工企业</w:t>
      </w:r>
    </w:p>
    <w:p w14:paraId="7F92B5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（一）单个生产车间员工在100人以上的服装、鞋帽、玩具、食品等劳动密集型企业</w:t>
      </w:r>
      <w:r>
        <w:rPr>
          <w:rFonts w:hint="eastAsia" w:hAnsi="仿宋_GB2312" w:cs="仿宋_GB2312"/>
          <w:szCs w:val="32"/>
          <w:shd w:val="clear" w:color="auto" w:fill="FFFFFF"/>
          <w:lang w:eastAsia="zh-CN"/>
        </w:rPr>
        <w:t>；</w:t>
      </w:r>
    </w:p>
    <w:p w14:paraId="4C569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Cs w:val="32"/>
          <w:shd w:val="clear" w:color="auto" w:fill="FFFFFF"/>
          <w:lang w:eastAsia="zh-CN"/>
        </w:rPr>
      </w:pPr>
      <w:r>
        <w:rPr>
          <w:rFonts w:hint="eastAsia" w:ascii="仿宋_GB2312" w:hAnsi="仿宋_GB2312" w:eastAsia="仿宋_GB2312" w:cs="仿宋_GB2312"/>
          <w:b w:val="0"/>
          <w:bCs w:val="0"/>
          <w:szCs w:val="32"/>
          <w:shd w:val="clear" w:color="auto" w:fill="FFFFFF"/>
        </w:rPr>
        <w:t>（二）同一建筑内存在多个服装、鞋帽、玩具、木制品、家具、塑料、食品加工、纺织、印染、印刷产品等企业且生产车间员工总人数在100人以上的建筑产权或管理单位</w:t>
      </w:r>
      <w:r>
        <w:rPr>
          <w:rFonts w:hint="eastAsia" w:hAnsi="仿宋_GB2312" w:cs="仿宋_GB2312"/>
          <w:b w:val="0"/>
          <w:bCs w:val="0"/>
          <w:szCs w:val="32"/>
          <w:shd w:val="clear" w:color="auto" w:fill="FFFFFF"/>
          <w:lang w:eastAsia="zh-CN"/>
        </w:rPr>
        <w:t>。</w:t>
      </w:r>
    </w:p>
    <w:p w14:paraId="318DD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Cs w:val="32"/>
          <w:shd w:val="clear" w:color="auto" w:fill="FFFFFF"/>
        </w:rPr>
      </w:pPr>
      <w:r>
        <w:rPr>
          <w:rFonts w:hint="eastAsia" w:ascii="黑体" w:hAnsi="黑体" w:eastAsia="黑体" w:cs="黑体"/>
          <w:szCs w:val="32"/>
          <w:shd w:val="clear" w:color="auto" w:fill="FFFFFF"/>
        </w:rPr>
        <w:t>十、国家和省级科研单位</w:t>
      </w:r>
    </w:p>
    <w:p w14:paraId="413E97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Cs w:val="32"/>
          <w:shd w:val="clear" w:color="auto" w:fill="FFFFFF"/>
        </w:rPr>
      </w:pPr>
      <w:r>
        <w:rPr>
          <w:rFonts w:hint="eastAsia" w:ascii="黑体" w:hAnsi="黑体" w:eastAsia="黑体" w:cs="黑体"/>
          <w:szCs w:val="32"/>
          <w:shd w:val="clear" w:color="auto" w:fill="FFFFFF"/>
        </w:rPr>
        <w:t>十一、高层公共建筑、地下铁道、地下观光隧道，粮、棉、木材、百货等物资仓库和堆场，重点工程的施工现场</w:t>
      </w:r>
    </w:p>
    <w:p w14:paraId="651F98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（一）高层公共建筑建筑高度在50米以上的办公楼（写字楼）、公寓楼等</w:t>
      </w:r>
      <w:r>
        <w:rPr>
          <w:rFonts w:hint="eastAsia" w:hAnsi="仿宋_GB2312" w:cs="仿宋_GB2312"/>
          <w:szCs w:val="32"/>
          <w:shd w:val="clear" w:color="auto" w:fill="FFFFFF"/>
          <w:lang w:eastAsia="zh-CN"/>
        </w:rPr>
        <w:t>；</w:t>
      </w:r>
    </w:p>
    <w:p w14:paraId="739798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（二）城市地下铁道、地下观光隧道等地下公共建筑和城市重要的交通隧道</w:t>
      </w:r>
      <w:r>
        <w:rPr>
          <w:rFonts w:hint="eastAsia" w:hAnsi="仿宋_GB2312" w:cs="仿宋_GB2312"/>
          <w:szCs w:val="32"/>
          <w:shd w:val="clear" w:color="auto" w:fill="FFFFFF"/>
          <w:lang w:eastAsia="zh-CN"/>
        </w:rPr>
        <w:t>；</w:t>
      </w:r>
    </w:p>
    <w:p w14:paraId="33116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shd w:val="clear" w:color="auto" w:fill="FFFFFF"/>
          <w:lang w:eastAsia="zh-CN"/>
        </w:rPr>
      </w:pPr>
      <w:r>
        <w:rPr>
          <w:rFonts w:hint="eastAsia" w:ascii="仿宋_GB2312" w:hAnsi="仿宋_GB2312" w:eastAsia="仿宋_GB2312" w:cs="仿宋_GB2312"/>
          <w:szCs w:val="32"/>
          <w:shd w:val="clear" w:color="auto" w:fill="FFFFFF"/>
        </w:rPr>
        <w:t>（三）国家储备粮库、总储量在10000吨以上的其他粮库</w:t>
      </w:r>
      <w:r>
        <w:rPr>
          <w:rFonts w:hint="eastAsia" w:hAnsi="仿宋_GB2312" w:cs="仿宋_GB2312"/>
          <w:szCs w:val="32"/>
          <w:shd w:val="clear" w:color="auto" w:fill="FFFFFF"/>
          <w:lang w:eastAsia="zh-CN"/>
        </w:rPr>
        <w:t>；</w:t>
      </w:r>
    </w:p>
    <w:p w14:paraId="4B4C99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szCs w:val="32"/>
          <w:shd w:val="clear" w:color="auto" w:fill="FFFFFF"/>
        </w:rPr>
        <w:t>（四）总储量在500吨以上的棉库</w:t>
      </w:r>
      <w:r>
        <w:rPr>
          <w:rFonts w:hint="eastAsia" w:hAnsi="仿宋_GB2312" w:cs="仿宋_GB2312"/>
          <w:szCs w:val="32"/>
          <w:shd w:val="clear" w:color="auto" w:fill="FFFFFF"/>
          <w:lang w:eastAsia="zh-CN"/>
        </w:rPr>
        <w:t>；</w:t>
      </w:r>
      <w:r>
        <w:rPr>
          <w:rFonts w:hint="eastAsia" w:ascii="仿宋_GB2312" w:hAnsi="仿宋_GB2312" w:eastAsia="仿宋_GB2312" w:cs="仿宋_GB2312"/>
          <w:szCs w:val="32"/>
          <w:shd w:val="clear" w:color="auto" w:fill="FFFFFF"/>
        </w:rPr>
        <w:br w:type="textWrapping"/>
      </w:r>
      <w:r>
        <w:rPr>
          <w:rFonts w:hint="eastAsia" w:eastAsia="方正仿宋_GBK"/>
          <w:szCs w:val="32"/>
          <w:shd w:val="clear" w:color="auto" w:fill="FFFFFF"/>
        </w:rPr>
        <w:t xml:space="preserve">    </w:t>
      </w:r>
      <w:r>
        <w:rPr>
          <w:rFonts w:hint="eastAsia" w:ascii="仿宋_GB2312" w:hAnsi="仿宋_GB2312" w:eastAsia="仿宋_GB2312" w:cs="仿宋_GB2312"/>
          <w:sz w:val="32"/>
          <w:szCs w:val="32"/>
          <w:shd w:val="clear" w:color="auto" w:fill="FFFFFF"/>
        </w:rPr>
        <w:t>（五）总储量在10000立方米以上的木材堆场</w:t>
      </w:r>
      <w:r>
        <w:rPr>
          <w:rFonts w:hint="eastAsia" w:hAnsi="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xml:space="preserve">    （六）总储存价值在5000万元以上的可燃物品仓库、堆场</w:t>
      </w:r>
      <w:r>
        <w:rPr>
          <w:rFonts w:hint="eastAsia" w:hAnsi="仿宋_GB2312" w:cs="仿宋_GB2312"/>
          <w:sz w:val="32"/>
          <w:szCs w:val="32"/>
          <w:shd w:val="clear" w:color="auto" w:fill="FFFFFF"/>
          <w:lang w:eastAsia="zh-CN"/>
        </w:rPr>
        <w:t>；</w:t>
      </w:r>
    </w:p>
    <w:p w14:paraId="71E858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（七）国家和省级等重点建筑工程的施工现场。</w:t>
      </w:r>
    </w:p>
    <w:p w14:paraId="09BDC1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Cs w:val="32"/>
          <w:shd w:val="clear" w:color="auto" w:fill="FFFFFF"/>
        </w:rPr>
      </w:pPr>
      <w:r>
        <w:rPr>
          <w:rFonts w:hint="eastAsia" w:ascii="黑体" w:hAnsi="黑体" w:eastAsia="黑体" w:cs="黑体"/>
          <w:b w:val="0"/>
          <w:bCs w:val="0"/>
          <w:szCs w:val="32"/>
          <w:shd w:val="clear" w:color="auto" w:fill="FFFFFF"/>
        </w:rPr>
        <w:t>十二、锂电池生产、储存单位及电化学储能单位</w:t>
      </w:r>
    </w:p>
    <w:p w14:paraId="5965E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Cs w:val="32"/>
          <w:shd w:val="clear" w:color="auto" w:fill="FFFFFF"/>
          <w:lang w:eastAsia="zh-CN"/>
        </w:rPr>
      </w:pPr>
      <w:r>
        <w:rPr>
          <w:rFonts w:hint="eastAsia" w:ascii="仿宋_GB2312" w:hAnsi="仿宋_GB2312" w:eastAsia="仿宋_GB2312" w:cs="仿宋_GB2312"/>
          <w:b w:val="0"/>
          <w:bCs w:val="0"/>
          <w:szCs w:val="32"/>
          <w:shd w:val="clear" w:color="auto" w:fill="FFFFFF"/>
        </w:rPr>
        <w:t>（一）产能在200MWH及以上的锂电池生产单位</w:t>
      </w:r>
      <w:r>
        <w:rPr>
          <w:rFonts w:hint="eastAsia" w:hAnsi="仿宋_GB2312" w:cs="仿宋_GB2312"/>
          <w:b w:val="0"/>
          <w:bCs w:val="0"/>
          <w:szCs w:val="32"/>
          <w:shd w:val="clear" w:color="auto" w:fill="FFFFFF"/>
          <w:lang w:eastAsia="zh-CN"/>
        </w:rPr>
        <w:t>；</w:t>
      </w:r>
    </w:p>
    <w:p w14:paraId="6F060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Cs w:val="32"/>
          <w:shd w:val="clear" w:color="auto" w:fill="FFFFFF"/>
          <w:lang w:eastAsia="zh-CN"/>
        </w:rPr>
      </w:pPr>
      <w:r>
        <w:rPr>
          <w:rFonts w:hint="eastAsia" w:ascii="仿宋_GB2312" w:hAnsi="仿宋_GB2312" w:eastAsia="仿宋_GB2312" w:cs="仿宋_GB2312"/>
          <w:b w:val="0"/>
          <w:bCs w:val="0"/>
          <w:szCs w:val="32"/>
          <w:shd w:val="clear" w:color="auto" w:fill="FFFFFF"/>
        </w:rPr>
        <w:t>（二）总储量在30MWH及以上的锂电池储存单位</w:t>
      </w:r>
      <w:r>
        <w:rPr>
          <w:rFonts w:hint="eastAsia" w:hAnsi="仿宋_GB2312" w:cs="仿宋_GB2312"/>
          <w:b w:val="0"/>
          <w:bCs w:val="0"/>
          <w:szCs w:val="32"/>
          <w:shd w:val="clear" w:color="auto" w:fill="FFFFFF"/>
          <w:lang w:eastAsia="zh-CN"/>
        </w:rPr>
        <w:t>；</w:t>
      </w:r>
    </w:p>
    <w:p w14:paraId="74C3D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Cs w:val="32"/>
          <w:shd w:val="clear" w:color="auto" w:fill="FFFFFF"/>
          <w:lang w:eastAsia="zh-CN"/>
        </w:rPr>
      </w:pPr>
      <w:r>
        <w:rPr>
          <w:rFonts w:hint="eastAsia" w:ascii="仿宋_GB2312" w:hAnsi="仿宋_GB2312" w:eastAsia="仿宋_GB2312" w:cs="仿宋_GB2312"/>
          <w:b w:val="0"/>
          <w:bCs w:val="0"/>
          <w:szCs w:val="32"/>
          <w:shd w:val="clear" w:color="auto" w:fill="FFFFFF"/>
        </w:rPr>
        <w:t>（三）功率为30MW且容量为30MW·h及以上的电化学储能电站</w:t>
      </w:r>
      <w:r>
        <w:rPr>
          <w:rFonts w:hint="eastAsia" w:hAnsi="仿宋_GB2312" w:cs="仿宋_GB2312"/>
          <w:b w:val="0"/>
          <w:bCs w:val="0"/>
          <w:szCs w:val="32"/>
          <w:shd w:val="clear" w:color="auto" w:fill="FFFFFF"/>
          <w:lang w:eastAsia="zh-CN"/>
        </w:rPr>
        <w:t>。</w:t>
      </w:r>
    </w:p>
    <w:p w14:paraId="7D03BE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Cs w:val="32"/>
          <w:shd w:val="clear" w:color="auto" w:fill="FFFFFF"/>
        </w:rPr>
      </w:pPr>
      <w:r>
        <w:rPr>
          <w:rFonts w:hint="eastAsia" w:ascii="黑体" w:hAnsi="黑体" w:eastAsia="黑体" w:cs="黑体"/>
          <w:b w:val="0"/>
          <w:bCs w:val="0"/>
          <w:szCs w:val="32"/>
          <w:shd w:val="clear" w:color="auto" w:fill="FFFFFF"/>
        </w:rPr>
        <w:t>十三、其他业态生产经营场所</w:t>
      </w:r>
    </w:p>
    <w:p w14:paraId="4B0548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Cs w:val="32"/>
          <w:shd w:val="clear" w:color="auto" w:fill="FFFFFF"/>
        </w:rPr>
      </w:pPr>
      <w:r>
        <w:rPr>
          <w:rFonts w:hint="eastAsia" w:ascii="仿宋_GB2312" w:hAnsi="仿宋_GB2312" w:eastAsia="仿宋_GB2312" w:cs="仿宋_GB2312"/>
          <w:b w:val="0"/>
          <w:bCs w:val="0"/>
          <w:szCs w:val="32"/>
          <w:shd w:val="clear" w:color="auto" w:fill="FFFFFF"/>
        </w:rPr>
        <w:t>（一）建筑面积在500平方米以上的剧本杀、密室逃脱等剧本娱乐经营场所；</w:t>
      </w:r>
    </w:p>
    <w:p w14:paraId="32C9C8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Cs w:val="32"/>
          <w:shd w:val="clear" w:color="auto" w:fill="FFFFFF"/>
        </w:rPr>
      </w:pPr>
      <w:r>
        <w:rPr>
          <w:rFonts w:hint="eastAsia" w:ascii="仿宋_GB2312" w:hAnsi="仿宋_GB2312" w:eastAsia="仿宋_GB2312" w:cs="仿宋_GB2312"/>
          <w:b w:val="0"/>
          <w:bCs w:val="0"/>
          <w:szCs w:val="32"/>
          <w:shd w:val="clear" w:color="auto" w:fill="FFFFFF"/>
        </w:rPr>
        <w:t>（二）建筑面积在1000平方米以上的室内冰雪活动场所；</w:t>
      </w:r>
      <w:bookmarkStart w:id="0" w:name="_GoBack"/>
      <w:bookmarkEnd w:id="0"/>
    </w:p>
    <w:p w14:paraId="58547D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Cs w:val="32"/>
          <w:shd w:val="clear" w:color="auto" w:fill="FFFFFF"/>
        </w:rPr>
      </w:pPr>
      <w:r>
        <w:rPr>
          <w:rFonts w:hint="eastAsia" w:ascii="仿宋_GB2312" w:hAnsi="仿宋_GB2312" w:eastAsia="仿宋_GB2312" w:cs="仿宋_GB2312"/>
          <w:b w:val="0"/>
          <w:bCs w:val="0"/>
          <w:szCs w:val="32"/>
          <w:shd w:val="clear" w:color="auto" w:fill="FFFFFF"/>
        </w:rPr>
        <w:t>（三）住宿床位在50张以上的月子中心等孕婴服务场所；</w:t>
      </w:r>
    </w:p>
    <w:p w14:paraId="25EDB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Cs w:val="32"/>
          <w:shd w:val="clear" w:color="auto" w:fill="FFFFFF"/>
        </w:rPr>
      </w:pPr>
      <w:r>
        <w:rPr>
          <w:rFonts w:hint="eastAsia" w:ascii="仿宋_GB2312" w:hAnsi="仿宋_GB2312" w:eastAsia="仿宋_GB2312" w:cs="仿宋_GB2312"/>
          <w:b w:val="0"/>
          <w:bCs w:val="0"/>
          <w:szCs w:val="32"/>
          <w:shd w:val="clear" w:color="auto" w:fill="FFFFFF"/>
        </w:rPr>
        <w:t>（四）存储型物流建筑单体面积在5000平方米以上，作业型物流建筑、综合型物流建筑单体面积在10000平方米以上的企业。</w:t>
      </w:r>
    </w:p>
    <w:p w14:paraId="043048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Cs w:val="32"/>
          <w:shd w:val="clear" w:color="auto" w:fill="FFFFFF"/>
        </w:rPr>
      </w:pPr>
      <w:r>
        <w:rPr>
          <w:rFonts w:hint="eastAsia" w:ascii="黑体" w:hAnsi="黑体" w:eastAsia="黑体" w:cs="黑体"/>
          <w:szCs w:val="32"/>
          <w:shd w:val="clear" w:color="auto" w:fill="FFFFFF"/>
        </w:rPr>
        <w:t>十四、其他发生火灾可能性较大以及一旦发生火灾可能造成人身重大伤亡或者财产重大损失的单位</w:t>
      </w:r>
    </w:p>
    <w:p w14:paraId="15CB3DD0">
      <w:pPr>
        <w:rPr>
          <w:rFonts w:hint="eastAsia" w:ascii="黑体" w:hAnsi="黑体" w:eastAsia="黑体" w:cs="黑体"/>
          <w:szCs w:val="32"/>
          <w:shd w:val="clear" w:color="auto" w:fill="FFFFFF"/>
        </w:rPr>
      </w:pPr>
      <w:r>
        <w:rPr>
          <w:rFonts w:hint="eastAsia" w:ascii="黑体" w:hAnsi="黑体" w:eastAsia="黑体" w:cs="黑体"/>
          <w:szCs w:val="32"/>
          <w:shd w:val="clear" w:color="auto" w:fill="FFFFFF"/>
        </w:rPr>
        <w:br w:type="page"/>
      </w:r>
    </w:p>
    <w:p w14:paraId="36CA0F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Cs w:val="32"/>
          <w:shd w:val="clear" w:color="auto" w:fill="FFFFFF"/>
        </w:rPr>
      </w:pPr>
      <w:r>
        <w:rPr>
          <w:rFonts w:hint="eastAsia" w:ascii="黑体" w:hAnsi="黑体" w:eastAsia="黑体" w:cs="黑体"/>
          <w:szCs w:val="32"/>
          <w:shd w:val="clear" w:color="auto" w:fill="FFFFFF"/>
        </w:rPr>
        <w:t>说明：</w:t>
      </w:r>
    </w:p>
    <w:p w14:paraId="6B0AE3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1.一个物业小区内有多栋高层公寓等建筑物且同属一个产权单位或物业管理单位的，可视为一个消防安全重点单位。</w:t>
      </w:r>
    </w:p>
    <w:p w14:paraId="2FF463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Cs w:val="32"/>
          <w:shd w:val="clear" w:color="auto" w:fill="FFFFFF"/>
        </w:rPr>
      </w:pPr>
      <w:r>
        <w:rPr>
          <w:rFonts w:hint="eastAsia" w:ascii="仿宋_GB2312" w:hAnsi="仿宋_GB2312" w:eastAsia="仿宋_GB2312" w:cs="仿宋_GB2312"/>
          <w:szCs w:val="32"/>
          <w:shd w:val="clear" w:color="auto" w:fill="FFFFFF"/>
        </w:rPr>
        <w:t>2.在一个符合界定标准的单位或建筑物内另有符合界定标准而法人不同的单位，可视为不同的消防安全重点单位，法人相同但多家承包、租赁的可视为一个消防安全重点单位。</w:t>
      </w:r>
    </w:p>
    <w:p w14:paraId="26704D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Cs w:val="32"/>
          <w:shd w:val="clear" w:color="auto" w:fill="FFFFFF"/>
        </w:rPr>
      </w:pPr>
      <w:r>
        <w:rPr>
          <w:rFonts w:hint="eastAsia" w:ascii="仿宋_GB2312" w:hAnsi="仿宋_GB2312" w:eastAsia="仿宋_GB2312" w:cs="仿宋_GB2312"/>
          <w:color w:val="000000"/>
          <w:szCs w:val="32"/>
          <w:shd w:val="clear" w:color="auto" w:fill="FFFFFF"/>
        </w:rPr>
        <w:t>3.方正楷体加粗内容为《关于将有关场所和单位纳入消防安全重点单位界定标准的通知》（豫消〔2023〕90号）和本文在原消防安全重点单位界定标准的基础上增加和调整的场所及单位，按规定程序确定为消防安全重点单位后由消防救援部门监管；原界定标准中的场所和单位仍按照三级管理权限分级监管。</w:t>
      </w:r>
    </w:p>
    <w:p w14:paraId="2256C2AA">
      <w:pPr>
        <w:spacing w:line="560" w:lineRule="exact"/>
        <w:jc w:val="left"/>
        <w:rPr>
          <w:rFonts w:hint="eastAsia" w:ascii="仿宋_GB2312" w:hAnsi="仿宋_GB2312" w:eastAsia="仿宋_GB2312" w:cs="仿宋_GB2312"/>
          <w:bCs/>
        </w:rPr>
      </w:pPr>
    </w:p>
    <w:p w14:paraId="5E789A1F">
      <w:pPr>
        <w:spacing w:line="560" w:lineRule="exact"/>
        <w:jc w:val="left"/>
        <w:rPr>
          <w:rFonts w:hint="default" w:ascii="Times New Roman" w:hAnsi="Times New Roman" w:eastAsia="黑体" w:cs="Times New Roman"/>
          <w:bCs/>
        </w:rPr>
      </w:pPr>
    </w:p>
    <w:p w14:paraId="26C868EC">
      <w:pPr>
        <w:spacing w:line="560" w:lineRule="exact"/>
        <w:jc w:val="left"/>
        <w:rPr>
          <w:rFonts w:hint="default" w:ascii="Times New Roman" w:hAnsi="Times New Roman" w:eastAsia="黑体" w:cs="Times New Roman"/>
          <w:bCs/>
        </w:rPr>
      </w:pPr>
    </w:p>
    <w:p w14:paraId="4D07D47C">
      <w:pPr>
        <w:spacing w:line="560" w:lineRule="exact"/>
        <w:jc w:val="left"/>
        <w:rPr>
          <w:rFonts w:hint="default" w:ascii="Times New Roman" w:hAnsi="Times New Roman" w:eastAsia="黑体" w:cs="Times New Roman"/>
          <w:bCs/>
        </w:rPr>
      </w:pPr>
    </w:p>
    <w:p w14:paraId="6A2C400C">
      <w:pPr>
        <w:spacing w:line="560" w:lineRule="exact"/>
        <w:jc w:val="left"/>
        <w:rPr>
          <w:rFonts w:hint="default" w:ascii="Times New Roman" w:hAnsi="Times New Roman" w:eastAsia="黑体" w:cs="Times New Roman"/>
          <w:bCs/>
        </w:rPr>
      </w:pPr>
    </w:p>
    <w:p w14:paraId="66909358">
      <w:pPr>
        <w:spacing w:line="560" w:lineRule="exact"/>
        <w:jc w:val="left"/>
        <w:rPr>
          <w:rFonts w:hint="default" w:ascii="Times New Roman" w:hAnsi="Times New Roman" w:eastAsia="黑体" w:cs="Times New Roman"/>
          <w:bCs/>
        </w:rPr>
      </w:pPr>
    </w:p>
    <w:p w14:paraId="17E42D18">
      <w:pPr>
        <w:spacing w:line="560" w:lineRule="exact"/>
        <w:jc w:val="left"/>
        <w:rPr>
          <w:rFonts w:hint="default" w:ascii="Times New Roman" w:hAnsi="Times New Roman" w:eastAsia="黑体" w:cs="Times New Roman"/>
          <w:bCs/>
        </w:rPr>
      </w:pPr>
    </w:p>
    <w:p w14:paraId="027E5868">
      <w:pPr>
        <w:spacing w:line="560" w:lineRule="exact"/>
        <w:jc w:val="left"/>
        <w:rPr>
          <w:rFonts w:hint="default" w:ascii="Times New Roman" w:hAnsi="Times New Roman" w:eastAsia="黑体" w:cs="Times New Roman"/>
          <w:bCs/>
        </w:rPr>
      </w:pPr>
    </w:p>
    <w:p w14:paraId="22736A66">
      <w:pPr>
        <w:spacing w:line="560" w:lineRule="exact"/>
        <w:jc w:val="left"/>
        <w:rPr>
          <w:rFonts w:hint="default" w:ascii="Times New Roman" w:hAnsi="Times New Roman" w:eastAsia="黑体" w:cs="Times New Roman"/>
          <w:bCs/>
        </w:rPr>
      </w:pPr>
    </w:p>
    <w:p w14:paraId="2EF6B587">
      <w:pPr>
        <w:spacing w:line="560" w:lineRule="exact"/>
        <w:jc w:val="left"/>
        <w:rPr>
          <w:rFonts w:hint="default" w:ascii="Times New Roman" w:hAnsi="Times New Roman" w:eastAsia="黑体" w:cs="Times New Roman"/>
          <w:bCs/>
        </w:rPr>
      </w:pPr>
    </w:p>
    <w:p w14:paraId="034CBA15">
      <w:pPr>
        <w:rPr>
          <w:rFonts w:hint="eastAsia" w:ascii="黑体" w:hAnsi="黑体" w:eastAsia="黑体" w:cs="黑体"/>
          <w:bCs/>
        </w:rPr>
      </w:pPr>
      <w:r>
        <w:rPr>
          <w:rFonts w:hint="eastAsia" w:ascii="黑体" w:hAnsi="黑体" w:eastAsia="黑体" w:cs="黑体"/>
          <w:bCs/>
        </w:rPr>
        <w:br w:type="page"/>
      </w:r>
    </w:p>
    <w:p w14:paraId="1599E847">
      <w:pPr>
        <w:spacing w:line="560" w:lineRule="exact"/>
        <w:jc w:val="left"/>
        <w:rPr>
          <w:rFonts w:hint="eastAsia" w:ascii="黑体" w:hAnsi="黑体" w:eastAsia="黑体" w:cs="黑体"/>
          <w:sz w:val="44"/>
          <w:szCs w:val="44"/>
        </w:rPr>
      </w:pPr>
      <w:r>
        <w:rPr>
          <w:rFonts w:hint="eastAsia" w:ascii="黑体" w:hAnsi="黑体" w:eastAsia="黑体" w:cs="黑体"/>
          <w:bCs/>
        </w:rPr>
        <w:t>附</w:t>
      </w:r>
      <w:r>
        <w:rPr>
          <w:rFonts w:hint="eastAsia" w:ascii="黑体" w:hAnsi="黑体" w:eastAsia="黑体" w:cs="黑体"/>
          <w:bCs/>
          <w:lang w:val="en-US" w:eastAsia="zh-CN"/>
        </w:rPr>
        <w:t xml:space="preserve"> </w:t>
      </w:r>
      <w:r>
        <w:rPr>
          <w:rFonts w:hint="eastAsia" w:ascii="黑体" w:hAnsi="黑体" w:eastAsia="黑体" w:cs="黑体"/>
          <w:bCs/>
        </w:rPr>
        <w:t>件3</w:t>
      </w:r>
    </w:p>
    <w:p w14:paraId="2AC25369">
      <w:pPr>
        <w:spacing w:line="579" w:lineRule="exact"/>
        <w:jc w:val="center"/>
        <w:rPr>
          <w:rFonts w:hint="default" w:ascii="Times New Roman" w:hAnsi="Times New Roman" w:eastAsia="方正小标宋简体" w:cs="Times New Roman"/>
          <w:bCs/>
          <w:snapToGrid w:val="0"/>
          <w:kern w:val="0"/>
          <w:sz w:val="44"/>
          <w:szCs w:val="44"/>
        </w:rPr>
      </w:pPr>
      <w:r>
        <w:rPr>
          <w:rFonts w:hint="default" w:ascii="Times New Roman" w:hAnsi="Times New Roman" w:eastAsia="方正小标宋简体" w:cs="Times New Roman"/>
          <w:bCs/>
          <w:snapToGrid w:val="0"/>
          <w:kern w:val="0"/>
          <w:sz w:val="44"/>
          <w:szCs w:val="44"/>
        </w:rPr>
        <w:t>新乡市消防安全重点单位分级界定标准</w:t>
      </w:r>
    </w:p>
    <w:p w14:paraId="796BE74C">
      <w:pPr>
        <w:spacing w:line="579" w:lineRule="exact"/>
        <w:jc w:val="center"/>
        <w:rPr>
          <w:rFonts w:hint="default" w:ascii="Times New Roman" w:hAnsi="Times New Roman" w:eastAsia="方正小标宋_GBK" w:cs="Times New Roman"/>
          <w:bCs/>
          <w:snapToGrid w:val="0"/>
          <w:kern w:val="0"/>
          <w:sz w:val="44"/>
          <w:szCs w:val="44"/>
        </w:rPr>
      </w:pPr>
    </w:p>
    <w:p w14:paraId="44195742">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黑体" w:hAnsi="黑体" w:eastAsia="黑体" w:cs="黑体"/>
          <w:snapToGrid w:val="0"/>
          <w:kern w:val="0"/>
        </w:rPr>
      </w:pPr>
      <w:r>
        <w:rPr>
          <w:rFonts w:hint="eastAsia" w:ascii="黑体" w:hAnsi="黑体" w:eastAsia="黑体" w:cs="黑体"/>
          <w:snapToGrid w:val="0"/>
          <w:kern w:val="0"/>
        </w:rPr>
        <w:t>一、一级消防安全重点单位（市消防救援</w:t>
      </w:r>
      <w:r>
        <w:rPr>
          <w:rFonts w:hint="eastAsia" w:ascii="黑体" w:hAnsi="黑体" w:eastAsia="黑体" w:cs="黑体"/>
          <w:snapToGrid w:val="0"/>
          <w:kern w:val="0"/>
          <w:lang w:val="en-US" w:eastAsia="zh-CN"/>
        </w:rPr>
        <w:t>局</w:t>
      </w:r>
      <w:r>
        <w:rPr>
          <w:rFonts w:hint="eastAsia" w:ascii="黑体" w:hAnsi="黑体" w:eastAsia="黑体" w:cs="黑体"/>
          <w:snapToGrid w:val="0"/>
          <w:kern w:val="0"/>
        </w:rPr>
        <w:t>列管，市城区范围内达到下列标准的单位）</w:t>
      </w:r>
    </w:p>
    <w:p w14:paraId="32097238">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hd w:val="clear" w:color="auto" w:fill="FFFFFF"/>
        </w:rPr>
      </w:pPr>
      <w:r>
        <w:rPr>
          <w:rFonts w:hint="eastAsia" w:ascii="仿宋_GB2312" w:hAnsi="仿宋_GB2312" w:eastAsia="仿宋_GB2312" w:cs="仿宋_GB2312"/>
          <w:snapToGrid w:val="0"/>
          <w:color w:val="000000"/>
          <w:kern w:val="0"/>
          <w:shd w:val="clear" w:color="auto" w:fill="FFFFFF"/>
        </w:rPr>
        <w:t>（一）学生住宿总床位在3万张以上的综合性大学。</w:t>
      </w:r>
    </w:p>
    <w:p w14:paraId="757A3732">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hd w:val="clear" w:color="auto" w:fill="FFFFFF"/>
        </w:rPr>
      </w:pPr>
      <w:r>
        <w:rPr>
          <w:rFonts w:hint="eastAsia" w:ascii="仿宋_GB2312" w:hAnsi="仿宋_GB2312" w:eastAsia="仿宋_GB2312" w:cs="仿宋_GB2312"/>
          <w:snapToGrid w:val="0"/>
          <w:color w:val="000000"/>
          <w:kern w:val="0"/>
          <w:shd w:val="clear" w:color="auto" w:fill="FFFFFF"/>
        </w:rPr>
        <w:t>（二）具有典型代表性的单位。</w:t>
      </w:r>
    </w:p>
    <w:p w14:paraId="5DA4EE53">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仿宋_GB2312" w:hAnsi="仿宋_GB2312" w:eastAsia="仿宋_GB2312" w:cs="仿宋_GB2312"/>
          <w:snapToGrid w:val="0"/>
          <w:color w:val="000000"/>
          <w:kern w:val="0"/>
          <w:shd w:val="clear" w:color="auto" w:fill="FFFFFF"/>
        </w:rPr>
      </w:pPr>
      <w:r>
        <w:rPr>
          <w:rFonts w:hint="eastAsia" w:ascii="仿宋_GB2312" w:hAnsi="仿宋_GB2312" w:eastAsia="仿宋_GB2312" w:cs="仿宋_GB2312"/>
          <w:snapToGrid w:val="0"/>
          <w:color w:val="000000"/>
          <w:kern w:val="0"/>
          <w:shd w:val="clear" w:color="auto" w:fill="FFFFFF"/>
        </w:rPr>
        <w:t>（三）一级重点单位单位或建筑物内另有符合界定标准而法人不同的单位。</w:t>
      </w:r>
    </w:p>
    <w:p w14:paraId="6F9305B5">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黑体" w:hAnsi="黑体" w:eastAsia="黑体" w:cs="黑体"/>
          <w:snapToGrid w:val="0"/>
          <w:kern w:val="0"/>
        </w:rPr>
      </w:pPr>
      <w:r>
        <w:rPr>
          <w:rFonts w:hint="eastAsia" w:ascii="黑体" w:hAnsi="黑体" w:eastAsia="黑体" w:cs="黑体"/>
          <w:snapToGrid w:val="0"/>
          <w:kern w:val="0"/>
        </w:rPr>
        <w:t>二、二级消防安全重点单位（县、市、区消防救援</w:t>
      </w:r>
      <w:r>
        <w:rPr>
          <w:rFonts w:hint="eastAsia" w:ascii="黑体" w:hAnsi="黑体" w:eastAsia="黑体" w:cs="黑体"/>
          <w:snapToGrid w:val="0"/>
          <w:kern w:val="0"/>
          <w:lang w:val="en-US" w:eastAsia="zh-CN"/>
        </w:rPr>
        <w:t>局</w:t>
      </w:r>
      <w:r>
        <w:rPr>
          <w:rFonts w:hint="eastAsia" w:ascii="黑体" w:hAnsi="黑体" w:eastAsia="黑体" w:cs="黑体"/>
          <w:snapToGrid w:val="0"/>
          <w:kern w:val="0"/>
        </w:rPr>
        <w:t>列管）</w:t>
      </w:r>
    </w:p>
    <w:p w14:paraId="52117569">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楷体" w:hAnsi="楷体" w:eastAsia="楷体" w:cs="楷体"/>
          <w:snapToGrid w:val="0"/>
          <w:color w:val="000000"/>
          <w:kern w:val="0"/>
          <w:shd w:val="clear" w:color="auto" w:fill="FFFFFF"/>
        </w:rPr>
      </w:pPr>
      <w:r>
        <w:rPr>
          <w:rFonts w:hint="eastAsia" w:ascii="楷体" w:hAnsi="楷体" w:eastAsia="楷体" w:cs="楷体"/>
          <w:snapToGrid w:val="0"/>
          <w:color w:val="000000"/>
          <w:kern w:val="0"/>
          <w:shd w:val="clear" w:color="auto" w:fill="FFFFFF"/>
        </w:rPr>
        <w:t>（一）宾馆、饭店、商场、集贸市场、体育场馆、会堂、公共娱乐场所等公众聚集场所</w:t>
      </w:r>
    </w:p>
    <w:p w14:paraId="7C6CCAFF">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1.建筑面积在2000平方米（含本数，下同）以上且经营可燃商品的商场、集贸市场。</w:t>
      </w:r>
    </w:p>
    <w:p w14:paraId="1CAA3D48">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2.客房数在100间以上，或客房数在100间以下但设有商场、歌舞娱乐、餐饮场所等且建筑面积大于3000平方米的宾馆、饭店。</w:t>
      </w:r>
    </w:p>
    <w:p w14:paraId="2F128F8C">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3.除市级消防救援机构列管的公共体育场馆、会堂。</w:t>
      </w:r>
    </w:p>
    <w:p w14:paraId="5E9D70BC">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4.建筑面积在500平方米以上的下列室内公共娱乐场所：</w:t>
      </w:r>
    </w:p>
    <w:p w14:paraId="25559396">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（1）影剧院、放映厅、礼堂等演出放映场所；</w:t>
      </w:r>
    </w:p>
    <w:p w14:paraId="0C5E7BD9">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（2）舞厅、KTV等歌舞娱乐场所；</w:t>
      </w:r>
    </w:p>
    <w:p w14:paraId="2C37D798">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（3）具有娱乐功能的夜总会、音乐茶座和餐饮场所；</w:t>
      </w:r>
    </w:p>
    <w:p w14:paraId="0E1A5EB6">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（4）游艺、游乐场所。</w:t>
      </w:r>
    </w:p>
    <w:p w14:paraId="4F222E03">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5.建筑面积在1000平方米以上的足浴、美容院、桑拿浴室（洗浴部分面积除外）等营业性健身、休闲场所。</w:t>
      </w:r>
    </w:p>
    <w:p w14:paraId="082F48AD">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楷体" w:hAnsi="楷体" w:eastAsia="楷体" w:cs="楷体"/>
          <w:snapToGrid w:val="0"/>
          <w:color w:val="000000"/>
          <w:kern w:val="0"/>
          <w:shd w:val="clear" w:color="auto" w:fill="FFFFFF"/>
        </w:rPr>
      </w:pPr>
      <w:r>
        <w:rPr>
          <w:rFonts w:hint="eastAsia" w:ascii="楷体" w:hAnsi="楷体" w:eastAsia="楷体" w:cs="楷体"/>
          <w:snapToGrid w:val="0"/>
          <w:color w:val="000000"/>
          <w:kern w:val="0"/>
          <w:shd w:val="clear" w:color="auto" w:fill="FFFFFF"/>
        </w:rPr>
        <w:t>（二）医院、养老院和寄宿制的学校托儿所、幼儿园</w:t>
      </w:r>
    </w:p>
    <w:p w14:paraId="2C982737">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1.住院床位在300张以上的医疗保健机构。</w:t>
      </w:r>
    </w:p>
    <w:p w14:paraId="2D3DFB4D">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2.住宿床位在300张以上的养老院、福利院。</w:t>
      </w:r>
    </w:p>
    <w:p w14:paraId="45A34797">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3.学生住宿床位在500张以上的学校。</w:t>
      </w:r>
    </w:p>
    <w:p w14:paraId="5CB2BC16">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4.幼儿住宿床位在300张以上的托儿所、幼儿园。</w:t>
      </w:r>
    </w:p>
    <w:p w14:paraId="7FA8232E">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楷体" w:hAnsi="楷体" w:eastAsia="楷体" w:cs="楷体"/>
          <w:snapToGrid w:val="0"/>
          <w:color w:val="000000"/>
          <w:kern w:val="0"/>
          <w:shd w:val="clear" w:color="auto" w:fill="FFFFFF"/>
        </w:rPr>
      </w:pPr>
      <w:r>
        <w:rPr>
          <w:rFonts w:hint="eastAsia" w:ascii="楷体" w:hAnsi="楷体" w:eastAsia="楷体" w:cs="楷体"/>
          <w:snapToGrid w:val="0"/>
          <w:color w:val="000000"/>
          <w:kern w:val="0"/>
          <w:shd w:val="clear" w:color="auto" w:fill="FFFFFF"/>
        </w:rPr>
        <w:t>（三）国家机关</w:t>
      </w:r>
    </w:p>
    <w:p w14:paraId="1457B333">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1.县级以上的党委、人大、政府、政协。</w:t>
      </w:r>
    </w:p>
    <w:p w14:paraId="1505B449">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2.县级以上的人民检察院、人民法院。</w:t>
      </w:r>
    </w:p>
    <w:p w14:paraId="3DABB10E">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spacing w:val="-4"/>
          <w:kern w:val="0"/>
        </w:rPr>
      </w:pPr>
      <w:r>
        <w:rPr>
          <w:rFonts w:hint="eastAsia" w:ascii="仿宋_GB2312" w:hAnsi="仿宋_GB2312" w:eastAsia="仿宋_GB2312" w:cs="仿宋_GB2312"/>
          <w:snapToGrid w:val="0"/>
          <w:kern w:val="0"/>
        </w:rPr>
        <w:t>3.</w:t>
      </w:r>
      <w:r>
        <w:rPr>
          <w:rFonts w:hint="eastAsia" w:ascii="仿宋_GB2312" w:hAnsi="仿宋_GB2312" w:eastAsia="仿宋_GB2312" w:cs="仿宋_GB2312"/>
          <w:snapToGrid w:val="0"/>
          <w:spacing w:val="-4"/>
          <w:kern w:val="0"/>
        </w:rPr>
        <w:t>火灾载荷较大、有较大社会影响的其他县级国家机关。</w:t>
      </w:r>
    </w:p>
    <w:p w14:paraId="44975DB7">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楷体" w:hAnsi="楷体" w:eastAsia="楷体" w:cs="楷体"/>
          <w:snapToGrid w:val="0"/>
          <w:color w:val="000000"/>
          <w:kern w:val="0"/>
          <w:shd w:val="clear" w:color="auto" w:fill="FFFFFF"/>
        </w:rPr>
      </w:pPr>
      <w:r>
        <w:rPr>
          <w:rFonts w:hint="eastAsia" w:ascii="楷体" w:hAnsi="楷体" w:eastAsia="楷体" w:cs="楷体"/>
          <w:snapToGrid w:val="0"/>
          <w:color w:val="000000"/>
          <w:kern w:val="0"/>
          <w:shd w:val="clear" w:color="auto" w:fill="FFFFFF"/>
        </w:rPr>
        <w:t>（四）广播、电视和邮政、通信枢纽</w:t>
      </w:r>
    </w:p>
    <w:p w14:paraId="6C2ECE3E">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1.县级以上广播电台、电视台。</w:t>
      </w:r>
    </w:p>
    <w:p w14:paraId="5B9F6086">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2.县级以上邮政、通信枢纽单位。</w:t>
      </w:r>
    </w:p>
    <w:p w14:paraId="7C60291D">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napToGrid w:val="0"/>
          <w:kern w:val="0"/>
          <w:lang w:val="en-US" w:eastAsia="zh-CN"/>
        </w:rPr>
      </w:pPr>
      <w:r>
        <w:rPr>
          <w:rFonts w:hint="eastAsia" w:ascii="仿宋_GB2312" w:hAnsi="仿宋_GB2312" w:eastAsia="仿宋_GB2312" w:cs="仿宋_GB2312"/>
          <w:snapToGrid w:val="0"/>
          <w:kern w:val="0"/>
          <w:lang w:val="en-US" w:eastAsia="zh-CN"/>
        </w:rPr>
        <w:t>3.</w:t>
      </w:r>
      <w:r>
        <w:rPr>
          <w:rFonts w:hint="eastAsia" w:ascii="仿宋_GB2312" w:hAnsi="仿宋_GB2312" w:eastAsia="仿宋_GB2312" w:cs="仿宋_GB2312"/>
          <w:b w:val="0"/>
          <w:bCs w:val="0"/>
          <w:szCs w:val="32"/>
          <w:shd w:val="clear" w:color="auto" w:fill="FFFFFF"/>
        </w:rPr>
        <w:t>县级以上数据中心。</w:t>
      </w:r>
    </w:p>
    <w:p w14:paraId="582F1E31">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楷体" w:hAnsi="楷体" w:eastAsia="楷体" w:cs="楷体"/>
          <w:snapToGrid w:val="0"/>
          <w:color w:val="000000"/>
          <w:kern w:val="0"/>
          <w:shd w:val="clear" w:color="auto" w:fill="FFFFFF"/>
        </w:rPr>
      </w:pPr>
      <w:r>
        <w:rPr>
          <w:rFonts w:hint="eastAsia" w:ascii="楷体" w:hAnsi="楷体" w:eastAsia="楷体" w:cs="楷体"/>
          <w:snapToGrid w:val="0"/>
          <w:color w:val="000000"/>
          <w:kern w:val="0"/>
          <w:shd w:val="clear" w:color="auto" w:fill="FFFFFF"/>
        </w:rPr>
        <w:t>（五）客运车站、码头、民用机场</w:t>
      </w:r>
    </w:p>
    <w:p w14:paraId="372BB3DB">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1.建筑面积在500平方米以上的客运车站侯车厅、客运码头候船厅。</w:t>
      </w:r>
    </w:p>
    <w:p w14:paraId="04F534F0">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2.民用机场航站楼。</w:t>
      </w:r>
    </w:p>
    <w:p w14:paraId="220798B7">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楷体" w:hAnsi="楷体" w:eastAsia="楷体" w:cs="楷体"/>
          <w:snapToGrid w:val="0"/>
          <w:color w:val="000000"/>
          <w:kern w:val="0"/>
          <w:shd w:val="clear" w:color="auto" w:fill="FFFFFF"/>
          <w:lang w:val="en-US" w:eastAsia="zh-CN"/>
        </w:rPr>
      </w:pPr>
      <w:r>
        <w:rPr>
          <w:rFonts w:hint="eastAsia" w:ascii="楷体" w:hAnsi="楷体" w:eastAsia="楷体" w:cs="楷体"/>
          <w:snapToGrid w:val="0"/>
          <w:color w:val="000000"/>
          <w:kern w:val="0"/>
          <w:shd w:val="clear" w:color="auto" w:fill="FFFFFF"/>
        </w:rPr>
        <w:t>（六）公共图书馆、展览馆、博物馆、档案馆以及具有火灾危险性的文物保护单位</w:t>
      </w:r>
      <w:r>
        <w:rPr>
          <w:rFonts w:hint="eastAsia" w:ascii="楷体" w:hAnsi="楷体" w:eastAsia="楷体" w:cs="楷体"/>
          <w:snapToGrid w:val="0"/>
          <w:color w:val="000000"/>
          <w:kern w:val="0"/>
          <w:shd w:val="clear" w:color="auto" w:fill="FFFFFF"/>
          <w:lang w:eastAsia="zh-CN"/>
        </w:rPr>
        <w:t>、</w:t>
      </w:r>
      <w:r>
        <w:rPr>
          <w:rFonts w:hint="eastAsia" w:ascii="楷体" w:hAnsi="楷体" w:eastAsia="楷体" w:cs="楷体"/>
          <w:snapToGrid w:val="0"/>
          <w:color w:val="000000"/>
          <w:kern w:val="0"/>
          <w:shd w:val="clear" w:color="auto" w:fill="FFFFFF"/>
          <w:lang w:val="en-US" w:eastAsia="zh-CN"/>
        </w:rPr>
        <w:t>旅游景区</w:t>
      </w:r>
    </w:p>
    <w:p w14:paraId="783ED3EE">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1.建筑面积在2000平方米以上的公共图书馆、展览馆。</w:t>
      </w:r>
    </w:p>
    <w:p w14:paraId="745F06A7">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2.公共博物馆、档案馆。</w:t>
      </w:r>
    </w:p>
    <w:p w14:paraId="7384BC2C">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3.具有火灾危险性的县级以上文物保护单位。</w:t>
      </w:r>
    </w:p>
    <w:p w14:paraId="3B4A2472">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lang w:val="en-US" w:eastAsia="zh-CN"/>
        </w:rPr>
      </w:pPr>
      <w:r>
        <w:rPr>
          <w:rFonts w:hint="eastAsia" w:ascii="仿宋_GB2312" w:hAnsi="仿宋_GB2312" w:eastAsia="仿宋_GB2312" w:cs="仿宋_GB2312"/>
          <w:snapToGrid w:val="0"/>
          <w:kern w:val="0"/>
          <w:lang w:val="en-US" w:eastAsia="zh-CN"/>
        </w:rPr>
        <w:t>4.</w:t>
      </w:r>
      <w:r>
        <w:rPr>
          <w:rFonts w:hint="eastAsia" w:ascii="仿宋_GB2312" w:hAnsi="仿宋_GB2312" w:eastAsia="仿宋_GB2312" w:cs="仿宋_GB2312"/>
          <w:snapToGrid w:val="0"/>
          <w:kern w:val="0"/>
        </w:rPr>
        <w:t>4A级以上具有建筑火灾危险性的旅游景区。</w:t>
      </w:r>
    </w:p>
    <w:p w14:paraId="7FC2021A">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楷体" w:hAnsi="楷体" w:eastAsia="楷体" w:cs="楷体"/>
          <w:snapToGrid w:val="0"/>
          <w:color w:val="000000"/>
          <w:kern w:val="0"/>
          <w:shd w:val="clear" w:color="auto" w:fill="FFFFFF"/>
        </w:rPr>
      </w:pPr>
      <w:r>
        <w:rPr>
          <w:rFonts w:hint="eastAsia" w:ascii="楷体" w:hAnsi="楷体" w:eastAsia="楷体" w:cs="楷体"/>
          <w:snapToGrid w:val="0"/>
          <w:color w:val="000000"/>
          <w:kern w:val="0"/>
          <w:shd w:val="clear" w:color="auto" w:fill="FFFFFF"/>
        </w:rPr>
        <w:t>（七）除市级消防救援机构列管的发电厂（站）和电网经营企业</w:t>
      </w:r>
    </w:p>
    <w:p w14:paraId="14A62597">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楷体" w:hAnsi="楷体" w:eastAsia="楷体" w:cs="楷体"/>
          <w:snapToGrid w:val="0"/>
          <w:color w:val="000000"/>
          <w:kern w:val="0"/>
          <w:shd w:val="clear" w:color="auto" w:fill="FFFFFF"/>
        </w:rPr>
      </w:pPr>
      <w:r>
        <w:rPr>
          <w:rFonts w:hint="eastAsia" w:ascii="楷体" w:hAnsi="楷体" w:eastAsia="楷体" w:cs="楷体"/>
          <w:snapToGrid w:val="0"/>
          <w:color w:val="000000"/>
          <w:kern w:val="0"/>
          <w:shd w:val="clear" w:color="auto" w:fill="FFFFFF"/>
        </w:rPr>
        <w:t>（八）易燃易爆化学物品的生产、充装、储存、供应、销售单位</w:t>
      </w:r>
    </w:p>
    <w:p w14:paraId="65E36CAF">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1.生产易燃易爆化学物品的工厂。</w:t>
      </w:r>
    </w:p>
    <w:p w14:paraId="7CD65C4A">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2.储量超过5000立方米的易燃易爆气体和液体的灌装站、调压站。</w:t>
      </w:r>
    </w:p>
    <w:p w14:paraId="70062DA1">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3.储量超过500公斤的易燃易爆化学物品的专用仓库（堆场、储罐场所）。</w:t>
      </w:r>
    </w:p>
    <w:p w14:paraId="4201B275">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4.其他火灾载荷较大、有较大社会影响的营业性加油站、加气站，液化石油气供应站。</w:t>
      </w:r>
    </w:p>
    <w:p w14:paraId="64D62F59">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color w:val="000000"/>
          <w:kern w:val="0"/>
        </w:rPr>
      </w:pPr>
      <w:r>
        <w:rPr>
          <w:rFonts w:hint="eastAsia" w:ascii="仿宋_GB2312" w:hAnsi="仿宋_GB2312" w:eastAsia="仿宋_GB2312" w:cs="仿宋_GB2312"/>
          <w:snapToGrid w:val="0"/>
          <w:color w:val="000000"/>
          <w:kern w:val="0"/>
        </w:rPr>
        <w:t>5.经营易燃易爆化学物品的化工商店：</w:t>
      </w:r>
    </w:p>
    <w:p w14:paraId="397DF662">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（1）经营甲、乙类易燃易爆化学物品，站内总存量500公斤或10立方米以上的商店；</w:t>
      </w:r>
    </w:p>
    <w:p w14:paraId="2922D3C5">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（2）经营甲、乙类易燃易爆化学物品营业面积在500平方米以上的商店。</w:t>
      </w:r>
    </w:p>
    <w:p w14:paraId="79149B53">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楷体" w:hAnsi="楷体" w:eastAsia="楷体" w:cs="楷体"/>
          <w:snapToGrid w:val="0"/>
          <w:color w:val="000000"/>
          <w:kern w:val="0"/>
          <w:shd w:val="clear" w:color="auto" w:fill="FFFFFF"/>
        </w:rPr>
      </w:pPr>
      <w:r>
        <w:rPr>
          <w:rFonts w:hint="eastAsia" w:ascii="楷体" w:hAnsi="楷体" w:eastAsia="楷体" w:cs="楷体"/>
          <w:snapToGrid w:val="0"/>
          <w:color w:val="000000"/>
          <w:kern w:val="0"/>
          <w:shd w:val="clear" w:color="auto" w:fill="FFFFFF"/>
        </w:rPr>
        <w:t>（九）劳动密集型生产、加工企业</w:t>
      </w:r>
    </w:p>
    <w:p w14:paraId="05598CDD">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lang w:eastAsia="zh-CN"/>
        </w:rPr>
      </w:pPr>
      <w:r>
        <w:rPr>
          <w:rFonts w:hint="eastAsia" w:ascii="仿宋_GB2312" w:hAnsi="仿宋_GB2312" w:eastAsia="仿宋_GB2312" w:cs="仿宋_GB2312"/>
          <w:snapToGrid w:val="0"/>
          <w:kern w:val="0"/>
          <w:lang w:val="en-US" w:eastAsia="zh-CN"/>
        </w:rPr>
        <w:t>1.</w:t>
      </w:r>
      <w:r>
        <w:rPr>
          <w:rFonts w:hint="eastAsia" w:ascii="仿宋_GB2312" w:hAnsi="仿宋_GB2312" w:eastAsia="仿宋_GB2312" w:cs="仿宋_GB2312"/>
          <w:snapToGrid w:val="0"/>
          <w:kern w:val="0"/>
        </w:rPr>
        <w:t>单个生产车间员工在300人以上劳动密集型生产、加工企业</w:t>
      </w:r>
      <w:r>
        <w:rPr>
          <w:rFonts w:hint="eastAsia" w:ascii="仿宋_GB2312" w:hAnsi="仿宋_GB2312" w:eastAsia="仿宋_GB2312" w:cs="仿宋_GB2312"/>
          <w:snapToGrid w:val="0"/>
          <w:kern w:val="0"/>
          <w:lang w:eastAsia="zh-CN"/>
        </w:rPr>
        <w:t>。</w:t>
      </w:r>
    </w:p>
    <w:p w14:paraId="585F4083">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lang w:val="en-US" w:eastAsia="zh-CN"/>
        </w:rPr>
        <w:t>2.</w:t>
      </w:r>
      <w:r>
        <w:rPr>
          <w:rFonts w:hint="eastAsia" w:ascii="仿宋_GB2312" w:hAnsi="仿宋_GB2312" w:eastAsia="仿宋_GB2312" w:cs="仿宋_GB2312"/>
          <w:snapToGrid w:val="0"/>
          <w:kern w:val="0"/>
        </w:rPr>
        <w:t>同一建筑内存在多个服装、鞋帽、玩具、木制品、家具、塑料、食品加工、纺织、印染、印刷产品等企业且生产车间员工总人数在</w:t>
      </w:r>
      <w:r>
        <w:rPr>
          <w:rFonts w:hint="eastAsia" w:ascii="仿宋_GB2312" w:hAnsi="仿宋_GB2312" w:eastAsia="仿宋_GB2312" w:cs="仿宋_GB2312"/>
          <w:snapToGrid w:val="0"/>
          <w:kern w:val="0"/>
          <w:lang w:val="en-US" w:eastAsia="zh-CN"/>
        </w:rPr>
        <w:t>100</w:t>
      </w:r>
      <w:r>
        <w:rPr>
          <w:rFonts w:hint="eastAsia" w:ascii="仿宋_GB2312" w:hAnsi="仿宋_GB2312" w:eastAsia="仿宋_GB2312" w:cs="仿宋_GB2312"/>
          <w:snapToGrid w:val="0"/>
          <w:kern w:val="0"/>
        </w:rPr>
        <w:t>人以上的建筑产权或管理单位。</w:t>
      </w:r>
    </w:p>
    <w:p w14:paraId="7D55597A">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楷体" w:hAnsi="楷体" w:eastAsia="楷体" w:cs="楷体"/>
          <w:snapToGrid w:val="0"/>
          <w:color w:val="000000"/>
          <w:kern w:val="0"/>
          <w:shd w:val="clear" w:color="auto" w:fill="FFFFFF"/>
        </w:rPr>
      </w:pPr>
      <w:r>
        <w:rPr>
          <w:rFonts w:hint="eastAsia" w:ascii="楷体" w:hAnsi="楷体" w:eastAsia="楷体" w:cs="楷体"/>
          <w:snapToGrid w:val="0"/>
          <w:color w:val="000000"/>
          <w:kern w:val="0"/>
          <w:shd w:val="clear" w:color="auto" w:fill="FFFFFF"/>
        </w:rPr>
        <w:t>（十）火灾载荷较大、有较大社会影响的省级科研单位</w:t>
      </w:r>
    </w:p>
    <w:p w14:paraId="504EF303">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楷体" w:hAnsi="楷体" w:eastAsia="楷体" w:cs="楷体"/>
          <w:snapToGrid w:val="0"/>
          <w:color w:val="000000"/>
          <w:kern w:val="0"/>
          <w:shd w:val="clear" w:color="auto" w:fill="FFFFFF"/>
        </w:rPr>
      </w:pPr>
      <w:r>
        <w:rPr>
          <w:rFonts w:hint="eastAsia" w:ascii="楷体" w:hAnsi="楷体" w:eastAsia="楷体" w:cs="楷体"/>
          <w:snapToGrid w:val="0"/>
          <w:color w:val="000000"/>
          <w:kern w:val="0"/>
          <w:shd w:val="clear" w:color="auto" w:fill="FFFFFF"/>
        </w:rPr>
        <w:t>（十一）高层公共建筑、地下铁道、地下观光隧道，粮、棉、木材、百货等物资仓库和堆场</w:t>
      </w:r>
    </w:p>
    <w:p w14:paraId="5195F63D">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1.高层公共建筑建筑高度在50米以上的办公楼（写字楼）、公寓楼等。</w:t>
      </w:r>
    </w:p>
    <w:p w14:paraId="23422759">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2.除市级消防救援机构列管的城市地下铁道、地下观光隧道等地下公共建筑和城市重要的交通隧道。</w:t>
      </w:r>
    </w:p>
    <w:p w14:paraId="3360C015">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3.国家储备粮库、总储量在30000吨以上的其他粮库。</w:t>
      </w:r>
    </w:p>
    <w:p w14:paraId="3E9C0913">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4.总储量在1500吨以上的棉库。</w:t>
      </w:r>
    </w:p>
    <w:p w14:paraId="15486089">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5.总储量在30000立方米以上的木材堆场。</w:t>
      </w:r>
    </w:p>
    <w:p w14:paraId="79298F3A">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6.总储存价值在15000万元以上的可燃物品仓库、堆场。</w:t>
      </w:r>
    </w:p>
    <w:p w14:paraId="4739C9DE">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7.省级重点建筑工程的施工现场。</w:t>
      </w:r>
    </w:p>
    <w:p w14:paraId="408CC667">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楷体" w:hAnsi="楷体" w:eastAsia="楷体" w:cs="楷体"/>
          <w:snapToGrid w:val="0"/>
          <w:color w:val="000000"/>
          <w:kern w:val="0"/>
          <w:shd w:val="clear" w:color="auto" w:fill="FFFFFF"/>
        </w:rPr>
      </w:pPr>
      <w:r>
        <w:rPr>
          <w:rFonts w:hint="eastAsia" w:ascii="楷体" w:hAnsi="楷体" w:eastAsia="楷体" w:cs="楷体"/>
          <w:snapToGrid w:val="0"/>
          <w:color w:val="000000"/>
          <w:kern w:val="0"/>
          <w:shd w:val="clear" w:color="auto" w:fill="FFFFFF"/>
        </w:rPr>
        <w:t>（十二）</w:t>
      </w:r>
      <w:r>
        <w:rPr>
          <w:rFonts w:hint="eastAsia" w:ascii="楷体" w:hAnsi="楷体" w:eastAsia="楷体" w:cs="楷体"/>
          <w:b w:val="0"/>
          <w:bCs w:val="0"/>
          <w:szCs w:val="32"/>
          <w:shd w:val="clear" w:color="auto" w:fill="FFFFFF"/>
        </w:rPr>
        <w:t>锂电池生产、储存单位及电化学储能单位</w:t>
      </w:r>
    </w:p>
    <w:p w14:paraId="1CB2BE19">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lang w:val="en-US" w:eastAsia="zh-CN"/>
        </w:rPr>
        <w:t>1.</w:t>
      </w:r>
      <w:r>
        <w:rPr>
          <w:rFonts w:hint="eastAsia" w:ascii="仿宋_GB2312" w:hAnsi="仿宋_GB2312" w:eastAsia="仿宋_GB2312" w:cs="仿宋_GB2312"/>
          <w:snapToGrid w:val="0"/>
          <w:kern w:val="0"/>
        </w:rPr>
        <w:t>产能在</w:t>
      </w:r>
      <w:r>
        <w:rPr>
          <w:rFonts w:hint="eastAsia" w:ascii="仿宋_GB2312" w:hAnsi="仿宋_GB2312" w:eastAsia="仿宋_GB2312" w:cs="仿宋_GB2312"/>
          <w:snapToGrid w:val="0"/>
          <w:color w:val="000000"/>
          <w:kern w:val="0"/>
          <w:lang w:val="en-US" w:eastAsia="zh-CN"/>
        </w:rPr>
        <w:t>200</w:t>
      </w:r>
      <w:r>
        <w:rPr>
          <w:rFonts w:hint="eastAsia" w:ascii="仿宋_GB2312" w:hAnsi="仿宋_GB2312" w:eastAsia="仿宋_GB2312" w:cs="仿宋_GB2312"/>
          <w:snapToGrid w:val="0"/>
          <w:kern w:val="0"/>
        </w:rPr>
        <w:t>MWH及以上的锂电池生产单位；</w:t>
      </w:r>
    </w:p>
    <w:p w14:paraId="5861002A">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lang w:val="en-US" w:eastAsia="zh-CN"/>
        </w:rPr>
        <w:t>2.</w:t>
      </w:r>
      <w:r>
        <w:rPr>
          <w:rFonts w:hint="eastAsia" w:ascii="仿宋_GB2312" w:hAnsi="仿宋_GB2312" w:eastAsia="仿宋_GB2312" w:cs="仿宋_GB2312"/>
          <w:snapToGrid w:val="0"/>
          <w:kern w:val="0"/>
        </w:rPr>
        <w:t>总储量在</w:t>
      </w:r>
      <w:r>
        <w:rPr>
          <w:rFonts w:hint="eastAsia" w:ascii="仿宋_GB2312" w:hAnsi="仿宋_GB2312" w:eastAsia="仿宋_GB2312" w:cs="仿宋_GB2312"/>
          <w:snapToGrid w:val="0"/>
          <w:color w:val="000000"/>
          <w:kern w:val="0"/>
          <w:lang w:val="en-US" w:eastAsia="zh-CN"/>
        </w:rPr>
        <w:t>30</w:t>
      </w:r>
      <w:r>
        <w:rPr>
          <w:rFonts w:hint="eastAsia" w:ascii="仿宋_GB2312" w:hAnsi="仿宋_GB2312" w:eastAsia="仿宋_GB2312" w:cs="仿宋_GB2312"/>
          <w:snapToGrid w:val="0"/>
          <w:kern w:val="0"/>
        </w:rPr>
        <w:t>MWH及以上的锂电池储存单位；</w:t>
      </w:r>
    </w:p>
    <w:p w14:paraId="510DCE34">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lang w:val="en-US" w:eastAsia="zh-CN"/>
        </w:rPr>
        <w:t>3.</w:t>
      </w:r>
      <w:r>
        <w:rPr>
          <w:rFonts w:hint="eastAsia" w:ascii="仿宋_GB2312" w:hAnsi="仿宋_GB2312" w:eastAsia="仿宋_GB2312" w:cs="仿宋_GB2312"/>
          <w:snapToGrid w:val="0"/>
          <w:kern w:val="0"/>
        </w:rPr>
        <w:t>功率为</w:t>
      </w:r>
      <w:r>
        <w:rPr>
          <w:rFonts w:hint="eastAsia" w:ascii="仿宋_GB2312" w:hAnsi="仿宋_GB2312" w:eastAsia="仿宋_GB2312" w:cs="仿宋_GB2312"/>
          <w:snapToGrid w:val="0"/>
          <w:color w:val="000000"/>
          <w:kern w:val="0"/>
          <w:lang w:val="en-US" w:eastAsia="zh-CN"/>
        </w:rPr>
        <w:t>30</w:t>
      </w:r>
      <w:r>
        <w:rPr>
          <w:rFonts w:hint="eastAsia" w:ascii="仿宋_GB2312" w:hAnsi="仿宋_GB2312" w:eastAsia="仿宋_GB2312" w:cs="仿宋_GB2312"/>
          <w:snapToGrid w:val="0"/>
          <w:kern w:val="0"/>
        </w:rPr>
        <w:t>MW且容量为</w:t>
      </w:r>
      <w:r>
        <w:rPr>
          <w:rFonts w:hint="eastAsia" w:ascii="仿宋_GB2312" w:hAnsi="仿宋_GB2312" w:eastAsia="仿宋_GB2312" w:cs="仿宋_GB2312"/>
          <w:snapToGrid w:val="0"/>
          <w:color w:val="000000"/>
          <w:kern w:val="0"/>
          <w:lang w:val="en-US" w:eastAsia="zh-CN"/>
        </w:rPr>
        <w:t>30</w:t>
      </w:r>
      <w:r>
        <w:rPr>
          <w:rFonts w:hint="eastAsia" w:ascii="仿宋_GB2312" w:hAnsi="仿宋_GB2312" w:eastAsia="仿宋_GB2312" w:cs="仿宋_GB2312"/>
          <w:snapToGrid w:val="0"/>
          <w:kern w:val="0"/>
        </w:rPr>
        <w:t>MW·h及以上的电化学储能电站。</w:t>
      </w:r>
    </w:p>
    <w:p w14:paraId="6CDB10A4">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楷体" w:hAnsi="楷体" w:eastAsia="楷体" w:cs="楷体"/>
          <w:b w:val="0"/>
          <w:bCs w:val="0"/>
          <w:szCs w:val="32"/>
          <w:shd w:val="clear" w:color="auto" w:fill="FFFFFF"/>
        </w:rPr>
      </w:pPr>
      <w:r>
        <w:rPr>
          <w:rFonts w:hint="eastAsia" w:ascii="楷体" w:hAnsi="楷体" w:eastAsia="楷体" w:cs="楷体"/>
          <w:b w:val="0"/>
          <w:bCs w:val="0"/>
          <w:szCs w:val="32"/>
          <w:shd w:val="clear" w:color="auto" w:fill="FFFFFF"/>
          <w:lang w:eastAsia="zh-CN"/>
        </w:rPr>
        <w:t>（</w:t>
      </w:r>
      <w:r>
        <w:rPr>
          <w:rFonts w:hint="eastAsia" w:ascii="楷体" w:hAnsi="楷体" w:eastAsia="楷体" w:cs="楷体"/>
          <w:b w:val="0"/>
          <w:bCs w:val="0"/>
          <w:szCs w:val="32"/>
          <w:shd w:val="clear" w:color="auto" w:fill="FFFFFF"/>
        </w:rPr>
        <w:t>十三</w:t>
      </w:r>
      <w:r>
        <w:rPr>
          <w:rFonts w:hint="eastAsia" w:ascii="楷体" w:hAnsi="楷体" w:eastAsia="楷体" w:cs="楷体"/>
          <w:b w:val="0"/>
          <w:bCs w:val="0"/>
          <w:szCs w:val="32"/>
          <w:shd w:val="clear" w:color="auto" w:fill="FFFFFF"/>
          <w:lang w:eastAsia="zh-CN"/>
        </w:rPr>
        <w:t>）</w:t>
      </w:r>
      <w:r>
        <w:rPr>
          <w:rFonts w:hint="eastAsia" w:ascii="楷体" w:hAnsi="楷体" w:eastAsia="楷体" w:cs="楷体"/>
          <w:b w:val="0"/>
          <w:bCs w:val="0"/>
          <w:szCs w:val="32"/>
          <w:shd w:val="clear" w:color="auto" w:fill="FFFFFF"/>
        </w:rPr>
        <w:t>其他业态生产经营场所</w:t>
      </w:r>
    </w:p>
    <w:p w14:paraId="3E76F69F">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lang w:val="en-US" w:eastAsia="zh-CN"/>
        </w:rPr>
        <w:t>1.</w:t>
      </w:r>
      <w:r>
        <w:rPr>
          <w:rFonts w:hint="eastAsia" w:ascii="仿宋_GB2312" w:hAnsi="仿宋_GB2312" w:eastAsia="仿宋_GB2312" w:cs="仿宋_GB2312"/>
          <w:snapToGrid w:val="0"/>
          <w:kern w:val="0"/>
        </w:rPr>
        <w:t>建筑面积在</w:t>
      </w:r>
      <w:r>
        <w:rPr>
          <w:rFonts w:hint="eastAsia" w:ascii="仿宋_GB2312" w:hAnsi="仿宋_GB2312" w:eastAsia="仿宋_GB2312" w:cs="仿宋_GB2312"/>
          <w:snapToGrid w:val="0"/>
          <w:color w:val="000000"/>
          <w:kern w:val="0"/>
          <w:lang w:val="en-US" w:eastAsia="zh-CN"/>
        </w:rPr>
        <w:t>500</w:t>
      </w:r>
      <w:r>
        <w:rPr>
          <w:rFonts w:hint="eastAsia" w:ascii="仿宋_GB2312" w:hAnsi="仿宋_GB2312" w:eastAsia="仿宋_GB2312" w:cs="仿宋_GB2312"/>
          <w:snapToGrid w:val="0"/>
          <w:kern w:val="0"/>
        </w:rPr>
        <w:t>平方米以上的剧本杀、密室逃脱等剧本娱乐经营场所；</w:t>
      </w:r>
    </w:p>
    <w:p w14:paraId="5F5483F4">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lang w:val="en-US" w:eastAsia="zh-CN"/>
        </w:rPr>
        <w:t>2.</w:t>
      </w:r>
      <w:r>
        <w:rPr>
          <w:rFonts w:hint="eastAsia" w:ascii="仿宋_GB2312" w:hAnsi="仿宋_GB2312" w:eastAsia="仿宋_GB2312" w:cs="仿宋_GB2312"/>
          <w:snapToGrid w:val="0"/>
          <w:kern w:val="0"/>
        </w:rPr>
        <w:t>建筑面积在</w:t>
      </w:r>
      <w:r>
        <w:rPr>
          <w:rFonts w:hint="eastAsia" w:ascii="仿宋_GB2312" w:hAnsi="仿宋_GB2312" w:eastAsia="仿宋_GB2312" w:cs="仿宋_GB2312"/>
          <w:snapToGrid w:val="0"/>
          <w:color w:val="000000"/>
          <w:kern w:val="0"/>
          <w:lang w:val="en-US" w:eastAsia="zh-CN"/>
        </w:rPr>
        <w:t>1</w:t>
      </w:r>
      <w:r>
        <w:rPr>
          <w:rFonts w:hint="eastAsia" w:ascii="仿宋_GB2312" w:hAnsi="仿宋_GB2312" w:eastAsia="仿宋_GB2312" w:cs="仿宋_GB2312"/>
          <w:snapToGrid w:val="0"/>
          <w:color w:val="000000"/>
          <w:kern w:val="0"/>
        </w:rPr>
        <w:t>000</w:t>
      </w:r>
      <w:r>
        <w:rPr>
          <w:rFonts w:hint="eastAsia" w:ascii="仿宋_GB2312" w:hAnsi="仿宋_GB2312" w:eastAsia="仿宋_GB2312" w:cs="仿宋_GB2312"/>
          <w:snapToGrid w:val="0"/>
          <w:kern w:val="0"/>
        </w:rPr>
        <w:t>平方米以上的室内冰雪活动场所；</w:t>
      </w:r>
    </w:p>
    <w:p w14:paraId="10DD6B93">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lang w:val="en-US" w:eastAsia="zh-CN"/>
        </w:rPr>
        <w:t>3.</w:t>
      </w:r>
      <w:r>
        <w:rPr>
          <w:rFonts w:hint="eastAsia" w:ascii="仿宋_GB2312" w:hAnsi="仿宋_GB2312" w:eastAsia="仿宋_GB2312" w:cs="仿宋_GB2312"/>
          <w:snapToGrid w:val="0"/>
          <w:kern w:val="0"/>
        </w:rPr>
        <w:t>住宿床位在</w:t>
      </w:r>
      <w:r>
        <w:rPr>
          <w:rFonts w:hint="eastAsia" w:ascii="仿宋_GB2312" w:hAnsi="仿宋_GB2312" w:eastAsia="仿宋_GB2312" w:cs="仿宋_GB2312"/>
          <w:snapToGrid w:val="0"/>
          <w:color w:val="000000"/>
          <w:kern w:val="0"/>
          <w:lang w:val="en-US" w:eastAsia="zh-CN"/>
        </w:rPr>
        <w:t>50</w:t>
      </w:r>
      <w:r>
        <w:rPr>
          <w:rFonts w:hint="eastAsia" w:ascii="仿宋_GB2312" w:hAnsi="仿宋_GB2312" w:eastAsia="仿宋_GB2312" w:cs="仿宋_GB2312"/>
          <w:snapToGrid w:val="0"/>
          <w:kern w:val="0"/>
        </w:rPr>
        <w:t>张以上的月子中心等孕婴服务场所；</w:t>
      </w:r>
    </w:p>
    <w:p w14:paraId="45ED9578">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lang w:val="en-US" w:eastAsia="zh-CN"/>
        </w:rPr>
        <w:t>4.</w:t>
      </w:r>
      <w:r>
        <w:rPr>
          <w:rFonts w:hint="eastAsia" w:ascii="仿宋_GB2312" w:hAnsi="仿宋_GB2312" w:eastAsia="仿宋_GB2312" w:cs="仿宋_GB2312"/>
          <w:snapToGrid w:val="0"/>
          <w:kern w:val="0"/>
        </w:rPr>
        <w:t>存储型物流建筑</w:t>
      </w:r>
      <w:r>
        <w:rPr>
          <w:rFonts w:hint="eastAsia" w:ascii="仿宋_GB2312" w:hAnsi="仿宋_GB2312" w:eastAsia="仿宋_GB2312" w:cs="仿宋_GB2312"/>
          <w:snapToGrid w:val="0"/>
          <w:color w:val="000000"/>
          <w:kern w:val="0"/>
        </w:rPr>
        <w:t>单体面积在</w:t>
      </w:r>
      <w:r>
        <w:rPr>
          <w:rFonts w:hint="eastAsia" w:ascii="仿宋_GB2312" w:hAnsi="仿宋_GB2312" w:eastAsia="仿宋_GB2312" w:cs="仿宋_GB2312"/>
          <w:snapToGrid w:val="0"/>
          <w:color w:val="000000"/>
          <w:kern w:val="0"/>
          <w:lang w:val="en-US" w:eastAsia="zh-CN"/>
        </w:rPr>
        <w:t>5000</w:t>
      </w:r>
      <w:r>
        <w:rPr>
          <w:rFonts w:hint="eastAsia" w:ascii="仿宋_GB2312" w:hAnsi="仿宋_GB2312" w:eastAsia="仿宋_GB2312" w:cs="仿宋_GB2312"/>
          <w:snapToGrid w:val="0"/>
          <w:color w:val="000000"/>
          <w:kern w:val="0"/>
        </w:rPr>
        <w:t>平方米以上，</w:t>
      </w:r>
      <w:r>
        <w:rPr>
          <w:rFonts w:hint="eastAsia" w:ascii="仿宋_GB2312" w:hAnsi="仿宋_GB2312" w:eastAsia="仿宋_GB2312" w:cs="仿宋_GB2312"/>
          <w:snapToGrid w:val="0"/>
          <w:kern w:val="0"/>
        </w:rPr>
        <w:t>作业型物流建筑、综合型物流建筑</w:t>
      </w:r>
      <w:r>
        <w:rPr>
          <w:rFonts w:hint="eastAsia" w:ascii="仿宋_GB2312" w:hAnsi="仿宋_GB2312" w:eastAsia="仿宋_GB2312" w:cs="仿宋_GB2312"/>
          <w:snapToGrid w:val="0"/>
          <w:color w:val="000000"/>
          <w:kern w:val="0"/>
        </w:rPr>
        <w:t>单体面积在</w:t>
      </w:r>
      <w:r>
        <w:rPr>
          <w:rFonts w:hint="eastAsia" w:ascii="仿宋_GB2312" w:hAnsi="仿宋_GB2312" w:eastAsia="仿宋_GB2312" w:cs="仿宋_GB2312"/>
          <w:snapToGrid w:val="0"/>
          <w:color w:val="000000"/>
          <w:kern w:val="0"/>
          <w:lang w:val="en-US" w:eastAsia="zh-CN"/>
        </w:rPr>
        <w:t>1</w:t>
      </w:r>
      <w:r>
        <w:rPr>
          <w:rFonts w:hint="eastAsia" w:ascii="仿宋_GB2312" w:hAnsi="仿宋_GB2312" w:eastAsia="仿宋_GB2312" w:cs="仿宋_GB2312"/>
          <w:snapToGrid w:val="0"/>
          <w:color w:val="000000"/>
          <w:kern w:val="0"/>
        </w:rPr>
        <w:t>0000平方米以上</w:t>
      </w:r>
      <w:r>
        <w:rPr>
          <w:rFonts w:hint="eastAsia" w:ascii="仿宋_GB2312" w:hAnsi="仿宋_GB2312" w:eastAsia="仿宋_GB2312" w:cs="仿宋_GB2312"/>
          <w:snapToGrid w:val="0"/>
          <w:kern w:val="0"/>
        </w:rPr>
        <w:t>的企业。</w:t>
      </w:r>
    </w:p>
    <w:p w14:paraId="4A4B0507">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楷体" w:hAnsi="楷体" w:eastAsia="楷体" w:cs="楷体"/>
          <w:snapToGrid w:val="0"/>
          <w:color w:val="000000"/>
          <w:kern w:val="0"/>
          <w:shd w:val="clear" w:color="auto" w:fill="FFFFFF"/>
        </w:rPr>
      </w:pPr>
      <w:r>
        <w:rPr>
          <w:rFonts w:hint="eastAsia" w:ascii="楷体" w:hAnsi="楷体" w:eastAsia="楷体" w:cs="楷体"/>
          <w:snapToGrid w:val="0"/>
          <w:color w:val="000000"/>
          <w:kern w:val="0"/>
          <w:shd w:val="clear" w:color="auto" w:fill="FFFFFF"/>
          <w:lang w:eastAsia="zh-CN"/>
        </w:rPr>
        <w:t>（</w:t>
      </w:r>
      <w:r>
        <w:rPr>
          <w:rFonts w:hint="eastAsia" w:ascii="楷体" w:hAnsi="楷体" w:eastAsia="楷体" w:cs="楷体"/>
          <w:snapToGrid w:val="0"/>
          <w:color w:val="000000"/>
          <w:kern w:val="0"/>
          <w:shd w:val="clear" w:color="auto" w:fill="FFFFFF"/>
          <w:lang w:val="en-US" w:eastAsia="zh-CN"/>
        </w:rPr>
        <w:t>十四</w:t>
      </w:r>
      <w:r>
        <w:rPr>
          <w:rFonts w:hint="eastAsia" w:ascii="楷体" w:hAnsi="楷体" w:eastAsia="楷体" w:cs="楷体"/>
          <w:snapToGrid w:val="0"/>
          <w:color w:val="000000"/>
          <w:kern w:val="0"/>
          <w:shd w:val="clear" w:color="auto" w:fill="FFFFFF"/>
          <w:lang w:eastAsia="zh-CN"/>
        </w:rPr>
        <w:t>）</w:t>
      </w:r>
      <w:r>
        <w:rPr>
          <w:rFonts w:hint="eastAsia" w:ascii="楷体" w:hAnsi="楷体" w:eastAsia="楷体" w:cs="楷体"/>
          <w:snapToGrid w:val="0"/>
          <w:color w:val="000000"/>
          <w:kern w:val="0"/>
          <w:shd w:val="clear" w:color="auto" w:fill="FFFFFF"/>
        </w:rPr>
        <w:t>其他需要县级消防救援机构认定为二级消防安全重点单位的</w:t>
      </w:r>
    </w:p>
    <w:p w14:paraId="190A0227">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黑体" w:hAnsi="黑体" w:eastAsia="黑体" w:cs="黑体"/>
          <w:snapToGrid w:val="0"/>
          <w:color w:val="000000"/>
          <w:kern w:val="0"/>
          <w:shd w:val="clear" w:color="auto" w:fill="FFFFFF"/>
        </w:rPr>
      </w:pPr>
      <w:r>
        <w:rPr>
          <w:rFonts w:hint="eastAsia" w:ascii="黑体" w:hAnsi="黑体" w:eastAsia="黑体" w:cs="黑体"/>
          <w:snapToGrid w:val="0"/>
          <w:color w:val="000000"/>
          <w:kern w:val="0"/>
          <w:shd w:val="clear" w:color="auto" w:fill="FFFFFF"/>
        </w:rPr>
        <w:t>三、三级消防安全重点单位（公安派出所列管）</w:t>
      </w:r>
    </w:p>
    <w:p w14:paraId="1D46042D">
      <w:pPr>
        <w:keepNext w:val="0"/>
        <w:keepLines w:val="0"/>
        <w:pageBreakBefore w:val="0"/>
        <w:kinsoku/>
        <w:wordWrap/>
        <w:overflowPunct/>
        <w:autoSpaceDE/>
        <w:autoSpaceDN/>
        <w:bidi w:val="0"/>
        <w:adjustRightInd/>
        <w:snapToGrid/>
        <w:spacing w:line="560" w:lineRule="exact"/>
        <w:ind w:firstLine="640" w:firstLineChars="200"/>
        <w:textAlignment w:val="auto"/>
        <w:rPr>
          <w:rFonts w:hint="eastAsia" w:ascii="楷体" w:hAnsi="楷体" w:eastAsia="楷体" w:cs="楷体"/>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（一）本辖区内同时满足下列条件的单位和场所</w:t>
      </w:r>
    </w:p>
    <w:p w14:paraId="15455212">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1.符合《河南省消防安全重点单位界定标准》；</w:t>
      </w:r>
    </w:p>
    <w:p w14:paraId="3173B0C7">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2.不符合一级消防安全界定标准和二级消防安全界定标准；</w:t>
      </w:r>
    </w:p>
    <w:p w14:paraId="5B61DB02">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3.设有自动消防设施且功能复杂的社会单位不得列为三级消防安全重点单位。</w:t>
      </w:r>
    </w:p>
    <w:p w14:paraId="10AE5EB8">
      <w:pPr>
        <w:keepNext w:val="0"/>
        <w:keepLines w:val="0"/>
        <w:pageBreakBefore w:val="0"/>
        <w:kinsoku/>
        <w:wordWrap/>
        <w:overflowPunct/>
        <w:autoSpaceDE/>
        <w:autoSpaceDN/>
        <w:bidi w:val="0"/>
        <w:adjustRightInd/>
        <w:snapToGrid/>
        <w:spacing w:line="560" w:lineRule="exact"/>
        <w:ind w:firstLine="640" w:firstLineChars="200"/>
        <w:textAlignment w:val="auto"/>
        <w:rPr>
          <w:rFonts w:hint="default" w:ascii="Times New Roman" w:hAnsi="Times New Roman" w:eastAsia="方正楷体_GBK" w:cs="Times New Roman"/>
          <w:snapToGrid w:val="0"/>
          <w:color w:val="000000"/>
          <w:kern w:val="0"/>
          <w:shd w:val="clear" w:color="auto" w:fill="FFFFFF"/>
        </w:rPr>
      </w:pPr>
      <w:r>
        <w:rPr>
          <w:rFonts w:hint="eastAsia" w:ascii="楷体" w:hAnsi="楷体" w:eastAsia="楷体" w:cs="楷体"/>
          <w:snapToGrid w:val="0"/>
          <w:color w:val="000000"/>
          <w:kern w:val="0"/>
          <w:shd w:val="clear" w:color="auto" w:fill="FFFFFF"/>
        </w:rPr>
        <w:t>（二）其他发生火灾可能性较大以及一旦发生火灾可能造成人身重大伤亡或者财产重大损失的单位和需要公安机关认定为三级消防安全重点单位的</w:t>
      </w:r>
    </w:p>
    <w:p w14:paraId="73EF2E33">
      <w:pPr>
        <w:keepNext w:val="0"/>
        <w:keepLines w:val="0"/>
        <w:pageBreakBefore w:val="0"/>
        <w:kinsoku/>
        <w:wordWrap/>
        <w:overflowPunct/>
        <w:autoSpaceDE/>
        <w:autoSpaceDN/>
        <w:bidi w:val="0"/>
        <w:adjustRightInd/>
        <w:snapToGrid/>
        <w:spacing w:line="560" w:lineRule="exact"/>
        <w:textAlignment w:val="auto"/>
        <w:rPr>
          <w:rFonts w:hint="default" w:ascii="Times New Roman" w:hAnsi="Times New Roman" w:eastAsia="方正黑体_GBK" w:cs="Times New Roman"/>
          <w:snapToGrid w:val="0"/>
          <w:kern w:val="0"/>
          <w:shd w:val="clear" w:color="auto" w:fill="FFFFFF"/>
        </w:rPr>
      </w:pPr>
    </w:p>
    <w:p w14:paraId="0ADA110E">
      <w:pPr>
        <w:keepNext w:val="0"/>
        <w:keepLines w:val="0"/>
        <w:pageBreakBefore w:val="0"/>
        <w:kinsoku/>
        <w:wordWrap/>
        <w:overflowPunct/>
        <w:autoSpaceDE/>
        <w:autoSpaceDN/>
        <w:bidi w:val="0"/>
        <w:adjustRightInd/>
        <w:snapToGrid/>
        <w:spacing w:line="560" w:lineRule="exact"/>
        <w:textAlignment w:val="auto"/>
        <w:rPr>
          <w:rFonts w:hint="default" w:ascii="Times New Roman" w:hAnsi="Times New Roman" w:eastAsia="方正黑体_GBK" w:cs="Times New Roman"/>
          <w:snapToGrid w:val="0"/>
          <w:kern w:val="0"/>
          <w:shd w:val="clear" w:color="auto" w:fill="FFFFFF"/>
        </w:rPr>
      </w:pPr>
      <w:r>
        <w:rPr>
          <w:rFonts w:hint="default" w:ascii="Times New Roman" w:hAnsi="Times New Roman" w:eastAsia="方正黑体_GBK" w:cs="Times New Roman"/>
          <w:snapToGrid w:val="0"/>
          <w:kern w:val="0"/>
          <w:shd w:val="clear" w:color="auto" w:fill="FFFFFF"/>
        </w:rPr>
        <w:t>说明：</w:t>
      </w:r>
    </w:p>
    <w:p w14:paraId="6E252178">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1.对于符合三级消防安全重点单位标准的单位，如果设有自动消防设施且功能复杂同时设有独立消防控制室，应列为二级消防安全重点单位。</w:t>
      </w:r>
    </w:p>
    <w:p w14:paraId="6E63584F">
      <w:pPr>
        <w:keepNext w:val="0"/>
        <w:keepLines w:val="0"/>
        <w:pageBreakBefore w:val="0"/>
        <w:widowControl/>
        <w:kinsoku/>
        <w:wordWrap/>
        <w:overflowPunct/>
        <w:topLinePunct/>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kern w:val="0"/>
        </w:rPr>
      </w:pPr>
      <w:r>
        <w:rPr>
          <w:rFonts w:hint="eastAsia" w:ascii="仿宋_GB2312" w:hAnsi="仿宋_GB2312" w:eastAsia="仿宋_GB2312" w:cs="仿宋_GB2312"/>
          <w:snapToGrid w:val="0"/>
          <w:kern w:val="0"/>
        </w:rPr>
        <w:t>2.在一个符合界定标准的单位或建筑物内另有符合界定标准而法人不同的单位，可分别算为消防安全重点单位，法人相同但多家承包</w:t>
      </w:r>
      <w:r>
        <w:rPr>
          <w:rFonts w:hint="eastAsia" w:ascii="仿宋_GB2312" w:hAnsi="仿宋_GB2312" w:eastAsia="仿宋_GB2312" w:cs="仿宋_GB2312"/>
          <w:snapToGrid w:val="0"/>
          <w:kern w:val="0"/>
          <w:lang w:eastAsia="zh-CN"/>
        </w:rPr>
        <w:t>，</w:t>
      </w:r>
      <w:r>
        <w:rPr>
          <w:rFonts w:hint="eastAsia" w:ascii="仿宋_GB2312" w:hAnsi="仿宋_GB2312" w:eastAsia="仿宋_GB2312" w:cs="仿宋_GB2312"/>
          <w:snapToGrid w:val="0"/>
          <w:kern w:val="0"/>
        </w:rPr>
        <w:t>租赁的可算为一个消防安全重点单位。</w:t>
      </w:r>
    </w:p>
    <w:p w14:paraId="13968252"/>
    <w:p w14:paraId="485929CA">
      <w:pPr>
        <w:spacing w:line="560" w:lineRule="exact"/>
        <w:jc w:val="center"/>
        <w:rPr>
          <w:rFonts w:hint="default" w:ascii="Times New Roman" w:hAnsi="Times New Roman" w:eastAsia="方正小标宋简体" w:cs="Times New Roman"/>
          <w:sz w:val="44"/>
          <w:szCs w:val="44"/>
        </w:rPr>
      </w:pPr>
    </w:p>
    <w:p w14:paraId="2B98D8F8">
      <w:pPr>
        <w:spacing w:line="560" w:lineRule="exact"/>
        <w:jc w:val="center"/>
        <w:rPr>
          <w:rFonts w:hint="default" w:ascii="Times New Roman" w:hAnsi="Times New Roman" w:eastAsia="方正小标宋简体" w:cs="Times New Roman"/>
          <w:sz w:val="44"/>
          <w:szCs w:val="44"/>
        </w:rPr>
      </w:pPr>
    </w:p>
    <w:p w14:paraId="451FB636">
      <w:pPr>
        <w:spacing w:line="560" w:lineRule="exact"/>
        <w:jc w:val="center"/>
        <w:rPr>
          <w:rFonts w:hint="default" w:ascii="Times New Roman" w:hAnsi="Times New Roman" w:eastAsia="方正小标宋简体" w:cs="Times New Roman"/>
          <w:sz w:val="44"/>
          <w:szCs w:val="44"/>
        </w:rPr>
      </w:pPr>
    </w:p>
    <w:p w14:paraId="19060591">
      <w:pPr>
        <w:spacing w:line="560" w:lineRule="exact"/>
        <w:jc w:val="left"/>
        <w:rPr>
          <w:rFonts w:hint="eastAsia" w:ascii="黑体" w:hAnsi="黑体" w:eastAsia="黑体" w:cs="黑体"/>
          <w:sz w:val="44"/>
          <w:szCs w:val="44"/>
        </w:rPr>
      </w:pPr>
      <w:r>
        <w:rPr>
          <w:rFonts w:hint="eastAsia" w:ascii="黑体" w:hAnsi="黑体" w:eastAsia="黑体" w:cs="黑体"/>
          <w:bCs/>
        </w:rPr>
        <w:t>附</w:t>
      </w:r>
      <w:r>
        <w:rPr>
          <w:rFonts w:hint="eastAsia" w:ascii="黑体" w:hAnsi="黑体" w:eastAsia="黑体" w:cs="黑体"/>
          <w:bCs/>
          <w:lang w:val="en-US" w:eastAsia="zh-CN"/>
        </w:rPr>
        <w:t xml:space="preserve"> </w:t>
      </w:r>
      <w:r>
        <w:rPr>
          <w:rFonts w:hint="eastAsia" w:ascii="黑体" w:hAnsi="黑体" w:eastAsia="黑体" w:cs="黑体"/>
          <w:bCs/>
        </w:rPr>
        <w:t>件4</w:t>
      </w:r>
    </w:p>
    <w:p w14:paraId="05B37A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河南省火灾高危单位消防安全管理规定</w:t>
      </w:r>
    </w:p>
    <w:p w14:paraId="501F7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《河南省火灾高危单位消防安全管理规定》中所称火灾高危单位，是指在本省行政区域内具备以下任一项条件的单位和场所：</w:t>
      </w:r>
    </w:p>
    <w:p w14:paraId="0297A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（一）单层建筑面积超过1万平方米或者建筑总面积超过3万平方米、经营易燃可燃物品的商场；</w:t>
      </w:r>
    </w:p>
    <w:p w14:paraId="36BF91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（二）位于建筑的首层、二层、三层且建筑总面积超过 5000平方米，位于建筑的首层以下或者四层以上建筑总面积超过 2000平方米的公共娱乐场所；</w:t>
      </w:r>
    </w:p>
    <w:p w14:paraId="07B1B3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（三）总储量超过1万立方米的甲、乙类可燃气体和总储量超过3万立方米的甲、乙类易燃液体的生产、充装、储存、销售单位；</w:t>
      </w:r>
    </w:p>
    <w:p w14:paraId="25B29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（四）建筑高度超过 100米的高层公共建筑；</w:t>
      </w:r>
    </w:p>
    <w:p w14:paraId="27514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（五）建筑总面积超过 4000平方米的地下公众聚集场所；</w:t>
      </w:r>
    </w:p>
    <w:p w14:paraId="5038A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（六）生产可燃易燃物品且单个生产加工车间建筑面积超过2500平方米的劳动密集型企业；</w:t>
      </w:r>
    </w:p>
    <w:p w14:paraId="58AAE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（七）其他发生火灾易造成重大人员伤亡或者财产损失的单位和场所。</w:t>
      </w:r>
    </w:p>
    <w:p w14:paraId="25D7C9FF">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99A1B">
    <w:pPr>
      <w:pStyle w:val="3"/>
      <w:jc w:val="right"/>
      <w:rPr>
        <w:rFonts w:asci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A78107">
                          <w:pPr>
                            <w:keepNext w:val="0"/>
                            <w:keepLines w:val="0"/>
                            <w:pageBreakBefore w:val="0"/>
                            <w:widowControl w:val="0"/>
                            <w:kinsoku/>
                            <w:wordWrap/>
                            <w:overflowPunct/>
                            <w:topLinePunct w:val="0"/>
                            <w:bidi w:val="0"/>
                            <w:adjustRightInd/>
                            <w:snapToGrid/>
                            <w:ind w:left="320" w:leftChars="100" w:right="320" w:rightChars="100"/>
                            <w:textAlignment w:val="auto"/>
                            <w:rPr>
                              <w:rFonts w:ascii="Times New Roman" w:cs="Times New Roman"/>
                              <w:sz w:val="28"/>
                              <w:szCs w:val="28"/>
                            </w:rPr>
                          </w:pPr>
                          <w:r>
                            <w:rPr>
                              <w:rFonts w:ascii="Times New Roman" w:cs="Times New Roman"/>
                              <w:sz w:val="28"/>
                              <w:szCs w:val="28"/>
                            </w:rPr>
                            <w:t xml:space="preserve">— </w:t>
                          </w:r>
                          <w:r>
                            <w:rPr>
                              <w:rFonts w:ascii="Times New Roman" w:cs="Times New Roman"/>
                              <w:sz w:val="28"/>
                              <w:szCs w:val="28"/>
                            </w:rPr>
                            <w:fldChar w:fldCharType="begin"/>
                          </w:r>
                          <w:r>
                            <w:rPr>
                              <w:rFonts w:ascii="Times New Roman" w:cs="Times New Roman"/>
                              <w:sz w:val="28"/>
                              <w:szCs w:val="28"/>
                            </w:rPr>
                            <w:instrText xml:space="preserve"> PAGE  \* MERGEFORMAT </w:instrText>
                          </w:r>
                          <w:r>
                            <w:rPr>
                              <w:rFonts w:ascii="Times New Roman" w:cs="Times New Roman"/>
                              <w:sz w:val="28"/>
                              <w:szCs w:val="28"/>
                            </w:rPr>
                            <w:fldChar w:fldCharType="separate"/>
                          </w:r>
                          <w:r>
                            <w:rPr>
                              <w:rFonts w:ascii="Times New Roman" w:cs="Times New Roman"/>
                              <w:sz w:val="28"/>
                              <w:szCs w:val="28"/>
                            </w:rPr>
                            <w:t>1</w:t>
                          </w:r>
                          <w:r>
                            <w:rPr>
                              <w:rFonts w:ascii="Times New Roman" w:cs="Times New Roman"/>
                              <w:sz w:val="28"/>
                              <w:szCs w:val="28"/>
                            </w:rPr>
                            <w:fldChar w:fldCharType="end"/>
                          </w:r>
                          <w:r>
                            <w:rPr>
                              <w:rFonts w:asci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7FA78107">
                    <w:pPr>
                      <w:keepNext w:val="0"/>
                      <w:keepLines w:val="0"/>
                      <w:pageBreakBefore w:val="0"/>
                      <w:widowControl w:val="0"/>
                      <w:kinsoku/>
                      <w:wordWrap/>
                      <w:overflowPunct/>
                      <w:topLinePunct w:val="0"/>
                      <w:bidi w:val="0"/>
                      <w:adjustRightInd/>
                      <w:snapToGrid/>
                      <w:ind w:left="320" w:leftChars="100" w:right="320" w:rightChars="100"/>
                      <w:textAlignment w:val="auto"/>
                      <w:rPr>
                        <w:rFonts w:ascii="Times New Roman" w:cs="Times New Roman"/>
                        <w:sz w:val="28"/>
                        <w:szCs w:val="28"/>
                      </w:rPr>
                    </w:pPr>
                    <w:r>
                      <w:rPr>
                        <w:rFonts w:ascii="Times New Roman" w:cs="Times New Roman"/>
                        <w:sz w:val="28"/>
                        <w:szCs w:val="28"/>
                      </w:rPr>
                      <w:t xml:space="preserve">— </w:t>
                    </w:r>
                    <w:r>
                      <w:rPr>
                        <w:rFonts w:ascii="Times New Roman" w:cs="Times New Roman"/>
                        <w:sz w:val="28"/>
                        <w:szCs w:val="28"/>
                      </w:rPr>
                      <w:fldChar w:fldCharType="begin"/>
                    </w:r>
                    <w:r>
                      <w:rPr>
                        <w:rFonts w:ascii="Times New Roman" w:cs="Times New Roman"/>
                        <w:sz w:val="28"/>
                        <w:szCs w:val="28"/>
                      </w:rPr>
                      <w:instrText xml:space="preserve"> PAGE  \* MERGEFORMAT </w:instrText>
                    </w:r>
                    <w:r>
                      <w:rPr>
                        <w:rFonts w:ascii="Times New Roman" w:cs="Times New Roman"/>
                        <w:sz w:val="28"/>
                        <w:szCs w:val="28"/>
                      </w:rPr>
                      <w:fldChar w:fldCharType="separate"/>
                    </w:r>
                    <w:r>
                      <w:rPr>
                        <w:rFonts w:ascii="Times New Roman" w:cs="Times New Roman"/>
                        <w:sz w:val="28"/>
                        <w:szCs w:val="28"/>
                      </w:rPr>
                      <w:t>1</w:t>
                    </w:r>
                    <w:r>
                      <w:rPr>
                        <w:rFonts w:ascii="Times New Roman" w:cs="Times New Roman"/>
                        <w:sz w:val="28"/>
                        <w:szCs w:val="28"/>
                      </w:rPr>
                      <w:fldChar w:fldCharType="end"/>
                    </w:r>
                    <w:r>
                      <w:rPr>
                        <w:rFonts w:asci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C16EC">
    <w:pPr>
      <w:pStyle w:val="3"/>
      <w:rPr>
        <w:rFonts w:ascii="Times New Roman" w:cs="Times New Roman"/>
        <w:sz w:val="28"/>
        <w:szCs w:val="28"/>
      </w:rPr>
    </w:pPr>
    <w:r>
      <w:rPr>
        <w:rFonts w:ascii="Times New Roman" w:cs="Times New Roman"/>
        <w:sz w:val="28"/>
        <w:szCs w:val="28"/>
      </w:rPr>
      <w:t>—</w:t>
    </w:r>
    <w:r>
      <w:rPr>
        <w:rFonts w:ascii="Times New Roman" w:cs="Times New Roman"/>
        <w:sz w:val="28"/>
        <w:szCs w:val="28"/>
      </w:rPr>
      <w:fldChar w:fldCharType="begin"/>
    </w:r>
    <w:r>
      <w:rPr>
        <w:rFonts w:ascii="Times New Roman" w:cs="Times New Roman"/>
        <w:sz w:val="28"/>
        <w:szCs w:val="28"/>
      </w:rPr>
      <w:instrText xml:space="preserve">PAGE   \* MERGEFORMAT</w:instrText>
    </w:r>
    <w:r>
      <w:rPr>
        <w:rFonts w:ascii="Times New Roman" w:cs="Times New Roman"/>
        <w:sz w:val="28"/>
        <w:szCs w:val="28"/>
      </w:rPr>
      <w:fldChar w:fldCharType="separate"/>
    </w:r>
    <w:r>
      <w:rPr>
        <w:rFonts w:ascii="Times New Roman" w:cs="Times New Roman"/>
        <w:sz w:val="28"/>
        <w:szCs w:val="28"/>
        <w:lang w:val="zh-CN"/>
      </w:rPr>
      <w:t>-</w:t>
    </w:r>
    <w:r>
      <w:rPr>
        <w:rFonts w:ascii="Times New Roman" w:cs="Times New Roman"/>
        <w:sz w:val="28"/>
        <w:szCs w:val="28"/>
      </w:rPr>
      <w:t xml:space="preserve"> 16 -</w:t>
    </w:r>
    <w:r>
      <w:rPr>
        <w:rFonts w:ascii="Times New Roman" w:cs="Times New Roman"/>
        <w:sz w:val="28"/>
        <w:szCs w:val="28"/>
      </w:rPr>
      <w:fldChar w:fldCharType="end"/>
    </w:r>
    <w:r>
      <w:rPr>
        <w:rFonts w:asci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0138"/>
    <w:rsid w:val="074A1D85"/>
    <w:rsid w:val="1E1B7B7F"/>
    <w:rsid w:val="219E6AFD"/>
    <w:rsid w:val="225034AE"/>
    <w:rsid w:val="2A6428AE"/>
    <w:rsid w:val="2E1C5084"/>
    <w:rsid w:val="307D1FD3"/>
    <w:rsid w:val="30C96BC4"/>
    <w:rsid w:val="34190265"/>
    <w:rsid w:val="40041DC9"/>
    <w:rsid w:val="47FD3CCE"/>
    <w:rsid w:val="54041F40"/>
    <w:rsid w:val="54E9167D"/>
    <w:rsid w:val="5BFB3A36"/>
    <w:rsid w:val="6ABB1D08"/>
    <w:rsid w:val="6FE78E86"/>
    <w:rsid w:val="AEFF30A8"/>
    <w:rsid w:val="FB7F9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40" w:firstLineChars="200"/>
    </w:pPr>
    <w:rPr>
      <w:rFonts w:hAnsi="宋体" w:cs="Times New Roman"/>
      <w:szCs w:val="24"/>
    </w:rPr>
  </w:style>
  <w:style w:type="paragraph" w:styleId="3">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5503</Words>
  <Characters>5806</Characters>
  <Lines>0</Lines>
  <Paragraphs>0</Paragraphs>
  <TotalTime>316</TotalTime>
  <ScaleCrop>false</ScaleCrop>
  <LinksUpToDate>false</LinksUpToDate>
  <CharactersWithSpaces>5905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2026-03-07T09:43:00Z</dcterms:created>
  <dc:creator>Administrator</dc:creator>
  <cp:lastModifiedBy>administrator</cp:lastModifiedBy>
  <cp:lastPrinted>2026-03-11T09:11:00Z</cp:lastPrinted>
  <dcterms:modified xsi:type="dcterms:W3CDTF">2026-03-25T17:27:06Z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eyJoZGlkIjoiZGM3ZTY1NjEyZTA5MGZkZjA3NTFmYzYxMzIxMzJjOTMiLCJ1c2VySWQiOiIzNzEwMTk2NjIifQ==</vt:lpwstr>
  </property>
  <property fmtid="{D5CDD505-2E9C-101B-9397-08002B2CF9AE}" pid="4" name="ICV">
    <vt:lpwstr>CE06AA0BF5B34BD1AC7CC2B97F63240D_12</vt:lpwstr>
  </property>
</Properties>
</file>