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2"/>
        <w:tblpPr w:leftFromText="180" w:rightFromText="180" w:vertAnchor="page" w:horzAnchor="page" w:tblpXSpec="center" w:tblpY="1424"/>
        <w:tblOverlap w:val="never"/>
        <w:tblW w:w="0" w:type="auto"/>
        <w:jc w:val="center"/>
        <w:tblLayout w:type="fixed"/>
        <w:tblCellMar>
          <w:top w:w="0" w:type="dxa"/>
          <w:left w:w="108" w:type="dxa"/>
          <w:bottom w:w="0" w:type="dxa"/>
          <w:right w:w="108" w:type="dxa"/>
        </w:tblCellMar>
      </w:tblPr>
      <w:tblGrid>
        <w:gridCol w:w="2714"/>
        <w:gridCol w:w="6056"/>
        <w:gridCol w:w="240"/>
      </w:tblGrid>
      <w:tr>
        <w:tblPrEx>
          <w:tblCellMar>
            <w:top w:w="0" w:type="dxa"/>
            <w:left w:w="108" w:type="dxa"/>
            <w:bottom w:w="0" w:type="dxa"/>
            <w:right w:w="108" w:type="dxa"/>
          </w:tblCellMar>
        </w:tblPrEx>
        <w:trPr>
          <w:trHeight w:val="1988" w:hRule="atLeast"/>
          <w:jc w:val="center"/>
        </w:trPr>
        <w:tc>
          <w:tcPr>
            <w:tcW w:w="9010" w:type="dxa"/>
            <w:gridSpan w:val="3"/>
            <w:noWrap w:val="0"/>
            <w:vAlign w:val="center"/>
          </w:tcPr>
          <w:p>
            <w:pPr>
              <w:keepNext w:val="0"/>
              <w:keepLines w:val="0"/>
              <w:suppressLineNumbers w:val="0"/>
              <w:spacing w:before="0" w:beforeAutospacing="0" w:after="0" w:afterAutospacing="0"/>
              <w:ind w:left="0" w:right="0"/>
              <w:rPr>
                <w:rFonts w:hint="eastAsia" w:eastAsia="宋体"/>
                <w:color w:val="auto"/>
                <w:sz w:val="20"/>
                <w:lang w:val="en-US" w:eastAsia="zh-CN"/>
              </w:rPr>
            </w:pPr>
            <w:r>
              <w:rPr>
                <w:rFonts w:hint="eastAsia"/>
                <w:color w:val="auto"/>
                <w:sz w:val="20"/>
                <w:lang w:val="en-US" w:eastAsia="zh-CN"/>
              </w:rPr>
              <w:t xml:space="preserve"> </w:t>
            </w:r>
          </w:p>
        </w:tc>
      </w:tr>
      <w:tr>
        <w:tblPrEx>
          <w:tblCellMar>
            <w:top w:w="0" w:type="dxa"/>
            <w:left w:w="108" w:type="dxa"/>
            <w:bottom w:w="0" w:type="dxa"/>
            <w:right w:w="108" w:type="dxa"/>
          </w:tblCellMar>
        </w:tblPrEx>
        <w:trPr>
          <w:trHeight w:val="1475" w:hRule="atLeast"/>
          <w:jc w:val="center"/>
        </w:trPr>
        <w:tc>
          <w:tcPr>
            <w:tcW w:w="9010" w:type="dxa"/>
            <w:gridSpan w:val="3"/>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eastAsia="楷体"/>
                <w:b/>
                <w:color w:val="auto"/>
                <w:szCs w:val="72"/>
              </w:rPr>
            </w:pPr>
            <w:r>
              <w:rPr>
                <w:rFonts w:hint="eastAsia" w:ascii="楷体" w:hAnsi="楷体" w:eastAsia="楷体" w:cs="楷体"/>
                <w:b/>
                <w:bCs/>
                <w:color w:val="auto"/>
                <w:sz w:val="72"/>
                <w:szCs w:val="72"/>
              </w:rPr>
              <w:t>建设项目环境影响报告表</w:t>
            </w:r>
          </w:p>
        </w:tc>
      </w:tr>
      <w:tr>
        <w:tblPrEx>
          <w:tblCellMar>
            <w:top w:w="0" w:type="dxa"/>
            <w:left w:w="108" w:type="dxa"/>
            <w:bottom w:w="0" w:type="dxa"/>
            <w:right w:w="108" w:type="dxa"/>
          </w:tblCellMar>
        </w:tblPrEx>
        <w:trPr>
          <w:trHeight w:val="1148" w:hRule="atLeast"/>
          <w:jc w:val="center"/>
        </w:trPr>
        <w:tc>
          <w:tcPr>
            <w:tcW w:w="9010" w:type="dxa"/>
            <w:gridSpan w:val="3"/>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color w:val="auto"/>
              </w:rPr>
            </w:pPr>
            <w:r>
              <w:rPr>
                <w:color w:val="auto"/>
                <w:sz w:val="36"/>
                <w:szCs w:val="36"/>
              </w:rPr>
              <w:t>（污染影响类）</w:t>
            </w:r>
          </w:p>
        </w:tc>
      </w:tr>
      <w:tr>
        <w:tblPrEx>
          <w:tblCellMar>
            <w:top w:w="0" w:type="dxa"/>
            <w:left w:w="108" w:type="dxa"/>
            <w:bottom w:w="0" w:type="dxa"/>
            <w:right w:w="108" w:type="dxa"/>
          </w:tblCellMar>
        </w:tblPrEx>
        <w:trPr>
          <w:trHeight w:val="2924" w:hRule="atLeast"/>
          <w:jc w:val="center"/>
        </w:trPr>
        <w:tc>
          <w:tcPr>
            <w:tcW w:w="9010" w:type="dxa"/>
            <w:gridSpan w:val="3"/>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textAlignment w:val="auto"/>
              <w:rPr>
                <w:color w:val="auto"/>
              </w:rPr>
            </w:pP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textAlignment w:val="auto"/>
              <w:rPr>
                <w:color w:val="auto"/>
              </w:rPr>
            </w:pP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textAlignment w:val="auto"/>
              <w:rPr>
                <w:color w:val="auto"/>
              </w:rPr>
            </w:pP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textAlignment w:val="auto"/>
              <w:rPr>
                <w:color w:val="auto"/>
              </w:rPr>
            </w:pP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textAlignment w:val="auto"/>
              <w:rPr>
                <w:color w:val="auto"/>
              </w:rPr>
            </w:pP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textAlignment w:val="auto"/>
              <w:rPr>
                <w:color w:val="auto"/>
              </w:rPr>
            </w:pP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textAlignment w:val="auto"/>
              <w:rPr>
                <w:color w:val="auto"/>
              </w:rPr>
            </w:pP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textAlignment w:val="auto"/>
              <w:rPr>
                <w:color w:val="auto"/>
              </w:rPr>
            </w:pPr>
          </w:p>
          <w:p>
            <w:pPr>
              <w:pStyle w:val="2"/>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right="0" w:firstLine="0" w:firstLineChars="0"/>
              <w:textAlignment w:val="auto"/>
              <w:rPr>
                <w:color w:val="auto"/>
              </w:rPr>
            </w:pP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textAlignment w:val="auto"/>
              <w:rPr>
                <w:color w:val="auto"/>
              </w:rPr>
            </w:pPr>
          </w:p>
        </w:tc>
      </w:tr>
      <w:tr>
        <w:tblPrEx>
          <w:tblCellMar>
            <w:top w:w="0" w:type="dxa"/>
            <w:left w:w="108" w:type="dxa"/>
            <w:bottom w:w="0" w:type="dxa"/>
            <w:right w:w="108" w:type="dxa"/>
          </w:tblCellMar>
        </w:tblPrEx>
        <w:trPr>
          <w:trHeight w:val="669" w:hRule="atLeast"/>
          <w:jc w:val="center"/>
        </w:trPr>
        <w:tc>
          <w:tcPr>
            <w:tcW w:w="2714" w:type="dxa"/>
            <w:noWrap w:val="0"/>
            <w:vAlign w:val="top"/>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distribute"/>
              <w:textAlignment w:val="auto"/>
              <w:rPr>
                <w:rFonts w:hint="default"/>
                <w:b/>
                <w:bCs/>
                <w:color w:val="auto"/>
                <w:sz w:val="28"/>
                <w:szCs w:val="28"/>
                <w:lang w:val="en-US"/>
              </w:rPr>
            </w:pPr>
            <w:bookmarkStart w:id="0" w:name="OLE_LINK29" w:colFirst="0" w:colLast="1"/>
            <w:bookmarkStart w:id="1" w:name="OLE_LINK28" w:colFirst="1" w:colLast="1"/>
            <w:r>
              <w:rPr>
                <w:b/>
                <w:bCs/>
                <w:color w:val="auto"/>
                <w:sz w:val="28"/>
                <w:szCs w:val="28"/>
              </w:rPr>
              <w:t>项目名称：</w:t>
            </w:r>
          </w:p>
        </w:tc>
        <w:tc>
          <w:tcPr>
            <w:tcW w:w="6056" w:type="dxa"/>
            <w:noWrap w:val="0"/>
            <w:vAlign w:val="top"/>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both"/>
              <w:textAlignment w:val="auto"/>
              <w:rPr>
                <w:b/>
                <w:bCs/>
                <w:color w:val="auto"/>
                <w:sz w:val="28"/>
                <w:szCs w:val="28"/>
              </w:rPr>
            </w:pPr>
            <w:r>
              <w:rPr>
                <w:rFonts w:hint="eastAsia" w:eastAsia="宋体"/>
                <w:b/>
                <w:bCs/>
                <w:color w:val="auto"/>
                <w:sz w:val="28"/>
                <w:szCs w:val="28"/>
                <w:u w:val="single"/>
                <w:lang w:val="en-US" w:eastAsia="zh-CN"/>
              </w:rPr>
              <w:t xml:space="preserve">    </w:t>
            </w:r>
            <w:r>
              <w:rPr>
                <w:rFonts w:hint="eastAsia"/>
                <w:b/>
                <w:bCs/>
                <w:color w:val="auto"/>
                <w:sz w:val="28"/>
                <w:szCs w:val="28"/>
                <w:u w:val="single"/>
                <w:lang w:val="en-US" w:eastAsia="zh-CN"/>
              </w:rPr>
              <w:t xml:space="preserve">   </w:t>
            </w:r>
            <w:bookmarkStart w:id="2" w:name="OLE_LINK113"/>
            <w:r>
              <w:rPr>
                <w:rFonts w:hint="eastAsia"/>
                <w:b/>
                <w:bCs/>
                <w:color w:val="auto"/>
                <w:sz w:val="28"/>
                <w:szCs w:val="28"/>
                <w:u w:val="single"/>
                <w:lang w:val="en-US" w:eastAsia="zh-CN"/>
              </w:rPr>
              <w:t>绩昌废铅蓄电池回收项目</w:t>
            </w:r>
            <w:bookmarkEnd w:id="2"/>
            <w:r>
              <w:rPr>
                <w:rFonts w:hint="eastAsia" w:eastAsia="宋体"/>
                <w:b/>
                <w:bCs/>
                <w:color w:val="auto"/>
                <w:sz w:val="28"/>
                <w:szCs w:val="28"/>
                <w:u w:val="single"/>
                <w:lang w:val="en-US" w:eastAsia="zh-CN"/>
              </w:rPr>
              <w:t xml:space="preserve">   </w:t>
            </w:r>
            <w:r>
              <w:rPr>
                <w:rFonts w:hint="eastAsia"/>
                <w:b/>
                <w:bCs/>
                <w:color w:val="auto"/>
                <w:sz w:val="28"/>
                <w:szCs w:val="28"/>
                <w:u w:val="single"/>
                <w:lang w:val="en-US" w:eastAsia="zh-CN"/>
              </w:rPr>
              <w:t xml:space="preserve">           </w:t>
            </w:r>
          </w:p>
        </w:tc>
        <w:tc>
          <w:tcPr>
            <w:tcW w:w="240" w:type="dxa"/>
            <w:noWrap w:val="0"/>
            <w:vAlign w:val="bottom"/>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textAlignment w:val="auto"/>
              <w:rPr>
                <w:color w:val="auto"/>
                <w:sz w:val="20"/>
              </w:rPr>
            </w:pPr>
          </w:p>
        </w:tc>
      </w:tr>
      <w:tr>
        <w:tblPrEx>
          <w:tblCellMar>
            <w:top w:w="0" w:type="dxa"/>
            <w:left w:w="108" w:type="dxa"/>
            <w:bottom w:w="0" w:type="dxa"/>
            <w:right w:w="108" w:type="dxa"/>
          </w:tblCellMar>
        </w:tblPrEx>
        <w:trPr>
          <w:trHeight w:val="641" w:hRule="atLeast"/>
          <w:jc w:val="center"/>
        </w:trPr>
        <w:tc>
          <w:tcPr>
            <w:tcW w:w="2714" w:type="dxa"/>
            <w:noWrap w:val="0"/>
            <w:vAlign w:val="top"/>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distribute"/>
              <w:textAlignment w:val="auto"/>
              <w:rPr>
                <w:b/>
                <w:bCs/>
                <w:color w:val="auto"/>
                <w:sz w:val="28"/>
                <w:szCs w:val="28"/>
              </w:rPr>
            </w:pPr>
            <w:r>
              <w:rPr>
                <w:b/>
                <w:bCs/>
                <w:color w:val="auto"/>
                <w:sz w:val="28"/>
                <w:szCs w:val="28"/>
              </w:rPr>
              <w:t>建设单位（盖章）：</w:t>
            </w:r>
          </w:p>
        </w:tc>
        <w:tc>
          <w:tcPr>
            <w:tcW w:w="6056" w:type="dxa"/>
            <w:noWrap w:val="0"/>
            <w:vAlign w:val="top"/>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both"/>
              <w:textAlignment w:val="auto"/>
              <w:rPr>
                <w:b/>
                <w:bCs/>
                <w:color w:val="auto"/>
                <w:sz w:val="28"/>
                <w:szCs w:val="28"/>
              </w:rPr>
            </w:pPr>
            <w:r>
              <w:rPr>
                <w:rFonts w:hint="eastAsia"/>
                <w:b/>
                <w:bCs/>
                <w:color w:val="auto"/>
                <w:sz w:val="28"/>
                <w:szCs w:val="28"/>
                <w:u w:val="single"/>
                <w:lang w:val="en-US" w:eastAsia="zh-CN"/>
              </w:rPr>
              <w:t xml:space="preserve">   新乡市绩昌再生资源回收有限公司</w:t>
            </w:r>
            <w:r>
              <w:rPr>
                <w:rFonts w:hint="eastAsia"/>
                <w:b/>
                <w:bCs/>
                <w:color w:val="auto"/>
                <w:sz w:val="28"/>
                <w:szCs w:val="28"/>
                <w:u w:val="single"/>
              </w:rPr>
              <w:t xml:space="preserve"> </w:t>
            </w:r>
            <w:r>
              <w:rPr>
                <w:rFonts w:hint="eastAsia"/>
                <w:b/>
                <w:bCs/>
                <w:color w:val="auto"/>
                <w:sz w:val="28"/>
                <w:szCs w:val="28"/>
                <w:u w:val="single"/>
                <w:lang w:val="en-US" w:eastAsia="zh-CN"/>
              </w:rPr>
              <w:t xml:space="preserve">   </w:t>
            </w:r>
            <w:r>
              <w:rPr>
                <w:rFonts w:hint="eastAsia"/>
                <w:b/>
                <w:bCs/>
                <w:color w:val="auto"/>
                <w:sz w:val="28"/>
                <w:szCs w:val="28"/>
                <w:u w:val="single"/>
              </w:rPr>
              <w:t xml:space="preserve"> </w:t>
            </w:r>
            <w:bookmarkStart w:id="3" w:name="OLE_LINK3"/>
            <w:r>
              <w:rPr>
                <w:rFonts w:hint="eastAsia"/>
                <w:b/>
                <w:bCs/>
                <w:color w:val="auto"/>
                <w:sz w:val="28"/>
                <w:szCs w:val="28"/>
                <w:u w:val="single"/>
                <w:lang w:val="en-US" w:eastAsia="zh-CN"/>
              </w:rPr>
              <w:t xml:space="preserve">     </w:t>
            </w:r>
            <w:bookmarkEnd w:id="3"/>
            <w:r>
              <w:rPr>
                <w:rFonts w:hint="eastAsia"/>
                <w:b/>
                <w:bCs/>
                <w:color w:val="auto"/>
                <w:sz w:val="28"/>
                <w:szCs w:val="28"/>
                <w:u w:val="single"/>
                <w:lang w:val="en-US" w:eastAsia="zh-CN"/>
              </w:rPr>
              <w:t xml:space="preserve"> </w:t>
            </w:r>
          </w:p>
        </w:tc>
        <w:tc>
          <w:tcPr>
            <w:tcW w:w="240" w:type="dxa"/>
            <w:noWrap w:val="0"/>
            <w:vAlign w:val="bottom"/>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textAlignment w:val="auto"/>
              <w:rPr>
                <w:color w:val="auto"/>
                <w:sz w:val="20"/>
              </w:rPr>
            </w:pPr>
          </w:p>
        </w:tc>
      </w:tr>
      <w:bookmarkEnd w:id="0"/>
      <w:tr>
        <w:tblPrEx>
          <w:tblCellMar>
            <w:top w:w="0" w:type="dxa"/>
            <w:left w:w="108" w:type="dxa"/>
            <w:bottom w:w="0" w:type="dxa"/>
            <w:right w:w="108" w:type="dxa"/>
          </w:tblCellMar>
        </w:tblPrEx>
        <w:trPr>
          <w:trHeight w:val="641" w:hRule="atLeast"/>
          <w:jc w:val="center"/>
        </w:trPr>
        <w:tc>
          <w:tcPr>
            <w:tcW w:w="2714" w:type="dxa"/>
            <w:noWrap w:val="0"/>
            <w:vAlign w:val="top"/>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distribute"/>
              <w:textAlignment w:val="auto"/>
              <w:rPr>
                <w:b/>
                <w:bCs/>
                <w:color w:val="auto"/>
                <w:sz w:val="28"/>
                <w:szCs w:val="28"/>
              </w:rPr>
            </w:pPr>
            <w:r>
              <w:rPr>
                <w:b/>
                <w:bCs/>
                <w:color w:val="auto"/>
                <w:sz w:val="28"/>
                <w:szCs w:val="28"/>
              </w:rPr>
              <w:t>编制日期：</w:t>
            </w:r>
          </w:p>
        </w:tc>
        <w:tc>
          <w:tcPr>
            <w:tcW w:w="6056" w:type="dxa"/>
            <w:noWrap w:val="0"/>
            <w:vAlign w:val="top"/>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both"/>
              <w:textAlignment w:val="auto"/>
              <w:rPr>
                <w:b/>
                <w:bCs/>
                <w:color w:val="auto"/>
                <w:sz w:val="28"/>
                <w:szCs w:val="28"/>
              </w:rPr>
            </w:pPr>
            <w:r>
              <w:rPr>
                <w:rFonts w:hint="eastAsia"/>
                <w:b/>
                <w:bCs/>
                <w:color w:val="auto"/>
                <w:sz w:val="28"/>
                <w:szCs w:val="28"/>
                <w:u w:val="single"/>
              </w:rPr>
              <w:t xml:space="preserve">          二〇二</w:t>
            </w:r>
            <w:r>
              <w:rPr>
                <w:rFonts w:hint="eastAsia"/>
                <w:b/>
                <w:bCs/>
                <w:color w:val="auto"/>
                <w:sz w:val="28"/>
                <w:szCs w:val="28"/>
                <w:u w:val="single"/>
                <w:lang w:val="en-US" w:eastAsia="zh-CN"/>
              </w:rPr>
              <w:t>六</w:t>
            </w:r>
            <w:r>
              <w:rPr>
                <w:rFonts w:hint="eastAsia"/>
                <w:b/>
                <w:bCs/>
                <w:color w:val="auto"/>
                <w:sz w:val="28"/>
                <w:szCs w:val="28"/>
                <w:u w:val="single"/>
              </w:rPr>
              <w:t>年</w:t>
            </w:r>
            <w:r>
              <w:rPr>
                <w:rFonts w:hint="eastAsia"/>
                <w:b/>
                <w:bCs/>
                <w:color w:val="auto"/>
                <w:sz w:val="28"/>
                <w:szCs w:val="28"/>
                <w:u w:val="single"/>
                <w:lang w:val="en-US" w:eastAsia="zh-CN"/>
              </w:rPr>
              <w:t>三</w:t>
            </w:r>
            <w:r>
              <w:rPr>
                <w:rFonts w:hint="eastAsia"/>
                <w:b/>
                <w:bCs/>
                <w:color w:val="auto"/>
                <w:sz w:val="28"/>
                <w:szCs w:val="28"/>
                <w:u w:val="single"/>
              </w:rPr>
              <w:t xml:space="preserve">月     </w:t>
            </w:r>
            <w:r>
              <w:rPr>
                <w:rFonts w:hint="eastAsia"/>
                <w:b/>
                <w:bCs/>
                <w:color w:val="auto"/>
                <w:sz w:val="28"/>
                <w:szCs w:val="28"/>
                <w:u w:val="single"/>
                <w:lang w:val="en-US" w:eastAsia="zh-CN"/>
              </w:rPr>
              <w:t xml:space="preserve">   </w:t>
            </w:r>
            <w:r>
              <w:rPr>
                <w:rFonts w:hint="eastAsia"/>
                <w:b/>
                <w:bCs/>
                <w:color w:val="auto"/>
                <w:sz w:val="28"/>
                <w:szCs w:val="28"/>
                <w:u w:val="single"/>
              </w:rPr>
              <w:t xml:space="preserve">  </w:t>
            </w:r>
            <w:r>
              <w:rPr>
                <w:rFonts w:hint="eastAsia"/>
                <w:b/>
                <w:bCs/>
                <w:color w:val="auto"/>
                <w:sz w:val="28"/>
                <w:szCs w:val="28"/>
                <w:u w:val="single"/>
                <w:lang w:val="en-US" w:eastAsia="zh-CN"/>
              </w:rPr>
              <w:t xml:space="preserve">      </w:t>
            </w:r>
          </w:p>
        </w:tc>
        <w:tc>
          <w:tcPr>
            <w:tcW w:w="240" w:type="dxa"/>
            <w:noWrap w:val="0"/>
            <w:vAlign w:val="bottom"/>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textAlignment w:val="auto"/>
              <w:rPr>
                <w:rFonts w:hint="default" w:eastAsia="宋体"/>
                <w:color w:val="auto"/>
                <w:sz w:val="20"/>
                <w:lang w:val="en-US" w:eastAsia="zh-CN"/>
              </w:rPr>
            </w:pPr>
            <w:r>
              <w:rPr>
                <w:rFonts w:hint="eastAsia"/>
                <w:color w:val="auto"/>
                <w:sz w:val="20"/>
                <w:lang w:val="en-US" w:eastAsia="zh-CN"/>
              </w:rPr>
              <w:t xml:space="preserve">   </w:t>
            </w:r>
          </w:p>
        </w:tc>
      </w:tr>
      <w:bookmarkEnd w:id="1"/>
      <w:tr>
        <w:tblPrEx>
          <w:tblCellMar>
            <w:top w:w="0" w:type="dxa"/>
            <w:left w:w="108" w:type="dxa"/>
            <w:bottom w:w="0" w:type="dxa"/>
            <w:right w:w="108" w:type="dxa"/>
          </w:tblCellMar>
        </w:tblPrEx>
        <w:trPr>
          <w:trHeight w:val="2147" w:hRule="atLeast"/>
          <w:jc w:val="center"/>
        </w:trPr>
        <w:tc>
          <w:tcPr>
            <w:tcW w:w="9010" w:type="dxa"/>
            <w:gridSpan w:val="3"/>
            <w:noWrap w:val="0"/>
            <w:vAlign w:val="top"/>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textAlignment w:val="auto"/>
              <w:rPr>
                <w:color w:val="auto"/>
              </w:rPr>
            </w:pP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b/>
                <w:bCs/>
                <w:color w:val="auto"/>
                <w:szCs w:val="36"/>
              </w:rPr>
            </w:pPr>
            <w:r>
              <w:rPr>
                <w:color w:val="auto"/>
                <w:sz w:val="32"/>
                <w:szCs w:val="32"/>
              </w:rPr>
              <w:t>中华人民共和国生态环境部制</w:t>
            </w:r>
          </w:p>
        </w:tc>
      </w:tr>
    </w:tbl>
    <w:p>
      <w:pPr>
        <w:tabs>
          <w:tab w:val="left" w:pos="4410"/>
        </w:tabs>
        <w:jc w:val="center"/>
        <w:rPr>
          <w:color w:val="auto"/>
        </w:rPr>
        <w:sectPr>
          <w:headerReference r:id="rId5" w:type="default"/>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numberInDash"/>
          <w:cols w:space="720" w:num="1"/>
          <w:docGrid w:linePitch="312" w:charSpace="0"/>
        </w:sectPr>
      </w:pPr>
      <w:r>
        <w:rPr>
          <w:rFonts w:hint="eastAsia" w:eastAsia="宋体"/>
          <w:color w:val="auto"/>
          <w:sz w:val="20"/>
          <w:lang w:val="en-US" w:eastAsia="zh-CN"/>
        </w:rPr>
        <w:drawing>
          <wp:anchor distT="0" distB="0" distL="114300" distR="114300" simplePos="0" relativeHeight="251669504" behindDoc="0" locked="0" layoutInCell="1" allowOverlap="1">
            <wp:simplePos x="0" y="0"/>
            <wp:positionH relativeFrom="column">
              <wp:posOffset>-936625</wp:posOffset>
            </wp:positionH>
            <wp:positionV relativeFrom="paragraph">
              <wp:posOffset>-1028700</wp:posOffset>
            </wp:positionV>
            <wp:extent cx="7561580" cy="10440035"/>
            <wp:effectExtent l="0" t="0" r="1270" b="18415"/>
            <wp:wrapNone/>
            <wp:docPr id="14" name="图片 14" descr="a60d232099dcbf4819d2c7d4c45b6c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60d232099dcbf4819d2c7d4c45b6c7c"/>
                    <pic:cNvPicPr>
                      <a:picLocks noChangeAspect="1"/>
                    </pic:cNvPicPr>
                  </pic:nvPicPr>
                  <pic:blipFill>
                    <a:blip r:embed="rId11"/>
                    <a:stretch>
                      <a:fillRect/>
                    </a:stretch>
                  </pic:blipFill>
                  <pic:spPr>
                    <a:xfrm>
                      <a:off x="0" y="0"/>
                      <a:ext cx="7561580" cy="104400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440" w:lineRule="exact"/>
        <w:ind w:firstLine="480" w:firstLineChars="200"/>
        <w:jc w:val="center"/>
        <w:textAlignment w:val="auto"/>
        <w:rPr>
          <w:rFonts w:hint="default" w:ascii="Times New Roman" w:hAnsi="Times New Roman" w:eastAsia="仿宋" w:cs="Times New Roman"/>
          <w:b/>
          <w:color w:val="auto"/>
          <w:kern w:val="2"/>
          <w:sz w:val="36"/>
          <w:szCs w:val="36"/>
          <w:lang w:val="en-US" w:eastAsia="zh-CN" w:bidi="ar-SA"/>
        </w:rPr>
      </w:pPr>
      <w:r>
        <w:drawing>
          <wp:anchor distT="0" distB="0" distL="114300" distR="114300" simplePos="0" relativeHeight="251671552" behindDoc="0" locked="0" layoutInCell="1" allowOverlap="1">
            <wp:simplePos x="0" y="0"/>
            <wp:positionH relativeFrom="column">
              <wp:posOffset>-843915</wp:posOffset>
            </wp:positionH>
            <wp:positionV relativeFrom="paragraph">
              <wp:posOffset>-297180</wp:posOffset>
            </wp:positionV>
            <wp:extent cx="7329805" cy="8999855"/>
            <wp:effectExtent l="0" t="0" r="4445" b="10795"/>
            <wp:wrapNone/>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2"/>
                    <a:stretch>
                      <a:fillRect/>
                    </a:stretch>
                  </pic:blipFill>
                  <pic:spPr>
                    <a:xfrm>
                      <a:off x="0" y="0"/>
                      <a:ext cx="7329805" cy="899985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left"/>
        <w:textAlignment w:val="auto"/>
        <w:rPr>
          <w:rFonts w:hint="default" w:ascii="Times New Roman" w:hAnsi="Times New Roman" w:eastAsia="仿宋_GB2312" w:cs="Times New Roman"/>
          <w:color w:val="auto"/>
          <w:kern w:val="2"/>
          <w:sz w:val="32"/>
          <w:szCs w:val="32"/>
          <w:highlight w:val="none"/>
          <w:lang w:val="en-US"/>
        </w:rPr>
      </w:pPr>
      <w:r>
        <w:rPr>
          <w:rFonts w:hint="default" w:ascii="Times New Roman" w:hAnsi="Times New Roman" w:eastAsia="仿宋_GB2312" w:cs="Times New Roman"/>
          <w:color w:val="auto"/>
          <w:kern w:val="2"/>
          <w:sz w:val="32"/>
          <w:szCs w:val="32"/>
          <w:highlight w:val="none"/>
          <w:lang w:val="en-US" w:eastAsia="zh-CN"/>
        </w:rPr>
        <w:t xml:space="preserve"> </w:t>
      </w:r>
    </w:p>
    <w:p>
      <w:pPr>
        <w:keepNext w:val="0"/>
        <w:keepLines w:val="0"/>
        <w:pageBreakBefore w:val="0"/>
        <w:tabs>
          <w:tab w:val="left" w:pos="4410"/>
        </w:tabs>
        <w:kinsoku/>
        <w:wordWrap/>
        <w:overflowPunct/>
        <w:topLinePunct w:val="0"/>
        <w:autoSpaceDE/>
        <w:autoSpaceDN/>
        <w:bidi w:val="0"/>
        <w:adjustRightInd/>
        <w:ind w:firstLine="0" w:firstLineChars="0"/>
        <w:jc w:val="center"/>
        <w:textAlignment w:val="auto"/>
        <w:rPr>
          <w:color w:val="auto"/>
        </w:rPr>
        <w:sectPr>
          <w:pgSz w:w="11906" w:h="16838"/>
          <w:pgMar w:top="1701" w:right="1531" w:bottom="1701" w:left="1531" w:header="851" w:footer="1077" w:gutter="0"/>
          <w:pgBorders>
            <w:top w:val="none" w:sz="0" w:space="0"/>
            <w:left w:val="none" w:sz="0" w:space="0"/>
            <w:bottom w:val="none" w:sz="0" w:space="0"/>
            <w:right w:val="none" w:sz="0" w:space="0"/>
          </w:pgBorders>
          <w:pgNumType w:fmt="numberInDash"/>
          <w:cols w:space="720" w:num="1"/>
          <w:docGrid w:linePitch="312" w:charSpace="0"/>
        </w:sectPr>
      </w:pPr>
    </w:p>
    <w:p>
      <w:pPr>
        <w:keepNext w:val="0"/>
        <w:keepLines w:val="0"/>
        <w:pageBreakBefore w:val="0"/>
        <w:tabs>
          <w:tab w:val="left" w:pos="4410"/>
        </w:tabs>
        <w:kinsoku/>
        <w:wordWrap/>
        <w:overflowPunct/>
        <w:topLinePunct w:val="0"/>
        <w:autoSpaceDE/>
        <w:autoSpaceDN/>
        <w:bidi w:val="0"/>
        <w:adjustRightInd/>
        <w:ind w:firstLine="0" w:firstLineChars="0"/>
        <w:jc w:val="center"/>
        <w:textAlignment w:val="auto"/>
        <w:rPr>
          <w:rFonts w:hint="eastAsia" w:eastAsia="宋体"/>
          <w:color w:val="auto"/>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fmt="numberInDash"/>
          <w:cols w:space="720" w:num="1"/>
          <w:docGrid w:linePitch="312" w:charSpace="0"/>
        </w:sectPr>
      </w:pPr>
      <w:r>
        <w:drawing>
          <wp:anchor distT="0" distB="0" distL="114300" distR="114300" simplePos="0" relativeHeight="251672576" behindDoc="0" locked="0" layoutInCell="1" allowOverlap="1">
            <wp:simplePos x="0" y="0"/>
            <wp:positionH relativeFrom="column">
              <wp:posOffset>-640080</wp:posOffset>
            </wp:positionH>
            <wp:positionV relativeFrom="paragraph">
              <wp:posOffset>-190500</wp:posOffset>
            </wp:positionV>
            <wp:extent cx="6980555" cy="8999855"/>
            <wp:effectExtent l="0" t="0" r="10795" b="10795"/>
            <wp:wrapNone/>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3"/>
                    <a:stretch>
                      <a:fillRect/>
                    </a:stretch>
                  </pic:blipFill>
                  <pic:spPr>
                    <a:xfrm>
                      <a:off x="0" y="0"/>
                      <a:ext cx="6980555" cy="8999855"/>
                    </a:xfrm>
                    <a:prstGeom prst="rect">
                      <a:avLst/>
                    </a:prstGeom>
                    <a:noFill/>
                    <a:ln>
                      <a:noFill/>
                    </a:ln>
                  </pic:spPr>
                </pic:pic>
              </a:graphicData>
            </a:graphic>
          </wp:anchor>
        </w:drawing>
      </w:r>
    </w:p>
    <w:p>
      <w:pPr>
        <w:keepNext w:val="0"/>
        <w:keepLines w:val="0"/>
        <w:pageBreakBefore w:val="0"/>
        <w:tabs>
          <w:tab w:val="left" w:pos="4410"/>
        </w:tabs>
        <w:kinsoku/>
        <w:wordWrap/>
        <w:overflowPunct/>
        <w:topLinePunct w:val="0"/>
        <w:autoSpaceDE/>
        <w:autoSpaceDN/>
        <w:bidi w:val="0"/>
        <w:adjustRightInd/>
        <w:ind w:firstLine="0" w:firstLineChars="0"/>
        <w:jc w:val="center"/>
        <w:textAlignment w:val="auto"/>
        <w:rPr>
          <w:color w:val="auto"/>
        </w:rPr>
        <w:sectPr>
          <w:pgSz w:w="11906" w:h="16838"/>
          <w:pgMar w:top="1701" w:right="1531" w:bottom="1701" w:left="1531" w:header="851" w:footer="1077" w:gutter="0"/>
          <w:pgBorders>
            <w:top w:val="none" w:sz="0" w:space="0"/>
            <w:left w:val="none" w:sz="0" w:space="0"/>
            <w:bottom w:val="none" w:sz="0" w:space="0"/>
            <w:right w:val="none" w:sz="0" w:space="0"/>
          </w:pgBorders>
          <w:pgNumType w:fmt="numberInDash"/>
          <w:cols w:space="720" w:num="1"/>
          <w:docGrid w:linePitch="312" w:charSpace="0"/>
        </w:sectPr>
      </w:pPr>
      <w:r>
        <w:drawing>
          <wp:anchor distT="0" distB="0" distL="114300" distR="114300" simplePos="0" relativeHeight="251673600" behindDoc="0" locked="0" layoutInCell="1" allowOverlap="1">
            <wp:simplePos x="0" y="0"/>
            <wp:positionH relativeFrom="column">
              <wp:posOffset>-421640</wp:posOffset>
            </wp:positionH>
            <wp:positionV relativeFrom="paragraph">
              <wp:posOffset>27305</wp:posOffset>
            </wp:positionV>
            <wp:extent cx="6593840" cy="8999855"/>
            <wp:effectExtent l="0" t="0" r="16510" b="10795"/>
            <wp:wrapNone/>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4"/>
                    <a:stretch>
                      <a:fillRect/>
                    </a:stretch>
                  </pic:blipFill>
                  <pic:spPr>
                    <a:xfrm>
                      <a:off x="0" y="0"/>
                      <a:ext cx="6593840" cy="8999855"/>
                    </a:xfrm>
                    <a:prstGeom prst="rect">
                      <a:avLst/>
                    </a:prstGeom>
                    <a:noFill/>
                    <a:ln>
                      <a:noFill/>
                    </a:ln>
                  </pic:spPr>
                </pic:pic>
              </a:graphicData>
            </a:graphic>
          </wp:anchor>
        </w:drawing>
      </w:r>
    </w:p>
    <w:p>
      <w:pPr>
        <w:keepNext w:val="0"/>
        <w:keepLines w:val="0"/>
        <w:pageBreakBefore w:val="0"/>
        <w:tabs>
          <w:tab w:val="left" w:pos="4410"/>
        </w:tabs>
        <w:kinsoku/>
        <w:wordWrap/>
        <w:overflowPunct/>
        <w:topLinePunct w:val="0"/>
        <w:autoSpaceDE/>
        <w:autoSpaceDN/>
        <w:bidi w:val="0"/>
        <w:adjustRightInd/>
        <w:ind w:firstLine="0" w:firstLineChars="0"/>
        <w:jc w:val="center"/>
        <w:textAlignment w:val="auto"/>
        <w:rPr>
          <w:rFonts w:hint="eastAsia" w:eastAsia="宋体"/>
          <w:color w:val="auto"/>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fmt="numberInDash"/>
          <w:cols w:space="720" w:num="1"/>
          <w:docGrid w:linePitch="312" w:charSpace="0"/>
        </w:sectPr>
      </w:pPr>
      <w:r>
        <w:rPr>
          <w:rFonts w:hint="eastAsia" w:eastAsia="宋体"/>
          <w:color w:val="auto"/>
          <w:lang w:eastAsia="zh-CN"/>
        </w:rPr>
        <w:drawing>
          <wp:anchor distT="0" distB="0" distL="114300" distR="114300" simplePos="0" relativeHeight="251667456" behindDoc="1" locked="0" layoutInCell="1" allowOverlap="1">
            <wp:simplePos x="0" y="0"/>
            <wp:positionH relativeFrom="column">
              <wp:posOffset>-2408555</wp:posOffset>
            </wp:positionH>
            <wp:positionV relativeFrom="paragraph">
              <wp:posOffset>557530</wp:posOffset>
            </wp:positionV>
            <wp:extent cx="10440035" cy="7381240"/>
            <wp:effectExtent l="0" t="0" r="10160" b="18415"/>
            <wp:wrapNone/>
            <wp:docPr id="5" name="图片 5" descr="河南美达峰生态技术有限公司—营业执照副本20260130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河南美达峰生态技术有限公司—营业执照副本20260130_page-0001"/>
                    <pic:cNvPicPr>
                      <a:picLocks noChangeAspect="1"/>
                    </pic:cNvPicPr>
                  </pic:nvPicPr>
                  <pic:blipFill>
                    <a:blip r:embed="rId15"/>
                    <a:stretch>
                      <a:fillRect/>
                    </a:stretch>
                  </pic:blipFill>
                  <pic:spPr>
                    <a:xfrm rot="16200000">
                      <a:off x="0" y="0"/>
                      <a:ext cx="10440035" cy="7381240"/>
                    </a:xfrm>
                    <a:prstGeom prst="rect">
                      <a:avLst/>
                    </a:prstGeom>
                  </pic:spPr>
                </pic:pic>
              </a:graphicData>
            </a:graphic>
          </wp:anchor>
        </w:drawing>
      </w:r>
    </w:p>
    <w:p>
      <w:pPr>
        <w:keepNext w:val="0"/>
        <w:keepLines w:val="0"/>
        <w:pageBreakBefore w:val="0"/>
        <w:tabs>
          <w:tab w:val="left" w:pos="4410"/>
        </w:tabs>
        <w:kinsoku/>
        <w:wordWrap/>
        <w:overflowPunct/>
        <w:topLinePunct w:val="0"/>
        <w:autoSpaceDE/>
        <w:autoSpaceDN/>
        <w:bidi w:val="0"/>
        <w:adjustRightInd/>
        <w:ind w:firstLine="0" w:firstLineChars="0"/>
        <w:jc w:val="center"/>
        <w:textAlignment w:val="auto"/>
        <w:rPr>
          <w:rFonts w:hint="eastAsia" w:eastAsia="宋体"/>
          <w:color w:val="auto"/>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fmt="numberInDash"/>
          <w:cols w:space="720" w:num="1"/>
          <w:docGrid w:linePitch="312" w:charSpace="0"/>
        </w:sectPr>
      </w:pPr>
      <w:r>
        <w:drawing>
          <wp:anchor distT="0" distB="0" distL="114300" distR="114300" simplePos="0" relativeHeight="251674624" behindDoc="0" locked="0" layoutInCell="1" allowOverlap="1">
            <wp:simplePos x="0" y="0"/>
            <wp:positionH relativeFrom="column">
              <wp:posOffset>-422275</wp:posOffset>
            </wp:positionH>
            <wp:positionV relativeFrom="paragraph">
              <wp:posOffset>-299720</wp:posOffset>
            </wp:positionV>
            <wp:extent cx="6608445" cy="8999855"/>
            <wp:effectExtent l="0" t="0" r="1905" b="10795"/>
            <wp:wrapNone/>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6"/>
                    <a:stretch>
                      <a:fillRect/>
                    </a:stretch>
                  </pic:blipFill>
                  <pic:spPr>
                    <a:xfrm>
                      <a:off x="0" y="0"/>
                      <a:ext cx="6608445" cy="8999855"/>
                    </a:xfrm>
                    <a:prstGeom prst="rect">
                      <a:avLst/>
                    </a:prstGeom>
                    <a:noFill/>
                    <a:ln>
                      <a:noFill/>
                    </a:ln>
                  </pic:spPr>
                </pic:pic>
              </a:graphicData>
            </a:graphic>
          </wp:anchor>
        </w:drawing>
      </w:r>
    </w:p>
    <w:p>
      <w:pPr>
        <w:pStyle w:val="2"/>
        <w:bidi w:val="0"/>
        <w:rPr>
          <w:color w:val="auto"/>
        </w:rPr>
      </w:pPr>
      <w:r>
        <w:rPr>
          <w:color w:val="auto"/>
        </w:rPr>
        <w:t>一、建设项目基本情况</w:t>
      </w:r>
    </w:p>
    <w:tbl>
      <w:tblPr>
        <w:tblStyle w:val="22"/>
        <w:tblW w:w="510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82"/>
        <w:gridCol w:w="2355"/>
        <w:gridCol w:w="1692"/>
        <w:gridCol w:w="332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64" w:type="dxa"/>
            <w:noWrap/>
            <w:tcMar>
              <w:top w:w="16" w:type="dxa"/>
              <w:left w:w="16" w:type="dxa"/>
              <w:right w:w="16"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建设项目名称</w:t>
            </w:r>
          </w:p>
        </w:tc>
        <w:tc>
          <w:tcPr>
            <w:tcW w:w="7295" w:type="dxa"/>
            <w:gridSpan w:val="3"/>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lang w:val="en-US" w:eastAsia="zh-CN"/>
              </w:rPr>
            </w:pPr>
            <w:bookmarkStart w:id="4" w:name="OLE_LINK40"/>
            <w:r>
              <w:rPr>
                <w:rFonts w:hint="default" w:ascii="Times New Roman" w:hAnsi="Times New Roman" w:cs="Times New Roman"/>
                <w:color w:val="auto"/>
                <w:sz w:val="24"/>
                <w:szCs w:val="24"/>
                <w:lang w:eastAsia="zh-CN"/>
              </w:rPr>
              <w:t>绩昌</w:t>
            </w:r>
            <w:bookmarkEnd w:id="4"/>
            <w:bookmarkStart w:id="5" w:name="OLE_LINK5"/>
            <w:r>
              <w:rPr>
                <w:rFonts w:hint="default" w:ascii="Times New Roman" w:hAnsi="Times New Roman" w:cs="Times New Roman"/>
                <w:color w:val="auto"/>
                <w:sz w:val="24"/>
                <w:szCs w:val="24"/>
                <w:lang w:eastAsia="zh-CN"/>
              </w:rPr>
              <w:t>废铅蓄电池回收</w:t>
            </w:r>
            <w:bookmarkEnd w:id="5"/>
            <w:r>
              <w:rPr>
                <w:rFonts w:hint="default" w:ascii="Times New Roman" w:hAnsi="Times New Roman" w:cs="Times New Roman"/>
                <w:color w:val="auto"/>
                <w:sz w:val="24"/>
                <w:szCs w:val="24"/>
                <w:lang w:eastAsia="zh-CN"/>
              </w:rPr>
              <w:t>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64" w:type="dxa"/>
            <w:noWrap/>
            <w:tcMar>
              <w:top w:w="16" w:type="dxa"/>
              <w:left w:w="16" w:type="dxa"/>
              <w:right w:w="16"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项目代码</w:t>
            </w:r>
          </w:p>
        </w:tc>
        <w:tc>
          <w:tcPr>
            <w:tcW w:w="7295" w:type="dxa"/>
            <w:gridSpan w:val="3"/>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lang w:val="en-US" w:eastAsia="zh-CN"/>
              </w:rPr>
            </w:pPr>
            <w:bookmarkStart w:id="6" w:name="OLE_LINK71"/>
            <w:r>
              <w:rPr>
                <w:rFonts w:hint="default" w:ascii="Times New Roman" w:hAnsi="Times New Roman" w:cs="Times New Roman"/>
                <w:color w:val="auto"/>
                <w:sz w:val="24"/>
                <w:szCs w:val="24"/>
                <w:lang w:eastAsia="zh-CN"/>
              </w:rPr>
              <w:t>2603-410703-04-01-917965</w:t>
            </w:r>
            <w:bookmarkEnd w:id="6"/>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64" w:type="dxa"/>
            <w:noWrap/>
            <w:tcMar>
              <w:top w:w="16" w:type="dxa"/>
              <w:left w:w="16" w:type="dxa"/>
              <w:right w:w="16"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建设单位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联系人</w:t>
            </w:r>
          </w:p>
        </w:tc>
        <w:tc>
          <w:tcPr>
            <w:tcW w:w="2331"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李昌建</w:t>
            </w:r>
          </w:p>
        </w:tc>
        <w:tc>
          <w:tcPr>
            <w:tcW w:w="16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联系方式</w:t>
            </w:r>
          </w:p>
        </w:tc>
        <w:tc>
          <w:tcPr>
            <w:tcW w:w="3289"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XXXXXXX</w:t>
            </w:r>
            <w:bookmarkStart w:id="272" w:name="_GoBack"/>
            <w:bookmarkEnd w:id="272"/>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64" w:type="dxa"/>
            <w:noWrap/>
            <w:tcMar>
              <w:top w:w="16" w:type="dxa"/>
              <w:left w:w="16" w:type="dxa"/>
              <w:right w:w="16"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w:t>
            </w:r>
          </w:p>
        </w:tc>
        <w:tc>
          <w:tcPr>
            <w:tcW w:w="7295" w:type="dxa"/>
            <w:gridSpan w:val="3"/>
            <w:noWrap/>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eastAsia="zh-CN"/>
              </w:rPr>
              <w:t>新乡市绩昌再生资源回收有限公司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64" w:type="dxa"/>
            <w:noWrap/>
            <w:tcMar>
              <w:top w:w="16" w:type="dxa"/>
              <w:left w:w="16" w:type="dxa"/>
              <w:right w:w="16"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建设地点</w:t>
            </w:r>
          </w:p>
        </w:tc>
        <w:tc>
          <w:tcPr>
            <w:tcW w:w="7295" w:type="dxa"/>
            <w:gridSpan w:val="3"/>
            <w:noWrap/>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cs="Times New Roman"/>
                <w:color w:val="auto"/>
                <w:sz w:val="24"/>
                <w:szCs w:val="24"/>
                <w:lang w:eastAsia="zh-CN"/>
              </w:rPr>
              <w:t>河南省新乡市卫滨区人民路西环路交叉口向西300米路南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64" w:type="dxa"/>
            <w:noWrap/>
            <w:tcMar>
              <w:top w:w="16" w:type="dxa"/>
              <w:left w:w="16" w:type="dxa"/>
              <w:right w:w="16"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地理坐标</w:t>
            </w:r>
          </w:p>
        </w:tc>
        <w:tc>
          <w:tcPr>
            <w:tcW w:w="7295" w:type="dxa"/>
            <w:gridSpan w:val="3"/>
            <w:noWrap/>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113</w:t>
            </w:r>
            <w:r>
              <w:rPr>
                <w:rFonts w:hint="default" w:cs="Times New Roman"/>
                <w:color w:val="auto"/>
                <w:sz w:val="24"/>
                <w:szCs w:val="24"/>
                <w:lang w:eastAsia="zh-CN"/>
              </w:rPr>
              <w:t>度</w:t>
            </w:r>
            <w:r>
              <w:rPr>
                <w:rFonts w:hint="eastAsia" w:cs="Times New Roman"/>
                <w:color w:val="auto"/>
                <w:sz w:val="24"/>
                <w:szCs w:val="24"/>
                <w:lang w:val="en-US" w:eastAsia="zh-CN"/>
              </w:rPr>
              <w:t>47</w:t>
            </w:r>
            <w:r>
              <w:rPr>
                <w:rFonts w:hint="default" w:cs="Times New Roman"/>
                <w:color w:val="auto"/>
                <w:sz w:val="24"/>
                <w:szCs w:val="24"/>
                <w:lang w:eastAsia="zh-CN"/>
              </w:rPr>
              <w:t>分</w:t>
            </w:r>
            <w:bookmarkStart w:id="7" w:name="OLE_LINK37"/>
            <w:r>
              <w:rPr>
                <w:rFonts w:hint="eastAsia" w:cs="Times New Roman"/>
                <w:color w:val="auto"/>
                <w:sz w:val="24"/>
                <w:szCs w:val="24"/>
                <w:lang w:val="en-US" w:eastAsia="zh-CN"/>
              </w:rPr>
              <w:t>54.918</w:t>
            </w:r>
            <w:bookmarkEnd w:id="7"/>
            <w:r>
              <w:rPr>
                <w:rFonts w:hint="default" w:cs="Times New Roman"/>
                <w:color w:val="auto"/>
                <w:sz w:val="24"/>
                <w:szCs w:val="24"/>
                <w:lang w:eastAsia="zh-CN"/>
              </w:rPr>
              <w:t>秒</w:t>
            </w:r>
            <w:r>
              <w:rPr>
                <w:rFonts w:hint="eastAsia" w:cs="Times New Roman"/>
                <w:color w:val="auto"/>
                <w:sz w:val="24"/>
                <w:szCs w:val="24"/>
                <w:lang w:val="en-US" w:eastAsia="zh-CN"/>
              </w:rPr>
              <w:t xml:space="preserve"> ，35</w:t>
            </w:r>
            <w:r>
              <w:rPr>
                <w:rFonts w:hint="default" w:cs="Times New Roman"/>
                <w:color w:val="auto"/>
                <w:sz w:val="24"/>
                <w:szCs w:val="24"/>
                <w:lang w:eastAsia="zh-CN"/>
              </w:rPr>
              <w:t>度</w:t>
            </w:r>
            <w:r>
              <w:rPr>
                <w:rFonts w:hint="eastAsia" w:cs="Times New Roman"/>
                <w:color w:val="auto"/>
                <w:sz w:val="24"/>
                <w:szCs w:val="24"/>
                <w:lang w:val="en-US" w:eastAsia="zh-CN"/>
              </w:rPr>
              <w:t>17</w:t>
            </w:r>
            <w:r>
              <w:rPr>
                <w:rFonts w:hint="default" w:cs="Times New Roman"/>
                <w:color w:val="auto"/>
                <w:sz w:val="24"/>
                <w:szCs w:val="24"/>
                <w:lang w:eastAsia="zh-CN"/>
              </w:rPr>
              <w:t>分</w:t>
            </w:r>
            <w:bookmarkStart w:id="8" w:name="OLE_LINK95"/>
            <w:r>
              <w:rPr>
                <w:rFonts w:hint="eastAsia" w:cs="Times New Roman"/>
                <w:color w:val="auto"/>
                <w:sz w:val="24"/>
                <w:szCs w:val="24"/>
                <w:lang w:val="en-US" w:eastAsia="zh-CN"/>
              </w:rPr>
              <w:t>42.880</w:t>
            </w:r>
            <w:bookmarkEnd w:id="8"/>
            <w:r>
              <w:rPr>
                <w:rFonts w:hint="default" w:cs="Times New Roman"/>
                <w:color w:val="auto"/>
                <w:sz w:val="24"/>
                <w:szCs w:val="24"/>
                <w:lang w:eastAsia="zh-CN"/>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64" w:type="dxa"/>
            <w:noWrap/>
            <w:tcMar>
              <w:top w:w="16" w:type="dxa"/>
              <w:left w:w="16" w:type="dxa"/>
              <w:right w:w="16"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国民经济</w:t>
            </w:r>
          </w:p>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tc>
        <w:tc>
          <w:tcPr>
            <w:tcW w:w="2331" w:type="dxa"/>
            <w:noWrap/>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N7724</w:t>
            </w:r>
          </w:p>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危险废物治理</w:t>
            </w:r>
          </w:p>
        </w:tc>
        <w:tc>
          <w:tcPr>
            <w:tcW w:w="1675" w:type="dxa"/>
            <w:noWrap/>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tc>
        <w:tc>
          <w:tcPr>
            <w:tcW w:w="3289" w:type="dxa"/>
            <w:noWrap/>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eastAsiaTheme="minorEastAsia"/>
                <w:color w:val="auto"/>
                <w:sz w:val="24"/>
                <w:szCs w:val="24"/>
                <w:lang w:val="en-US" w:eastAsia="zh-CN"/>
              </w:rPr>
            </w:pPr>
            <w:r>
              <w:rPr>
                <w:rFonts w:hAnsiTheme="minorEastAsia" w:eastAsiaTheme="minorEastAsia"/>
                <w:color w:val="auto"/>
                <w:sz w:val="24"/>
                <w:szCs w:val="24"/>
              </w:rPr>
              <w:t>四十七、</w:t>
            </w:r>
            <w:bookmarkStart w:id="9" w:name="OLE_LINK67"/>
            <w:r>
              <w:rPr>
                <w:rFonts w:hAnsiTheme="minorEastAsia" w:eastAsiaTheme="minorEastAsia"/>
                <w:color w:val="auto"/>
                <w:sz w:val="24"/>
                <w:szCs w:val="24"/>
              </w:rPr>
              <w:t>生态保护和</w:t>
            </w:r>
            <w:bookmarkEnd w:id="9"/>
            <w:r>
              <w:rPr>
                <w:rFonts w:hAnsiTheme="minorEastAsia" w:eastAsiaTheme="minorEastAsia"/>
                <w:color w:val="auto"/>
                <w:sz w:val="24"/>
                <w:szCs w:val="24"/>
              </w:rPr>
              <w:t>环境治理业。</w:t>
            </w:r>
            <w:r>
              <w:rPr>
                <w:rFonts w:eastAsiaTheme="minorEastAsia"/>
                <w:color w:val="auto"/>
                <w:sz w:val="24"/>
                <w:szCs w:val="24"/>
              </w:rPr>
              <w:t>101</w:t>
            </w:r>
            <w:r>
              <w:rPr>
                <w:rFonts w:hAnsiTheme="minorEastAsia" w:eastAsiaTheme="minorEastAsia"/>
                <w:color w:val="auto"/>
                <w:sz w:val="24"/>
                <w:szCs w:val="24"/>
              </w:rPr>
              <w:t>危险废物（不含医疗废物）利用及处置</w:t>
            </w:r>
            <w:r>
              <w:rPr>
                <w:rFonts w:hint="eastAsia" w:hAnsiTheme="minorEastAsia" w:eastAsiaTheme="minorEastAsia"/>
                <w:color w:val="auto"/>
                <w:sz w:val="24"/>
                <w:szCs w:val="24"/>
                <w:lang w:val="en-US" w:eastAsia="zh-CN"/>
              </w:rPr>
              <w:t>-其他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64" w:type="dxa"/>
            <w:noWrap/>
            <w:tcMar>
              <w:top w:w="16" w:type="dxa"/>
              <w:left w:w="16" w:type="dxa"/>
              <w:right w:w="16"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建设性质</w:t>
            </w:r>
          </w:p>
        </w:tc>
        <w:tc>
          <w:tcPr>
            <w:tcW w:w="2331" w:type="dxa"/>
            <w:noWrap/>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52"/>
            </w:r>
            <w:r>
              <w:rPr>
                <w:rFonts w:hint="default" w:ascii="Times New Roman" w:hAnsi="Times New Roman" w:eastAsia="宋体" w:cs="Times New Roman"/>
                <w:color w:val="auto"/>
                <w:sz w:val="24"/>
                <w:szCs w:val="24"/>
              </w:rPr>
              <w:t>新建（迁建）</w:t>
            </w:r>
          </w:p>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4"/>
                <w:szCs w:val="24"/>
              </w:rPr>
            </w:pPr>
            <w:bookmarkStart w:id="10" w:name="OLE_LINK1"/>
            <w:r>
              <w:rPr>
                <w:rFonts w:hint="default" w:ascii="Times New Roman" w:hAnsi="Times New Roman" w:eastAsia="宋体" w:cs="Times New Roman"/>
                <w:color w:val="auto"/>
                <w:sz w:val="24"/>
                <w:szCs w:val="24"/>
              </w:rPr>
              <w:sym w:font="Wingdings 2" w:char="00A3"/>
            </w:r>
            <w:bookmarkEnd w:id="10"/>
            <w:r>
              <w:rPr>
                <w:rFonts w:hint="default" w:ascii="Times New Roman" w:hAnsi="Times New Roman" w:eastAsia="宋体" w:cs="Times New Roman"/>
                <w:color w:val="auto"/>
                <w:sz w:val="24"/>
                <w:szCs w:val="24"/>
              </w:rPr>
              <w:t>改建</w:t>
            </w:r>
          </w:p>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扩建</w:t>
            </w:r>
          </w:p>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技术改造</w:t>
            </w:r>
          </w:p>
        </w:tc>
        <w:tc>
          <w:tcPr>
            <w:tcW w:w="1675" w:type="dxa"/>
            <w:noWrap/>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申报情形</w:t>
            </w:r>
          </w:p>
        </w:tc>
        <w:tc>
          <w:tcPr>
            <w:tcW w:w="3289" w:type="dxa"/>
            <w:noWrap/>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52"/>
            </w:r>
            <w:r>
              <w:rPr>
                <w:rFonts w:hint="default" w:ascii="Times New Roman" w:hAnsi="Times New Roman" w:eastAsia="宋体" w:cs="Times New Roman"/>
                <w:color w:val="auto"/>
                <w:sz w:val="24"/>
                <w:szCs w:val="24"/>
              </w:rPr>
              <w:t>首次申报项目</w:t>
            </w:r>
          </w:p>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不予批准后再次申报项目</w:t>
            </w:r>
          </w:p>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超五年重新审核项目</w:t>
            </w:r>
          </w:p>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64" w:type="dxa"/>
            <w:noWrap/>
            <w:tcMar>
              <w:top w:w="16" w:type="dxa"/>
              <w:left w:w="16" w:type="dxa"/>
              <w:right w:w="16"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项目审批（核准/备案）部门</w:t>
            </w:r>
          </w:p>
        </w:tc>
        <w:tc>
          <w:tcPr>
            <w:tcW w:w="2331" w:type="dxa"/>
            <w:noWrap/>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z w:val="24"/>
                <w:szCs w:val="24"/>
                <w:highlight w:val="none"/>
                <w:lang w:val="en-US" w:eastAsia="zh-CN"/>
              </w:rPr>
            </w:pPr>
            <w:bookmarkStart w:id="11" w:name="OLE_LINK72"/>
            <w:r>
              <w:rPr>
                <w:rFonts w:hint="eastAsia" w:cs="Times New Roman"/>
                <w:color w:val="auto"/>
                <w:sz w:val="24"/>
                <w:szCs w:val="24"/>
                <w:highlight w:val="none"/>
                <w:lang w:val="en-US" w:eastAsia="zh-CN"/>
              </w:rPr>
              <w:t>新乡市卫滨区</w:t>
            </w:r>
          </w:p>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t>发展和改革委员会</w:t>
            </w:r>
            <w:bookmarkEnd w:id="11"/>
          </w:p>
        </w:tc>
        <w:tc>
          <w:tcPr>
            <w:tcW w:w="1675" w:type="dxa"/>
            <w:noWrap/>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项目审批</w:t>
            </w:r>
          </w:p>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（核准/备案）文号</w:t>
            </w:r>
          </w:p>
        </w:tc>
        <w:tc>
          <w:tcPr>
            <w:tcW w:w="3289" w:type="dxa"/>
            <w:noWrap/>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64" w:type="dxa"/>
            <w:noWrap/>
            <w:tcMar>
              <w:top w:w="16" w:type="dxa"/>
              <w:left w:w="16" w:type="dxa"/>
              <w:right w:w="16"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总投资</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（万元）</w:t>
            </w:r>
          </w:p>
        </w:tc>
        <w:tc>
          <w:tcPr>
            <w:tcW w:w="2331" w:type="dxa"/>
            <w:noWrap/>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100</w:t>
            </w:r>
          </w:p>
        </w:tc>
        <w:tc>
          <w:tcPr>
            <w:tcW w:w="1675" w:type="dxa"/>
            <w:noWrap/>
            <w:tcMar>
              <w:top w:w="16" w:type="dxa"/>
              <w:left w:w="16" w:type="dxa"/>
              <w:right w:w="16"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w:t>
            </w:r>
          </w:p>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（万元）</w:t>
            </w:r>
          </w:p>
        </w:tc>
        <w:tc>
          <w:tcPr>
            <w:tcW w:w="3289" w:type="dxa"/>
            <w:noWrap/>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64" w:type="dxa"/>
            <w:noWrap/>
            <w:tcMar>
              <w:top w:w="16" w:type="dxa"/>
              <w:left w:w="16" w:type="dxa"/>
              <w:right w:w="16"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占比（%）</w:t>
            </w:r>
          </w:p>
        </w:tc>
        <w:tc>
          <w:tcPr>
            <w:tcW w:w="2331" w:type="dxa"/>
            <w:noWrap/>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30</w:t>
            </w:r>
          </w:p>
        </w:tc>
        <w:tc>
          <w:tcPr>
            <w:tcW w:w="1675" w:type="dxa"/>
            <w:noWrap/>
            <w:tcMar>
              <w:top w:w="16" w:type="dxa"/>
              <w:left w:w="16" w:type="dxa"/>
              <w:right w:w="16"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施工工期</w:t>
            </w:r>
          </w:p>
        </w:tc>
        <w:tc>
          <w:tcPr>
            <w:tcW w:w="3289" w:type="dxa"/>
            <w:noWrap/>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4" w:type="dxa"/>
            <w:noWrap/>
            <w:tcMar>
              <w:top w:w="16" w:type="dxa"/>
              <w:left w:w="16" w:type="dxa"/>
              <w:right w:w="16"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是否开工</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w:t>
            </w:r>
          </w:p>
        </w:tc>
        <w:tc>
          <w:tcPr>
            <w:tcW w:w="2331" w:type="dxa"/>
            <w:noWrap/>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52"/>
            </w:r>
            <w:r>
              <w:rPr>
                <w:rFonts w:hint="default" w:ascii="Times New Roman" w:hAnsi="Times New Roman" w:eastAsia="宋体" w:cs="Times New Roman"/>
                <w:color w:val="auto"/>
                <w:sz w:val="24"/>
                <w:szCs w:val="24"/>
              </w:rPr>
              <w:t>否</w:t>
            </w:r>
          </w:p>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是：</w:t>
            </w:r>
            <w:r>
              <w:rPr>
                <w:rFonts w:hint="eastAsia" w:cs="Times New Roman"/>
                <w:color w:val="auto"/>
                <w:sz w:val="24"/>
                <w:szCs w:val="24"/>
                <w:u w:val="single"/>
                <w:lang w:val="en-US" w:eastAsia="zh-CN"/>
              </w:rPr>
              <w:t xml:space="preserve">         </w:t>
            </w:r>
            <w:r>
              <w:rPr>
                <w:rFonts w:hint="eastAsia" w:cs="Times New Roman"/>
                <w:color w:val="auto"/>
                <w:sz w:val="24"/>
                <w:szCs w:val="24"/>
                <w:u w:val="none"/>
                <w:lang w:val="en-US" w:eastAsia="zh-CN"/>
              </w:rPr>
              <w:t>。</w:t>
            </w:r>
          </w:p>
        </w:tc>
        <w:tc>
          <w:tcPr>
            <w:tcW w:w="1675" w:type="dxa"/>
            <w:noWrap/>
            <w:tcMar>
              <w:top w:w="16" w:type="dxa"/>
              <w:left w:w="16" w:type="dxa"/>
              <w:right w:w="16" w:type="dxa"/>
            </w:tcMar>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6"/>
                <w:sz w:val="24"/>
                <w:szCs w:val="24"/>
              </w:rPr>
            </w:pPr>
            <w:r>
              <w:rPr>
                <w:rFonts w:hint="default" w:ascii="Times New Roman" w:hAnsi="Times New Roman" w:eastAsia="宋体" w:cs="Times New Roman"/>
                <w:color w:val="auto"/>
                <w:spacing w:val="-6"/>
                <w:sz w:val="24"/>
                <w:szCs w:val="24"/>
              </w:rPr>
              <w:t>用地面积</w:t>
            </w:r>
          </w:p>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6"/>
                <w:sz w:val="24"/>
                <w:szCs w:val="24"/>
              </w:rPr>
              <w:t>（</w:t>
            </w:r>
            <w:r>
              <w:rPr>
                <w:rFonts w:hint="eastAsia" w:ascii="Times New Roman" w:hAnsi="Times New Roman" w:eastAsia="宋体" w:cs="Times New Roman"/>
                <w:color w:val="auto"/>
                <w:spacing w:val="-6"/>
                <w:sz w:val="24"/>
                <w:szCs w:val="24"/>
                <w:lang w:eastAsia="zh-CN"/>
              </w:rPr>
              <w:t>m²</w:t>
            </w:r>
            <w:r>
              <w:rPr>
                <w:rFonts w:hint="default" w:ascii="Times New Roman" w:hAnsi="Times New Roman" w:eastAsia="宋体" w:cs="Times New Roman"/>
                <w:color w:val="auto"/>
                <w:spacing w:val="-6"/>
                <w:sz w:val="24"/>
                <w:szCs w:val="24"/>
              </w:rPr>
              <w:t>）</w:t>
            </w:r>
          </w:p>
        </w:tc>
        <w:tc>
          <w:tcPr>
            <w:tcW w:w="3289" w:type="dxa"/>
            <w:noWrap/>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700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764" w:type="dxa"/>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专项评价设置情况</w:t>
            </w:r>
          </w:p>
        </w:tc>
        <w:tc>
          <w:tcPr>
            <w:tcW w:w="7295" w:type="dxa"/>
            <w:gridSpan w:val="3"/>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764" w:type="dxa"/>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规划情况</w:t>
            </w:r>
          </w:p>
        </w:tc>
        <w:tc>
          <w:tcPr>
            <w:tcW w:w="7295" w:type="dxa"/>
            <w:gridSpan w:val="3"/>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764" w:type="dxa"/>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规划环境影响评价情况</w:t>
            </w:r>
          </w:p>
        </w:tc>
        <w:tc>
          <w:tcPr>
            <w:tcW w:w="7295" w:type="dxa"/>
            <w:gridSpan w:val="3"/>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764" w:type="dxa"/>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rPr>
            </w:pPr>
            <w:bookmarkStart w:id="12" w:name="OLE_LINK143"/>
            <w:r>
              <w:rPr>
                <w:rFonts w:hint="default" w:ascii="Times New Roman" w:hAnsi="Times New Roman" w:eastAsia="宋体" w:cs="Times New Roman"/>
                <w:color w:val="auto"/>
                <w:kern w:val="0"/>
                <w:sz w:val="24"/>
                <w:szCs w:val="24"/>
              </w:rPr>
              <w:t>规划及规划环境影响评价符合性分析</w:t>
            </w:r>
            <w:bookmarkEnd w:id="12"/>
          </w:p>
        </w:tc>
        <w:tc>
          <w:tcPr>
            <w:tcW w:w="7295" w:type="dxa"/>
            <w:gridSpan w:val="3"/>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64" w:type="dxa"/>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color w:val="auto"/>
                <w:kern w:val="0"/>
                <w:sz w:val="24"/>
              </w:rPr>
            </w:pPr>
            <w:r>
              <w:rPr>
                <w:rFonts w:hAnsi="宋体"/>
                <w:color w:val="auto"/>
                <w:kern w:val="0"/>
                <w:sz w:val="24"/>
              </w:rPr>
              <w:t>其他符合性分析</w:t>
            </w:r>
          </w:p>
        </w:tc>
        <w:tc>
          <w:tcPr>
            <w:tcW w:w="7295" w:type="dxa"/>
            <w:gridSpan w:val="3"/>
            <w:noWrap/>
            <w:vAlign w:val="center"/>
          </w:tcPr>
          <w:p>
            <w:pPr>
              <w:keepNext w:val="0"/>
              <w:keepLines w:val="0"/>
              <w:suppressLineNumbers w:val="0"/>
              <w:bidi w:val="0"/>
              <w:spacing w:before="0" w:beforeAutospacing="0" w:after="0" w:afterAutospacing="0"/>
              <w:ind w:left="0" w:right="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1.《建设项目环境影响评价分类管理名录》（2021年版）符合性分析</w:t>
            </w:r>
          </w:p>
          <w:p>
            <w:pPr>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本项目依据</w:t>
            </w:r>
            <w:r>
              <w:rPr>
                <w:rFonts w:hint="default" w:ascii="Times New Roman" w:hAnsi="Times New Roman" w:eastAsia="宋体" w:cs="Times New Roman"/>
                <w:color w:val="auto"/>
                <w:lang w:val="en-US" w:eastAsia="zh-CN"/>
              </w:rPr>
              <w:t>《建设项目环境影响评价分类管理名录》（2021年版）</w:t>
            </w:r>
            <w:r>
              <w:rPr>
                <w:rFonts w:hint="eastAsia" w:ascii="Times New Roman" w:hAnsi="Times New Roman" w:eastAsia="宋体" w:cs="Times New Roman"/>
                <w:color w:val="auto"/>
                <w:lang w:val="en-US" w:eastAsia="zh-CN"/>
              </w:rPr>
              <w:t>，项目与分类管理名录对照分析见下表。</w:t>
            </w:r>
          </w:p>
          <w:p>
            <w:pPr>
              <w:pStyle w:val="12"/>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表</w:t>
            </w:r>
            <w:r>
              <w:rPr>
                <w:rFonts w:hint="eastAsia"/>
                <w:color w:val="auto"/>
                <w:lang w:val="en-US" w:eastAsia="zh-CN"/>
              </w:rPr>
              <w:t xml:space="preserve"> 1-1  </w:t>
            </w:r>
            <w:r>
              <w:rPr>
                <w:rFonts w:hint="eastAsia"/>
                <w:color w:val="auto"/>
                <w:lang w:eastAsia="zh-CN"/>
              </w:rPr>
              <w:t xml:space="preserve">  项目与</w:t>
            </w:r>
            <w:r>
              <w:rPr>
                <w:rFonts w:hint="default"/>
                <w:color w:val="auto"/>
                <w:lang w:eastAsia="zh-CN"/>
              </w:rPr>
              <w:t>分类管理名录</w:t>
            </w:r>
            <w:r>
              <w:rPr>
                <w:rFonts w:hint="eastAsia"/>
                <w:color w:val="auto"/>
                <w:lang w:val="en-US" w:eastAsia="zh-CN"/>
              </w:rPr>
              <w:t>对照</w:t>
            </w:r>
            <w:r>
              <w:rPr>
                <w:rFonts w:hint="eastAsia"/>
                <w:color w:val="auto"/>
                <w:lang w:eastAsia="zh-CN"/>
              </w:rPr>
              <w:t>分析</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17"/>
              <w:gridCol w:w="1908"/>
              <w:gridCol w:w="988"/>
              <w:gridCol w:w="24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0" w:type="pct"/>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b/>
                      <w:bCs/>
                      <w:color w:val="auto"/>
                      <w:kern w:val="2"/>
                      <w:sz w:val="21"/>
                      <w:lang w:val="en-US" w:eastAsia="zh-CN"/>
                    </w:rPr>
                  </w:pPr>
                  <w:r>
                    <w:rPr>
                      <w:rFonts w:hint="eastAsia"/>
                      <w:b/>
                      <w:bCs/>
                      <w:color w:val="auto"/>
                      <w:kern w:val="2"/>
                      <w:sz w:val="21"/>
                      <w:lang w:val="en-US" w:eastAsia="zh-CN"/>
                    </w:rPr>
                    <w:t>行业类别</w:t>
                  </w:r>
                </w:p>
              </w:tc>
              <w:tc>
                <w:tcPr>
                  <w:tcW w:w="1333" w:type="pct"/>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eastAsia"/>
                      <w:b/>
                      <w:bCs/>
                      <w:color w:val="auto"/>
                      <w:kern w:val="2"/>
                      <w:sz w:val="21"/>
                      <w:lang w:eastAsia="zh-CN"/>
                    </w:rPr>
                  </w:pPr>
                  <w:r>
                    <w:rPr>
                      <w:rFonts w:hint="eastAsia"/>
                      <w:b/>
                      <w:bCs/>
                      <w:color w:val="auto"/>
                      <w:kern w:val="2"/>
                      <w:sz w:val="21"/>
                      <w:lang w:val="en-US" w:eastAsia="zh-CN"/>
                    </w:rPr>
                    <w:t>报告书</w:t>
                  </w:r>
                </w:p>
              </w:tc>
              <w:tc>
                <w:tcPr>
                  <w:tcW w:w="690" w:type="pct"/>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eastAsia"/>
                      <w:b/>
                      <w:bCs/>
                      <w:color w:val="auto"/>
                      <w:kern w:val="2"/>
                      <w:sz w:val="21"/>
                      <w:lang w:eastAsia="zh-CN"/>
                    </w:rPr>
                  </w:pPr>
                  <w:r>
                    <w:rPr>
                      <w:rFonts w:hint="eastAsia"/>
                      <w:b/>
                      <w:bCs/>
                      <w:color w:val="auto"/>
                      <w:kern w:val="2"/>
                      <w:sz w:val="21"/>
                      <w:lang w:val="en-US" w:eastAsia="zh-CN"/>
                    </w:rPr>
                    <w:t>报告表</w:t>
                  </w:r>
                </w:p>
              </w:tc>
              <w:tc>
                <w:tcPr>
                  <w:tcW w:w="1706" w:type="pct"/>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b/>
                      <w:bCs/>
                      <w:color w:val="auto"/>
                      <w:kern w:val="2"/>
                      <w:sz w:val="21"/>
                      <w:lang w:val="en-US" w:eastAsia="zh-CN"/>
                    </w:rPr>
                  </w:pPr>
                  <w:r>
                    <w:rPr>
                      <w:rFonts w:hint="eastAsia"/>
                      <w:b/>
                      <w:bCs/>
                      <w:color w:val="auto"/>
                      <w:kern w:val="2"/>
                      <w:sz w:val="21"/>
                      <w:lang w:val="en-US" w:eastAsia="zh-CN"/>
                    </w:rPr>
                    <w:t>本项目情况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0" w:type="pct"/>
                  <w:noWrap w:val="0"/>
                  <w:vAlign w:val="center"/>
                </w:tcPr>
                <w:p>
                  <w:pPr>
                    <w:pStyle w:val="28"/>
                    <w:keepNext w:val="0"/>
                    <w:keepLines w:val="0"/>
                    <w:widowControl/>
                    <w:suppressLineNumbers w:val="0"/>
                    <w:bidi w:val="0"/>
                    <w:spacing w:before="0" w:beforeAutospacing="0" w:after="0" w:afterAutospacing="0"/>
                    <w:ind w:left="0" w:right="0"/>
                    <w:jc w:val="both"/>
                    <w:rPr>
                      <w:rFonts w:hint="default" w:ascii="Times New Roman" w:hAnsi="Times New Roman" w:eastAsia="宋体"/>
                      <w:color w:val="auto"/>
                      <w:kern w:val="2"/>
                      <w:sz w:val="21"/>
                      <w:lang w:val="en-US" w:eastAsia="zh-CN"/>
                    </w:rPr>
                  </w:pPr>
                  <w:r>
                    <w:rPr>
                      <w:rFonts w:hint="eastAsia" w:ascii="Times New Roman" w:hAnsi="Times New Roman" w:eastAsia="宋体"/>
                      <w:color w:val="auto"/>
                      <w:kern w:val="2"/>
                      <w:sz w:val="21"/>
                      <w:lang w:val="en-US" w:eastAsia="zh-CN"/>
                    </w:rPr>
                    <w:t>四十七、生态保护和环境治理业-101危险废物（不含医疗废物）利用及处置</w:t>
                  </w:r>
                </w:p>
              </w:tc>
              <w:tc>
                <w:tcPr>
                  <w:tcW w:w="1333" w:type="pct"/>
                  <w:noWrap w:val="0"/>
                  <w:vAlign w:val="center"/>
                </w:tcPr>
                <w:p>
                  <w:pPr>
                    <w:pStyle w:val="28"/>
                    <w:keepNext w:val="0"/>
                    <w:keepLines w:val="0"/>
                    <w:widowControl/>
                    <w:suppressLineNumbers w:val="0"/>
                    <w:bidi w:val="0"/>
                    <w:spacing w:before="0" w:beforeAutospacing="0" w:after="0" w:afterAutospacing="0"/>
                    <w:ind w:left="0" w:right="0"/>
                    <w:jc w:val="both"/>
                    <w:rPr>
                      <w:rFonts w:hint="default" w:ascii="Times New Roman" w:hAnsi="Times New Roman" w:eastAsia="宋体"/>
                      <w:color w:val="auto"/>
                      <w:kern w:val="2"/>
                      <w:sz w:val="21"/>
                      <w:lang w:val="en-US" w:eastAsia="zh-CN"/>
                    </w:rPr>
                  </w:pPr>
                  <w:r>
                    <w:rPr>
                      <w:rFonts w:hint="eastAsia" w:ascii="Times New Roman" w:hAnsi="Times New Roman" w:eastAsia="宋体"/>
                      <w:color w:val="auto"/>
                      <w:kern w:val="2"/>
                      <w:sz w:val="21"/>
                      <w:lang w:val="en-US" w:eastAsia="zh-CN"/>
                    </w:rPr>
                    <w:t>危险废物利用及处置（产生单位内部回收再利用的除外；单纯收集、贮存的除外）</w:t>
                  </w:r>
                </w:p>
              </w:tc>
              <w:tc>
                <w:tcPr>
                  <w:tcW w:w="690" w:type="pct"/>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eastAsia="宋体"/>
                      <w:color w:val="auto"/>
                      <w:kern w:val="2"/>
                      <w:sz w:val="21"/>
                      <w:lang w:val="en-US" w:eastAsia="zh-CN"/>
                    </w:rPr>
                  </w:pPr>
                  <w:r>
                    <w:rPr>
                      <w:rFonts w:hint="eastAsia" w:ascii="Times New Roman" w:hAnsi="Times New Roman" w:eastAsia="宋体"/>
                      <w:color w:val="auto"/>
                      <w:kern w:val="2"/>
                      <w:sz w:val="21"/>
                      <w:lang w:val="en-US" w:eastAsia="zh-CN"/>
                    </w:rPr>
                    <w:t>其他</w:t>
                  </w:r>
                </w:p>
              </w:tc>
              <w:tc>
                <w:tcPr>
                  <w:tcW w:w="1706" w:type="pct"/>
                  <w:noWrap w:val="0"/>
                  <w:vAlign w:val="center"/>
                </w:tcPr>
                <w:p>
                  <w:pPr>
                    <w:pStyle w:val="28"/>
                    <w:keepNext w:val="0"/>
                    <w:keepLines w:val="0"/>
                    <w:widowControl/>
                    <w:suppressLineNumbers w:val="0"/>
                    <w:bidi w:val="0"/>
                    <w:spacing w:before="0" w:beforeAutospacing="0" w:after="0" w:afterAutospacing="0"/>
                    <w:ind w:left="0" w:right="0"/>
                    <w:jc w:val="both"/>
                    <w:rPr>
                      <w:rFonts w:hint="default" w:ascii="Times New Roman" w:hAnsi="Times New Roman" w:eastAsia="宋体"/>
                      <w:color w:val="auto"/>
                      <w:kern w:val="2"/>
                      <w:sz w:val="21"/>
                      <w:lang w:val="en-US" w:eastAsia="zh-CN"/>
                    </w:rPr>
                  </w:pPr>
                  <w:bookmarkStart w:id="13" w:name="OLE_LINK10"/>
                  <w:r>
                    <w:rPr>
                      <w:rFonts w:hint="eastAsia" w:ascii="Times New Roman" w:hAnsi="Times New Roman" w:eastAsia="宋体"/>
                      <w:color w:val="auto"/>
                      <w:kern w:val="2"/>
                      <w:sz w:val="21"/>
                      <w:lang w:val="en-US" w:eastAsia="zh-CN"/>
                    </w:rPr>
                    <w:t>本项目为</w:t>
                  </w:r>
                  <w:bookmarkStart w:id="14" w:name="OLE_LINK73"/>
                  <w:r>
                    <w:rPr>
                      <w:rFonts w:hint="eastAsia" w:ascii="Times New Roman" w:hAnsi="Times New Roman" w:eastAsia="宋体"/>
                      <w:color w:val="auto"/>
                      <w:kern w:val="2"/>
                      <w:sz w:val="21"/>
                      <w:lang w:val="en-US" w:eastAsia="zh-CN"/>
                    </w:rPr>
                    <w:t>废铅蓄电池收集贮存项目</w:t>
                  </w:r>
                  <w:bookmarkEnd w:id="14"/>
                  <w:r>
                    <w:rPr>
                      <w:rFonts w:hint="eastAsia" w:ascii="Times New Roman" w:hAnsi="Times New Roman" w:eastAsia="宋体"/>
                      <w:color w:val="auto"/>
                      <w:kern w:val="2"/>
                      <w:sz w:val="21"/>
                      <w:lang w:val="en-US" w:eastAsia="zh-CN"/>
                    </w:rPr>
                    <w:t>，仅进行废铅蓄电池的收集、贮存工作，不实施电池任何拆解及后续深加工等处理工艺</w:t>
                  </w:r>
                  <w:bookmarkEnd w:id="13"/>
                </w:p>
              </w:tc>
            </w:tr>
          </w:tbl>
          <w:p>
            <w:pPr>
              <w:keepNext w:val="0"/>
              <w:keepLines w:val="0"/>
              <w:suppressLineNumbers w:val="0"/>
              <w:bidi w:val="0"/>
              <w:spacing w:before="0" w:beforeAutospacing="0" w:after="0" w:afterAutospacing="0"/>
              <w:ind w:left="0" w:right="0"/>
              <w:rPr>
                <w:rFonts w:hint="eastAsia" w:ascii="Times New Roman" w:hAnsi="Times New Roman" w:eastAsia="宋体" w:cs="Times New Roman"/>
                <w:b/>
                <w:bCs/>
                <w:color w:val="auto"/>
                <w:lang w:val="en-US" w:eastAsia="zh-CN"/>
              </w:rPr>
            </w:pPr>
            <w:r>
              <w:rPr>
                <w:rFonts w:hint="eastAsia" w:ascii="Times New Roman" w:hAnsi="宋体" w:eastAsia="宋体" w:cs="Times New Roman"/>
                <w:color w:val="auto"/>
                <w:sz w:val="24"/>
                <w:lang w:val="en-US" w:eastAsia="zh-CN"/>
              </w:rPr>
              <w:t>根据上表分析，本项目</w:t>
            </w:r>
            <w:r>
              <w:rPr>
                <w:rFonts w:hint="default" w:ascii="Times New Roman" w:hAnsi="宋体" w:eastAsia="宋体" w:cs="Times New Roman"/>
                <w:color w:val="auto"/>
                <w:sz w:val="24"/>
                <w:lang w:val="en-US" w:eastAsia="zh-CN"/>
              </w:rPr>
              <w:t>应编制环境影响报告表。</w:t>
            </w:r>
          </w:p>
          <w:p>
            <w:pPr>
              <w:keepNext w:val="0"/>
              <w:keepLines w:val="0"/>
              <w:suppressLineNumbers w:val="0"/>
              <w:bidi w:val="0"/>
              <w:spacing w:before="0" w:beforeAutospacing="0" w:after="0" w:afterAutospacing="0"/>
              <w:ind w:left="0" w:right="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2.产业政策相符性</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ascii="Times New Roman" w:hAnsi="Times New Roman" w:eastAsia="宋体" w:cs="Times New Roman"/>
                <w:color w:val="auto"/>
                <w:lang w:val="en-US" w:eastAsia="zh-CN"/>
              </w:rPr>
              <w:t>本项目已在卫滨区</w:t>
            </w:r>
            <w:r>
              <w:rPr>
                <w:rFonts w:hint="default" w:ascii="Times New Roman" w:hAnsi="Times New Roman" w:eastAsia="宋体" w:cs="Times New Roman"/>
                <w:color w:val="auto"/>
              </w:rPr>
              <w:t>发展和改革委员会</w:t>
            </w:r>
            <w:r>
              <w:rPr>
                <w:rFonts w:hint="eastAsia" w:ascii="Times New Roman" w:hAnsi="Times New Roman" w:eastAsia="宋体" w:cs="Times New Roman"/>
                <w:color w:val="auto"/>
                <w:lang w:val="en-US" w:eastAsia="zh-CN"/>
              </w:rPr>
              <w:t>，项目代码</w:t>
            </w:r>
            <w:r>
              <w:rPr>
                <w:rFonts w:hint="default" w:ascii="Times New Roman" w:hAnsi="Times New Roman" w:eastAsia="宋体" w:cs="Times New Roman"/>
                <w:color w:val="auto"/>
                <w:lang w:eastAsia="zh-CN"/>
              </w:rPr>
              <w:t>2603-410703-04-01-917965</w:t>
            </w:r>
            <w:r>
              <w:rPr>
                <w:rFonts w:hint="eastAsia" w:ascii="Times New Roman" w:hAnsi="Times New Roman" w:eastAsia="宋体" w:cs="Times New Roman"/>
                <w:color w:val="auto"/>
                <w:lang w:val="en-US" w:eastAsia="zh-CN"/>
              </w:rPr>
              <w:t>（详见附件二）。经查阅《产业结构调整指导目录</w:t>
            </w:r>
            <w:r>
              <w:rPr>
                <w:rFonts w:hint="eastAsia" w:cs="Times New Roman"/>
                <w:color w:val="auto"/>
                <w:lang w:val="en-US" w:eastAsia="zh-CN"/>
              </w:rPr>
              <w:t>（</w:t>
            </w:r>
            <w:r>
              <w:rPr>
                <w:rFonts w:hint="eastAsia" w:ascii="Times New Roman" w:hAnsi="Times New Roman" w:eastAsia="宋体" w:cs="Times New Roman"/>
                <w:color w:val="auto"/>
                <w:lang w:val="en-US" w:eastAsia="zh-CN"/>
              </w:rPr>
              <w:t>2024年本</w:t>
            </w:r>
            <w:r>
              <w:rPr>
                <w:rFonts w:hint="eastAsia" w:cs="Times New Roman"/>
                <w:color w:val="auto"/>
                <w:lang w:val="en-US" w:eastAsia="zh-CN"/>
              </w:rPr>
              <w:t>）</w:t>
            </w: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rPr>
              <w:t>本项目生产工艺、设备、产品均不在限制类、淘汰类之列，属于</w:t>
            </w:r>
            <w:r>
              <w:rPr>
                <w:rFonts w:hint="eastAsia" w:ascii="Times New Roman" w:hAnsi="Times New Roman" w:eastAsia="宋体" w:cs="Times New Roman"/>
                <w:color w:val="auto"/>
              </w:rPr>
              <w:t>鼓励类</w:t>
            </w:r>
            <w:r>
              <w:rPr>
                <w:rFonts w:ascii="Times New Roman" w:hAnsi="Times New Roman" w:eastAsia="宋体" w:cs="Times New Roman"/>
                <w:color w:val="auto"/>
              </w:rPr>
              <w:t>，符</w:t>
            </w:r>
            <w:r>
              <w:rPr>
                <w:color w:val="auto"/>
              </w:rPr>
              <w:t>合国家产业政策。</w:t>
            </w:r>
            <w:r>
              <w:rPr>
                <w:rFonts w:hint="eastAsia"/>
                <w:color w:val="auto"/>
                <w:lang w:val="en-US" w:eastAsia="zh-CN"/>
              </w:rPr>
              <w:t>本项目情况与产业政策一致性分析见下表。</w:t>
            </w:r>
          </w:p>
          <w:p>
            <w:pPr>
              <w:pStyle w:val="12"/>
              <w:keepNext w:val="0"/>
              <w:keepLines w:val="0"/>
              <w:suppressLineNumbers w:val="0"/>
              <w:bidi w:val="0"/>
              <w:spacing w:before="0" w:beforeAutospacing="0" w:after="0" w:afterAutospacing="0"/>
              <w:ind w:left="0" w:right="0"/>
              <w:rPr>
                <w:rFonts w:hint="eastAsia"/>
                <w:color w:val="auto"/>
              </w:rPr>
            </w:pPr>
            <w:r>
              <w:rPr>
                <w:rFonts w:hint="eastAsia"/>
                <w:color w:val="auto"/>
              </w:rPr>
              <w:t>表</w:t>
            </w:r>
            <w:r>
              <w:rPr>
                <w:rFonts w:hint="eastAsia"/>
                <w:color w:val="auto"/>
                <w:lang w:val="en-US" w:eastAsia="zh-CN"/>
              </w:rPr>
              <w:t xml:space="preserve"> </w:t>
            </w:r>
            <w:r>
              <w:rPr>
                <w:rFonts w:hint="eastAsia"/>
                <w:color w:val="auto"/>
              </w:rPr>
              <w:t>1-</w:t>
            </w:r>
            <w:r>
              <w:rPr>
                <w:rFonts w:hint="eastAsia"/>
                <w:color w:val="auto"/>
                <w:lang w:val="en-US" w:eastAsia="zh-CN"/>
              </w:rPr>
              <w:t>2</w:t>
            </w:r>
            <w:r>
              <w:rPr>
                <w:rFonts w:hint="eastAsia"/>
                <w:color w:val="auto"/>
              </w:rPr>
              <w:t xml:space="preserve">  </w:t>
            </w:r>
            <w:r>
              <w:rPr>
                <w:rFonts w:hint="eastAsia"/>
                <w:color w:val="auto"/>
                <w:lang w:val="en-US" w:eastAsia="zh-CN"/>
              </w:rPr>
              <w:t xml:space="preserve">  </w:t>
            </w:r>
            <w:r>
              <w:rPr>
                <w:rFonts w:hint="eastAsia"/>
                <w:color w:val="auto"/>
              </w:rPr>
              <w:t>产业政策相符性分析</w:t>
            </w:r>
          </w:p>
          <w:tbl>
            <w:tblPr>
              <w:tblStyle w:val="22"/>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0"/>
              <w:gridCol w:w="550"/>
              <w:gridCol w:w="445"/>
              <w:gridCol w:w="3415"/>
              <w:gridCol w:w="1822"/>
              <w:gridCol w:w="46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2"/>
                  <w:noWrap w:val="0"/>
                  <w:vAlign w:val="center"/>
                </w:tcPr>
                <w:p>
                  <w:pPr>
                    <w:pStyle w:val="28"/>
                    <w:keepNext w:val="0"/>
                    <w:keepLines w:val="0"/>
                    <w:suppressLineNumbers w:val="0"/>
                    <w:bidi w:val="0"/>
                    <w:spacing w:before="0" w:beforeAutospacing="0" w:after="0" w:afterAutospacing="0"/>
                    <w:ind w:left="0" w:right="0"/>
                    <w:rPr>
                      <w:b/>
                      <w:bCs/>
                      <w:color w:val="auto"/>
                    </w:rPr>
                  </w:pPr>
                  <w:r>
                    <w:rPr>
                      <w:rFonts w:hint="eastAsia"/>
                      <w:b/>
                      <w:bCs/>
                      <w:color w:val="auto"/>
                    </w:rPr>
                    <w:t>类别</w:t>
                  </w:r>
                </w:p>
              </w:tc>
              <w:tc>
                <w:tcPr>
                  <w:tcW w:w="0" w:type="auto"/>
                  <w:noWrap w:val="0"/>
                  <w:vAlign w:val="center"/>
                </w:tcPr>
                <w:p>
                  <w:pPr>
                    <w:pStyle w:val="28"/>
                    <w:keepNext w:val="0"/>
                    <w:keepLines w:val="0"/>
                    <w:suppressLineNumbers w:val="0"/>
                    <w:bidi w:val="0"/>
                    <w:spacing w:before="0" w:beforeAutospacing="0" w:after="0" w:afterAutospacing="0"/>
                    <w:ind w:left="0" w:right="0"/>
                    <w:rPr>
                      <w:rFonts w:hint="eastAsia"/>
                      <w:b/>
                      <w:bCs/>
                      <w:color w:val="auto"/>
                    </w:rPr>
                  </w:pPr>
                  <w:r>
                    <w:rPr>
                      <w:rFonts w:hint="eastAsia"/>
                      <w:b/>
                      <w:bCs/>
                      <w:color w:val="auto"/>
                    </w:rPr>
                    <w:t>条款</w:t>
                  </w:r>
                </w:p>
              </w:tc>
              <w:tc>
                <w:tcPr>
                  <w:tcW w:w="0" w:type="auto"/>
                  <w:noWrap w:val="0"/>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内容</w:t>
                  </w:r>
                </w:p>
              </w:tc>
              <w:tc>
                <w:tcPr>
                  <w:tcW w:w="0" w:type="auto"/>
                  <w:noWrap w:val="0"/>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本项目情况</w:t>
                  </w:r>
                </w:p>
              </w:tc>
              <w:tc>
                <w:tcPr>
                  <w:tcW w:w="0" w:type="auto"/>
                  <w:noWrap w:val="0"/>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2"/>
                  <w:noWrap w:val="0"/>
                  <w:vAlign w:val="center"/>
                </w:tcPr>
                <w:p>
                  <w:pPr>
                    <w:pStyle w:val="28"/>
                    <w:keepNext w:val="0"/>
                    <w:keepLines w:val="0"/>
                    <w:suppressLineNumbers w:val="0"/>
                    <w:bidi w:val="0"/>
                    <w:spacing w:before="0" w:beforeAutospacing="0" w:after="0" w:afterAutospacing="0"/>
                    <w:ind w:left="0" w:right="0"/>
                    <w:rPr>
                      <w:color w:val="auto"/>
                    </w:rPr>
                  </w:pPr>
                  <w:r>
                    <w:rPr>
                      <w:color w:val="auto"/>
                    </w:rPr>
                    <w:t>鼓励类</w:t>
                  </w:r>
                </w:p>
              </w:tc>
              <w:tc>
                <w:tcPr>
                  <w:tcW w:w="0" w:type="auto"/>
                  <w:noWrap w:val="0"/>
                  <w:vAlign w:val="center"/>
                </w:tcPr>
                <w:p>
                  <w:pPr>
                    <w:pStyle w:val="28"/>
                    <w:keepNext w:val="0"/>
                    <w:keepLines w:val="0"/>
                    <w:suppressLineNumbers w:val="0"/>
                    <w:bidi w:val="0"/>
                    <w:spacing w:before="0" w:beforeAutospacing="0" w:after="0" w:afterAutospacing="0"/>
                    <w:ind w:left="0" w:right="0"/>
                    <w:rPr>
                      <w:rFonts w:hAnsiTheme="minorEastAsia" w:eastAsiaTheme="minorEastAsia"/>
                      <w:color w:val="auto"/>
                      <w:sz w:val="21"/>
                      <w:szCs w:val="21"/>
                      <w:highlight w:val="none"/>
                    </w:rPr>
                  </w:pPr>
                  <w:r>
                    <w:rPr>
                      <w:rFonts w:hAnsiTheme="minorEastAsia" w:eastAsiaTheme="minorEastAsia"/>
                      <w:color w:val="auto"/>
                      <w:sz w:val="21"/>
                      <w:szCs w:val="21"/>
                      <w:highlight w:val="none"/>
                    </w:rPr>
                    <w:t>/</w:t>
                  </w:r>
                </w:p>
              </w:tc>
              <w:tc>
                <w:tcPr>
                  <w:tcW w:w="0" w:type="auto"/>
                  <w:noWrap w:val="0"/>
                  <w:vAlign w:val="center"/>
                </w:tcPr>
                <w:p>
                  <w:pPr>
                    <w:pStyle w:val="28"/>
                    <w:keepNext w:val="0"/>
                    <w:keepLines w:val="0"/>
                    <w:suppressLineNumbers w:val="0"/>
                    <w:bidi w:val="0"/>
                    <w:spacing w:before="0" w:beforeAutospacing="0" w:after="0" w:afterAutospacing="0"/>
                    <w:ind w:left="0" w:right="0"/>
                    <w:jc w:val="both"/>
                    <w:rPr>
                      <w:rFonts w:hint="eastAsia" w:hAnsiTheme="minorEastAsia" w:eastAsiaTheme="minorEastAsia"/>
                      <w:color w:val="auto"/>
                      <w:sz w:val="21"/>
                      <w:szCs w:val="21"/>
                      <w:highlight w:val="none"/>
                      <w:lang w:eastAsia="zh-CN"/>
                    </w:rPr>
                  </w:pPr>
                  <w:r>
                    <w:rPr>
                      <w:rFonts w:hAnsiTheme="minorEastAsia" w:eastAsiaTheme="minorEastAsia"/>
                      <w:color w:val="auto"/>
                      <w:sz w:val="21"/>
                      <w:szCs w:val="21"/>
                      <w:highlight w:val="none"/>
                    </w:rPr>
                    <w:t>四十二、环境保护与资源节约综合利用7．废弃物回收：城市典型废弃物回收网络体系建设（包括规范回收站点、符合国家相关标准要求的绿色分拣中心、交易中心建设），废钢破碎生产线（4000马力以上）、废铜铝破碎分选线（回收率95%以上）、废塑料复合材料回收处理成套装备（回收率95%以上），废旧动力电池回收网络建设</w:t>
                  </w:r>
                  <w:r>
                    <w:rPr>
                      <w:rFonts w:hint="eastAsia" w:hAnsiTheme="minorEastAsia" w:eastAsiaTheme="minorEastAsia"/>
                      <w:color w:val="auto"/>
                      <w:sz w:val="21"/>
                      <w:szCs w:val="21"/>
                      <w:highlight w:val="none"/>
                      <w:lang w:eastAsia="zh-CN"/>
                    </w:rPr>
                    <w:t>。</w:t>
                  </w:r>
                </w:p>
              </w:tc>
              <w:tc>
                <w:tcPr>
                  <w:tcW w:w="0" w:type="auto"/>
                  <w:noWrap w:val="0"/>
                  <w:vAlign w:val="center"/>
                </w:tcPr>
                <w:p>
                  <w:pPr>
                    <w:pStyle w:val="28"/>
                    <w:keepNext w:val="0"/>
                    <w:keepLines w:val="0"/>
                    <w:suppressLineNumbers w:val="0"/>
                    <w:bidi w:val="0"/>
                    <w:spacing w:before="0" w:beforeAutospacing="0" w:after="0" w:afterAutospacing="0"/>
                    <w:ind w:left="0" w:right="0"/>
                    <w:jc w:val="both"/>
                    <w:rPr>
                      <w:rFonts w:hint="eastAsia" w:hAnsiTheme="minorEastAsia" w:eastAsiaTheme="minorEastAsia"/>
                      <w:color w:val="auto"/>
                      <w:sz w:val="21"/>
                      <w:szCs w:val="21"/>
                      <w:highlight w:val="none"/>
                      <w:lang w:val="en-US" w:eastAsia="zh-CN"/>
                    </w:rPr>
                  </w:pPr>
                  <w:r>
                    <w:rPr>
                      <w:rFonts w:hint="eastAsia" w:hAnsiTheme="minorEastAsia" w:eastAsiaTheme="minorEastAsia"/>
                      <w:color w:val="auto"/>
                      <w:sz w:val="21"/>
                      <w:szCs w:val="21"/>
                      <w:highlight w:val="none"/>
                      <w:lang w:val="en-US" w:eastAsia="zh-CN"/>
                    </w:rPr>
                    <w:t>本项目为废铅蓄电池收集贮存项目，仅进行废铅蓄电池的收集、贮存工作，不实施电池任何拆解及后续深加工等处理工艺，属于</w:t>
                  </w:r>
                  <w:r>
                    <w:rPr>
                      <w:rFonts w:hAnsiTheme="minorEastAsia" w:eastAsiaTheme="minorEastAsia"/>
                      <w:color w:val="auto"/>
                      <w:sz w:val="21"/>
                      <w:szCs w:val="21"/>
                      <w:highlight w:val="none"/>
                    </w:rPr>
                    <w:t>废旧动力电池回收网络建设</w:t>
                  </w:r>
                  <w:r>
                    <w:rPr>
                      <w:rFonts w:hint="eastAsia" w:hAnsiTheme="minorEastAsia" w:eastAsiaTheme="minorEastAsia"/>
                      <w:color w:val="auto"/>
                      <w:sz w:val="21"/>
                      <w:szCs w:val="21"/>
                      <w:highlight w:val="none"/>
                      <w:lang w:eastAsia="zh-CN"/>
                    </w:rPr>
                    <w:t>。</w:t>
                  </w:r>
                </w:p>
              </w:tc>
              <w:tc>
                <w:tcPr>
                  <w:tcW w:w="0" w:type="auto"/>
                  <w:noWrap w:val="0"/>
                  <w:vAlign w:val="center"/>
                </w:tcPr>
                <w:p>
                  <w:pPr>
                    <w:pStyle w:val="28"/>
                    <w:keepNext w:val="0"/>
                    <w:keepLines w:val="0"/>
                    <w:suppressLineNumbers w:val="0"/>
                    <w:bidi w:val="0"/>
                    <w:spacing w:before="0" w:beforeAutospacing="0" w:after="0" w:afterAutospacing="0"/>
                    <w:ind w:left="0" w:right="0"/>
                    <w:rPr>
                      <w:color w:val="auto"/>
                    </w:rPr>
                  </w:pPr>
                  <w:r>
                    <w:rPr>
                      <w:color w:val="auto"/>
                    </w:rPr>
                    <w:t>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2"/>
                  <w:noWrap w:val="0"/>
                  <w:vAlign w:val="center"/>
                </w:tcPr>
                <w:p>
                  <w:pPr>
                    <w:pStyle w:val="28"/>
                    <w:keepNext w:val="0"/>
                    <w:keepLines w:val="0"/>
                    <w:suppressLineNumbers w:val="0"/>
                    <w:bidi w:val="0"/>
                    <w:spacing w:before="0" w:beforeAutospacing="0" w:after="0" w:afterAutospacing="0"/>
                    <w:ind w:left="0" w:right="0"/>
                    <w:rPr>
                      <w:color w:val="auto"/>
                    </w:rPr>
                  </w:pPr>
                  <w:r>
                    <w:rPr>
                      <w:rFonts w:hint="eastAsia"/>
                      <w:color w:val="auto"/>
                      <w:lang w:val="en-US" w:eastAsia="zh-CN"/>
                    </w:rPr>
                    <w:t>限制</w:t>
                  </w:r>
                  <w:r>
                    <w:rPr>
                      <w:color w:val="auto"/>
                    </w:rPr>
                    <w:t>类</w:t>
                  </w:r>
                </w:p>
              </w:tc>
              <w:tc>
                <w:tcPr>
                  <w:tcW w:w="0" w:type="auto"/>
                  <w:noWrap w:val="0"/>
                  <w:vAlign w:val="center"/>
                </w:tcPr>
                <w:p>
                  <w:pPr>
                    <w:pStyle w:val="28"/>
                    <w:keepNext w:val="0"/>
                    <w:keepLines w:val="0"/>
                    <w:suppressLineNumbers w:val="0"/>
                    <w:bidi w:val="0"/>
                    <w:spacing w:before="0" w:beforeAutospacing="0" w:after="0" w:afterAutospacing="0"/>
                    <w:ind w:left="0" w:right="0"/>
                    <w:rPr>
                      <w:color w:val="auto"/>
                    </w:rPr>
                  </w:pPr>
                  <w:r>
                    <w:rPr>
                      <w:color w:val="auto"/>
                    </w:rPr>
                    <w:t>/</w:t>
                  </w:r>
                </w:p>
              </w:tc>
              <w:tc>
                <w:tcPr>
                  <w:tcW w:w="0" w:type="auto"/>
                  <w:noWrap w:val="0"/>
                  <w:vAlign w:val="center"/>
                </w:tcPr>
                <w:p>
                  <w:pPr>
                    <w:pStyle w:val="28"/>
                    <w:keepNext w:val="0"/>
                    <w:keepLines w:val="0"/>
                    <w:suppressLineNumbers w:val="0"/>
                    <w:bidi w:val="0"/>
                    <w:spacing w:before="0" w:beforeAutospacing="0" w:after="0" w:afterAutospacing="0"/>
                    <w:ind w:left="0" w:right="0"/>
                    <w:rPr>
                      <w:rFonts w:ascii="Times New Roman" w:hAnsi="Times New Roman" w:eastAsia="宋体"/>
                      <w:color w:val="auto"/>
                    </w:rPr>
                  </w:pPr>
                  <w:bookmarkStart w:id="15" w:name="OLE_LINK69"/>
                  <w:r>
                    <w:rPr>
                      <w:rFonts w:ascii="Times New Roman" w:hAnsi="Times New Roman" w:eastAsia="宋体"/>
                      <w:color w:val="auto"/>
                    </w:rPr>
                    <w:t>查无相关对应条款</w:t>
                  </w:r>
                  <w:bookmarkEnd w:id="15"/>
                </w:p>
              </w:tc>
              <w:tc>
                <w:tcPr>
                  <w:tcW w:w="0" w:type="auto"/>
                  <w:noWrap w:val="0"/>
                  <w:vAlign w:val="center"/>
                </w:tcPr>
                <w:p>
                  <w:pPr>
                    <w:pStyle w:val="28"/>
                    <w:keepNext w:val="0"/>
                    <w:keepLines w:val="0"/>
                    <w:suppressLineNumbers w:val="0"/>
                    <w:bidi w:val="0"/>
                    <w:spacing w:before="0" w:beforeAutospacing="0" w:after="0" w:afterAutospacing="0"/>
                    <w:ind w:left="0" w:right="0"/>
                    <w:rPr>
                      <w:color w:val="auto"/>
                    </w:rPr>
                  </w:pPr>
                  <w:r>
                    <w:rPr>
                      <w:color w:val="auto"/>
                    </w:rPr>
                    <w:t>/</w:t>
                  </w:r>
                </w:p>
              </w:tc>
              <w:tc>
                <w:tcPr>
                  <w:tcW w:w="0" w:type="auto"/>
                  <w:noWrap w:val="0"/>
                  <w:vAlign w:val="center"/>
                </w:tcPr>
                <w:p>
                  <w:pPr>
                    <w:pStyle w:val="28"/>
                    <w:keepNext w:val="0"/>
                    <w:keepLines w:val="0"/>
                    <w:suppressLineNumbers w:val="0"/>
                    <w:bidi w:val="0"/>
                    <w:spacing w:before="0" w:beforeAutospacing="0" w:after="0" w:afterAutospacing="0"/>
                    <w:ind w:left="0" w:right="0"/>
                    <w:rPr>
                      <w:color w:val="auto"/>
                    </w:rPr>
                  </w:pPr>
                  <w:bookmarkStart w:id="16" w:name="OLE_LINK55"/>
                  <w:r>
                    <w:rPr>
                      <w:color w:val="auto"/>
                    </w:rPr>
                    <w:t>不属于</w:t>
                  </w:r>
                  <w:bookmarkEnd w:id="16"/>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restart"/>
                  <w:noWrap w:val="0"/>
                  <w:vAlign w:val="center"/>
                </w:tcPr>
                <w:p>
                  <w:pPr>
                    <w:pStyle w:val="28"/>
                    <w:keepNext w:val="0"/>
                    <w:keepLines w:val="0"/>
                    <w:suppressLineNumbers w:val="0"/>
                    <w:bidi w:val="0"/>
                    <w:spacing w:before="0" w:beforeAutospacing="0" w:after="0" w:afterAutospacing="0"/>
                    <w:ind w:left="0" w:right="0"/>
                    <w:rPr>
                      <w:color w:val="auto"/>
                    </w:rPr>
                  </w:pPr>
                  <w:r>
                    <w:rPr>
                      <w:color w:val="auto"/>
                    </w:rPr>
                    <w:t>淘汰类</w:t>
                  </w:r>
                </w:p>
              </w:tc>
              <w:tc>
                <w:tcPr>
                  <w:tcW w:w="0" w:type="auto"/>
                  <w:noWrap w:val="0"/>
                  <w:vAlign w:val="center"/>
                </w:tcPr>
                <w:p>
                  <w:pPr>
                    <w:pStyle w:val="28"/>
                    <w:keepNext w:val="0"/>
                    <w:keepLines w:val="0"/>
                    <w:suppressLineNumbers w:val="0"/>
                    <w:bidi w:val="0"/>
                    <w:spacing w:before="0" w:beforeAutospacing="0" w:after="0" w:afterAutospacing="0"/>
                    <w:ind w:left="0" w:right="0"/>
                    <w:rPr>
                      <w:color w:val="auto"/>
                    </w:rPr>
                  </w:pPr>
                  <w:r>
                    <w:rPr>
                      <w:color w:val="auto"/>
                    </w:rPr>
                    <w:t>落后生产工艺装备</w:t>
                  </w:r>
                </w:p>
              </w:tc>
              <w:tc>
                <w:tcPr>
                  <w:tcW w:w="0" w:type="auto"/>
                  <w:noWrap w:val="0"/>
                  <w:vAlign w:val="center"/>
                </w:tcPr>
                <w:p>
                  <w:pPr>
                    <w:pStyle w:val="28"/>
                    <w:keepNext w:val="0"/>
                    <w:keepLines w:val="0"/>
                    <w:suppressLineNumbers w:val="0"/>
                    <w:bidi w:val="0"/>
                    <w:spacing w:before="0" w:beforeAutospacing="0" w:after="0" w:afterAutospacing="0"/>
                    <w:ind w:left="0" w:right="0"/>
                    <w:rPr>
                      <w:rFonts w:hint="eastAsia"/>
                      <w:color w:val="auto"/>
                    </w:rPr>
                  </w:pPr>
                  <w:r>
                    <w:rPr>
                      <w:rFonts w:hint="eastAsia"/>
                      <w:color w:val="auto"/>
                    </w:rPr>
                    <w:t>/</w:t>
                  </w:r>
                </w:p>
              </w:tc>
              <w:tc>
                <w:tcPr>
                  <w:tcW w:w="0" w:type="auto"/>
                  <w:noWrap w:val="0"/>
                  <w:vAlign w:val="center"/>
                </w:tcPr>
                <w:p>
                  <w:pPr>
                    <w:pStyle w:val="28"/>
                    <w:keepNext w:val="0"/>
                    <w:keepLines w:val="0"/>
                    <w:suppressLineNumbers w:val="0"/>
                    <w:bidi w:val="0"/>
                    <w:spacing w:before="0" w:beforeAutospacing="0" w:after="0" w:afterAutospacing="0"/>
                    <w:ind w:left="0" w:right="0"/>
                    <w:rPr>
                      <w:rFonts w:ascii="Times New Roman" w:hAnsi="Times New Roman" w:eastAsia="宋体"/>
                      <w:color w:val="auto"/>
                    </w:rPr>
                  </w:pPr>
                  <w:r>
                    <w:rPr>
                      <w:rFonts w:ascii="Times New Roman" w:hAnsi="Times New Roman" w:eastAsia="宋体"/>
                      <w:color w:val="auto"/>
                    </w:rPr>
                    <w:t>查无相关对应条款</w:t>
                  </w:r>
                </w:p>
              </w:tc>
              <w:tc>
                <w:tcPr>
                  <w:tcW w:w="0" w:type="auto"/>
                  <w:noWrap w:val="0"/>
                  <w:vAlign w:val="center"/>
                </w:tcPr>
                <w:p>
                  <w:pPr>
                    <w:pStyle w:val="28"/>
                    <w:keepNext w:val="0"/>
                    <w:keepLines w:val="0"/>
                    <w:suppressLineNumbers w:val="0"/>
                    <w:bidi w:val="0"/>
                    <w:spacing w:before="0" w:beforeAutospacing="0" w:after="0" w:afterAutospacing="0"/>
                    <w:ind w:left="0" w:right="0"/>
                    <w:rPr>
                      <w:color w:val="auto"/>
                    </w:rPr>
                  </w:pPr>
                  <w:r>
                    <w:rPr>
                      <w:color w:val="auto"/>
                    </w:rPr>
                    <w:t>/</w:t>
                  </w:r>
                </w:p>
              </w:tc>
              <w:tc>
                <w:tcPr>
                  <w:tcW w:w="0" w:type="auto"/>
                  <w:noWrap w:val="0"/>
                  <w:vAlign w:val="center"/>
                </w:tcPr>
                <w:p>
                  <w:pPr>
                    <w:pStyle w:val="28"/>
                    <w:keepNext w:val="0"/>
                    <w:keepLines w:val="0"/>
                    <w:suppressLineNumbers w:val="0"/>
                    <w:bidi w:val="0"/>
                    <w:spacing w:before="0" w:beforeAutospacing="0" w:after="0" w:afterAutospacing="0"/>
                    <w:ind w:left="0" w:right="0"/>
                    <w:rPr>
                      <w:color w:val="auto"/>
                    </w:rPr>
                  </w:pPr>
                  <w:r>
                    <w:rPr>
                      <w:color w:val="auto"/>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noWrap w:val="0"/>
                  <w:vAlign w:val="center"/>
                </w:tcPr>
                <w:p>
                  <w:pPr>
                    <w:pStyle w:val="28"/>
                    <w:keepNext w:val="0"/>
                    <w:keepLines w:val="0"/>
                    <w:suppressLineNumbers w:val="0"/>
                    <w:bidi w:val="0"/>
                    <w:spacing w:before="0" w:beforeAutospacing="0" w:after="0" w:afterAutospacing="0"/>
                    <w:ind w:left="0" w:right="0"/>
                    <w:rPr>
                      <w:color w:val="auto"/>
                    </w:rPr>
                  </w:pPr>
                </w:p>
              </w:tc>
              <w:tc>
                <w:tcPr>
                  <w:tcW w:w="0" w:type="auto"/>
                  <w:noWrap w:val="0"/>
                  <w:vAlign w:val="center"/>
                </w:tcPr>
                <w:p>
                  <w:pPr>
                    <w:pStyle w:val="28"/>
                    <w:keepNext w:val="0"/>
                    <w:keepLines w:val="0"/>
                    <w:suppressLineNumbers w:val="0"/>
                    <w:bidi w:val="0"/>
                    <w:spacing w:before="0" w:beforeAutospacing="0" w:after="0" w:afterAutospacing="0"/>
                    <w:ind w:left="0" w:right="0"/>
                    <w:rPr>
                      <w:color w:val="auto"/>
                    </w:rPr>
                  </w:pPr>
                  <w:r>
                    <w:rPr>
                      <w:color w:val="auto"/>
                    </w:rPr>
                    <w:t>落后产品</w:t>
                  </w:r>
                </w:p>
              </w:tc>
              <w:tc>
                <w:tcPr>
                  <w:tcW w:w="0" w:type="auto"/>
                  <w:noWrap w:val="0"/>
                  <w:vAlign w:val="center"/>
                </w:tcPr>
                <w:p>
                  <w:pPr>
                    <w:pStyle w:val="28"/>
                    <w:keepNext w:val="0"/>
                    <w:keepLines w:val="0"/>
                    <w:suppressLineNumbers w:val="0"/>
                    <w:bidi w:val="0"/>
                    <w:spacing w:before="0" w:beforeAutospacing="0" w:after="0" w:afterAutospacing="0"/>
                    <w:ind w:left="0" w:right="0"/>
                    <w:rPr>
                      <w:rFonts w:hint="eastAsia"/>
                      <w:color w:val="auto"/>
                    </w:rPr>
                  </w:pPr>
                  <w:r>
                    <w:rPr>
                      <w:rFonts w:hint="eastAsia"/>
                      <w:color w:val="auto"/>
                    </w:rPr>
                    <w:t>/</w:t>
                  </w:r>
                </w:p>
              </w:tc>
              <w:tc>
                <w:tcPr>
                  <w:tcW w:w="0" w:type="auto"/>
                  <w:noWrap w:val="0"/>
                  <w:vAlign w:val="center"/>
                </w:tcPr>
                <w:p>
                  <w:pPr>
                    <w:pStyle w:val="28"/>
                    <w:keepNext w:val="0"/>
                    <w:keepLines w:val="0"/>
                    <w:suppressLineNumbers w:val="0"/>
                    <w:bidi w:val="0"/>
                    <w:spacing w:before="0" w:beforeAutospacing="0" w:after="0" w:afterAutospacing="0"/>
                    <w:ind w:left="0" w:right="0"/>
                    <w:rPr>
                      <w:rFonts w:ascii="Times New Roman" w:hAnsi="Times New Roman" w:eastAsia="宋体"/>
                      <w:color w:val="auto"/>
                    </w:rPr>
                  </w:pPr>
                  <w:r>
                    <w:rPr>
                      <w:rFonts w:ascii="Times New Roman" w:hAnsi="Times New Roman" w:eastAsia="宋体"/>
                      <w:color w:val="auto"/>
                    </w:rPr>
                    <w:t>查无相关对应条款</w:t>
                  </w:r>
                </w:p>
              </w:tc>
              <w:tc>
                <w:tcPr>
                  <w:tcW w:w="0" w:type="auto"/>
                  <w:noWrap w:val="0"/>
                  <w:vAlign w:val="center"/>
                </w:tcPr>
                <w:p>
                  <w:pPr>
                    <w:pStyle w:val="28"/>
                    <w:keepNext w:val="0"/>
                    <w:keepLines w:val="0"/>
                    <w:suppressLineNumbers w:val="0"/>
                    <w:bidi w:val="0"/>
                    <w:spacing w:before="0" w:beforeAutospacing="0" w:after="0" w:afterAutospacing="0"/>
                    <w:ind w:left="0" w:right="0"/>
                    <w:rPr>
                      <w:color w:val="auto"/>
                    </w:rPr>
                  </w:pPr>
                  <w:r>
                    <w:rPr>
                      <w:color w:val="auto"/>
                    </w:rPr>
                    <w:t>/</w:t>
                  </w:r>
                </w:p>
              </w:tc>
              <w:tc>
                <w:tcPr>
                  <w:tcW w:w="0" w:type="auto"/>
                  <w:noWrap w:val="0"/>
                  <w:vAlign w:val="center"/>
                </w:tcPr>
                <w:p>
                  <w:pPr>
                    <w:pStyle w:val="28"/>
                    <w:keepNext w:val="0"/>
                    <w:keepLines w:val="0"/>
                    <w:suppressLineNumbers w:val="0"/>
                    <w:bidi w:val="0"/>
                    <w:spacing w:before="0" w:beforeAutospacing="0" w:after="0" w:afterAutospacing="0"/>
                    <w:ind w:left="0" w:right="0"/>
                    <w:rPr>
                      <w:color w:val="auto"/>
                    </w:rPr>
                  </w:pPr>
                  <w:r>
                    <w:rPr>
                      <w:color w:val="auto"/>
                    </w:rPr>
                    <w:t>不属于</w:t>
                  </w:r>
                </w:p>
              </w:tc>
            </w:tr>
          </w:tbl>
          <w:p>
            <w:pPr>
              <w:keepNext w:val="0"/>
              <w:keepLines w:val="0"/>
              <w:suppressLineNumbers w:val="0"/>
              <w:spacing w:before="0" w:beforeAutospacing="0" w:after="0" w:afterAutospacing="0" w:line="460" w:lineRule="exact"/>
              <w:ind w:left="0" w:right="0" w:firstLine="482" w:firstLineChars="200"/>
              <w:jc w:val="left"/>
              <w:rPr>
                <w:rFonts w:hint="eastAsia" w:ascii="Times New Roman" w:hAnsi="宋体" w:eastAsia="宋体" w:cs="Times New Roman"/>
                <w:b/>
                <w:bCs/>
                <w:color w:val="auto"/>
                <w:sz w:val="24"/>
                <w:lang w:val="en-US" w:eastAsia="zh-CN"/>
              </w:rPr>
            </w:pPr>
            <w:r>
              <w:rPr>
                <w:rFonts w:hint="eastAsia" w:ascii="Times New Roman" w:hAnsi="宋体" w:eastAsia="宋体" w:cs="Times New Roman"/>
                <w:b/>
                <w:bCs/>
                <w:color w:val="auto"/>
                <w:sz w:val="24"/>
                <w:lang w:val="en-US" w:eastAsia="zh-CN"/>
              </w:rPr>
              <w:t>3.本项目与备案相符性分析</w:t>
            </w:r>
          </w:p>
          <w:p>
            <w:pPr>
              <w:keepNext w:val="0"/>
              <w:keepLines w:val="0"/>
              <w:suppressLineNumbers w:val="0"/>
              <w:spacing w:before="0" w:beforeAutospacing="0" w:after="0" w:afterAutospacing="0" w:line="460" w:lineRule="exact"/>
              <w:ind w:left="0" w:right="0" w:firstLine="480" w:firstLineChars="200"/>
              <w:jc w:val="left"/>
              <w:rPr>
                <w:rFonts w:hint="eastAsia" w:ascii="Times New Roman" w:hAnsi="宋体" w:eastAsia="宋体" w:cs="Times New Roman"/>
                <w:color w:val="auto"/>
                <w:sz w:val="24"/>
                <w:lang w:val="en-US" w:eastAsia="zh-CN"/>
              </w:rPr>
            </w:pPr>
            <w:r>
              <w:rPr>
                <w:rFonts w:hint="eastAsia" w:ascii="Times New Roman" w:hAnsi="宋体" w:eastAsia="宋体" w:cs="Times New Roman"/>
                <w:color w:val="auto"/>
                <w:sz w:val="24"/>
                <w:lang w:val="en-US" w:eastAsia="zh-CN"/>
              </w:rPr>
              <w:t>本项目与备案一致性分析见下表。</w:t>
            </w:r>
          </w:p>
          <w:p>
            <w:pPr>
              <w:pStyle w:val="12"/>
              <w:keepNext w:val="0"/>
              <w:keepLines w:val="0"/>
              <w:suppressLineNumbers w:val="0"/>
              <w:bidi w:val="0"/>
              <w:spacing w:before="0" w:beforeAutospacing="0" w:after="0" w:afterAutospacing="0"/>
              <w:ind w:left="0" w:right="0"/>
              <w:rPr>
                <w:color w:val="auto"/>
              </w:rPr>
            </w:pPr>
            <w:r>
              <w:rPr>
                <w:color w:val="auto"/>
              </w:rPr>
              <w:t>表</w:t>
            </w:r>
            <w:r>
              <w:rPr>
                <w:rFonts w:hint="eastAsia"/>
                <w:color w:val="auto"/>
                <w:lang w:val="en-US" w:eastAsia="zh-CN"/>
              </w:rPr>
              <w:t xml:space="preserve"> </w:t>
            </w:r>
            <w:r>
              <w:rPr>
                <w:rFonts w:hint="eastAsia"/>
                <w:color w:val="auto"/>
              </w:rPr>
              <w:t>1-</w:t>
            </w:r>
            <w:r>
              <w:rPr>
                <w:rFonts w:hint="eastAsia"/>
                <w:color w:val="auto"/>
                <w:lang w:val="en-US" w:eastAsia="zh-CN"/>
              </w:rPr>
              <w:t xml:space="preserve">3 </w:t>
            </w:r>
            <w:r>
              <w:rPr>
                <w:rFonts w:hint="eastAsia"/>
                <w:color w:val="auto"/>
              </w:rPr>
              <w:t xml:space="preserve"> </w:t>
            </w:r>
            <w:r>
              <w:rPr>
                <w:rFonts w:hint="eastAsia"/>
                <w:color w:val="auto"/>
                <w:lang w:val="en-US" w:eastAsia="zh-CN"/>
              </w:rPr>
              <w:t xml:space="preserve">  </w:t>
            </w:r>
            <w:r>
              <w:rPr>
                <w:color w:val="auto"/>
              </w:rPr>
              <w:t>项目与发改委备案相符性分析一览表</w:t>
            </w:r>
          </w:p>
          <w:tbl>
            <w:tblPr>
              <w:tblStyle w:val="22"/>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2597"/>
              <w:gridCol w:w="2597"/>
              <w:gridCol w:w="71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pct"/>
                  <w:noWrap w:val="0"/>
                  <w:vAlign w:val="center"/>
                </w:tcPr>
                <w:p>
                  <w:pPr>
                    <w:pStyle w:val="28"/>
                    <w:keepNext w:val="0"/>
                    <w:keepLines w:val="0"/>
                    <w:widowControl/>
                    <w:suppressLineNumbers w:val="0"/>
                    <w:bidi w:val="0"/>
                    <w:spacing w:before="0" w:beforeAutospacing="0" w:after="0" w:afterAutospacing="0"/>
                    <w:ind w:left="0" w:right="0"/>
                    <w:rPr>
                      <w:b/>
                      <w:bCs/>
                      <w:color w:val="auto"/>
                      <w:kern w:val="2"/>
                      <w:sz w:val="21"/>
                      <w:highlight w:val="none"/>
                    </w:rPr>
                  </w:pPr>
                  <w:r>
                    <w:rPr>
                      <w:b/>
                      <w:bCs/>
                      <w:color w:val="auto"/>
                      <w:kern w:val="2"/>
                      <w:sz w:val="21"/>
                      <w:highlight w:val="none"/>
                    </w:rPr>
                    <w:t>类别</w:t>
                  </w:r>
                </w:p>
              </w:tc>
              <w:tc>
                <w:tcPr>
                  <w:tcW w:w="1815" w:type="pct"/>
                  <w:noWrap w:val="0"/>
                  <w:vAlign w:val="center"/>
                </w:tcPr>
                <w:p>
                  <w:pPr>
                    <w:pStyle w:val="28"/>
                    <w:keepNext w:val="0"/>
                    <w:keepLines w:val="0"/>
                    <w:widowControl/>
                    <w:suppressLineNumbers w:val="0"/>
                    <w:bidi w:val="0"/>
                    <w:spacing w:before="0" w:beforeAutospacing="0" w:after="0" w:afterAutospacing="0"/>
                    <w:ind w:left="0" w:right="0"/>
                    <w:rPr>
                      <w:b/>
                      <w:bCs/>
                      <w:color w:val="auto"/>
                      <w:kern w:val="2"/>
                      <w:sz w:val="21"/>
                      <w:highlight w:val="none"/>
                    </w:rPr>
                  </w:pPr>
                  <w:r>
                    <w:rPr>
                      <w:b/>
                      <w:bCs/>
                      <w:color w:val="auto"/>
                      <w:kern w:val="2"/>
                      <w:sz w:val="21"/>
                      <w:highlight w:val="none"/>
                    </w:rPr>
                    <w:t>备案证明情况</w:t>
                  </w:r>
                </w:p>
              </w:tc>
              <w:tc>
                <w:tcPr>
                  <w:tcW w:w="1815" w:type="pct"/>
                  <w:noWrap w:val="0"/>
                  <w:vAlign w:val="center"/>
                </w:tcPr>
                <w:p>
                  <w:pPr>
                    <w:pStyle w:val="28"/>
                    <w:keepNext w:val="0"/>
                    <w:keepLines w:val="0"/>
                    <w:widowControl/>
                    <w:suppressLineNumbers w:val="0"/>
                    <w:bidi w:val="0"/>
                    <w:spacing w:before="0" w:beforeAutospacing="0" w:after="0" w:afterAutospacing="0"/>
                    <w:ind w:left="0" w:right="0"/>
                    <w:rPr>
                      <w:b/>
                      <w:bCs/>
                      <w:color w:val="auto"/>
                      <w:kern w:val="2"/>
                      <w:sz w:val="21"/>
                      <w:highlight w:val="none"/>
                    </w:rPr>
                  </w:pPr>
                  <w:r>
                    <w:rPr>
                      <w:b/>
                      <w:bCs/>
                      <w:color w:val="auto"/>
                      <w:kern w:val="2"/>
                      <w:sz w:val="21"/>
                      <w:highlight w:val="none"/>
                    </w:rPr>
                    <w:t>本项目情况</w:t>
                  </w:r>
                </w:p>
              </w:tc>
              <w:tc>
                <w:tcPr>
                  <w:tcW w:w="497" w:type="pct"/>
                  <w:noWrap w:val="0"/>
                  <w:vAlign w:val="center"/>
                </w:tcPr>
                <w:p>
                  <w:pPr>
                    <w:pStyle w:val="28"/>
                    <w:keepNext w:val="0"/>
                    <w:keepLines w:val="0"/>
                    <w:widowControl/>
                    <w:suppressLineNumbers w:val="0"/>
                    <w:bidi w:val="0"/>
                    <w:spacing w:before="0" w:beforeAutospacing="0" w:after="0" w:afterAutospacing="0"/>
                    <w:ind w:left="0" w:right="0"/>
                    <w:rPr>
                      <w:b/>
                      <w:bCs/>
                      <w:color w:val="auto"/>
                      <w:kern w:val="2"/>
                      <w:sz w:val="21"/>
                      <w:highlight w:val="none"/>
                    </w:rPr>
                  </w:pPr>
                  <w:r>
                    <w:rPr>
                      <w:b/>
                      <w:bCs/>
                      <w:color w:val="auto"/>
                      <w:kern w:val="2"/>
                      <w:sz w:val="21"/>
                      <w:highlight w:val="none"/>
                    </w:rPr>
                    <w:t>对比结果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pct"/>
                  <w:noWrap w:val="0"/>
                  <w:vAlign w:val="center"/>
                </w:tcPr>
                <w:p>
                  <w:pPr>
                    <w:pStyle w:val="28"/>
                    <w:keepNext w:val="0"/>
                    <w:keepLines w:val="0"/>
                    <w:widowControl/>
                    <w:suppressLineNumbers w:val="0"/>
                    <w:bidi w:val="0"/>
                    <w:spacing w:before="0" w:beforeAutospacing="0" w:after="0" w:afterAutospacing="0"/>
                    <w:ind w:left="0" w:right="0"/>
                    <w:rPr>
                      <w:color w:val="auto"/>
                      <w:kern w:val="2"/>
                      <w:sz w:val="21"/>
                      <w:highlight w:val="none"/>
                    </w:rPr>
                  </w:pPr>
                  <w:r>
                    <w:rPr>
                      <w:color w:val="auto"/>
                      <w:kern w:val="2"/>
                      <w:sz w:val="21"/>
                      <w:highlight w:val="none"/>
                    </w:rPr>
                    <w:t>项目名称</w:t>
                  </w:r>
                </w:p>
              </w:tc>
              <w:tc>
                <w:tcPr>
                  <w:tcW w:w="1815" w:type="pct"/>
                  <w:noWrap w:val="0"/>
                  <w:vAlign w:val="center"/>
                </w:tcPr>
                <w:p>
                  <w:pPr>
                    <w:pStyle w:val="28"/>
                    <w:keepNext w:val="0"/>
                    <w:keepLines w:val="0"/>
                    <w:widowControl/>
                    <w:suppressLineNumbers w:val="0"/>
                    <w:bidi w:val="0"/>
                    <w:spacing w:before="0" w:beforeAutospacing="0" w:after="0" w:afterAutospacing="0"/>
                    <w:ind w:left="0" w:right="0"/>
                    <w:rPr>
                      <w:rFonts w:hint="eastAsia" w:ascii="Times New Roman" w:hAnsi="Times New Roman" w:eastAsia="宋体"/>
                      <w:color w:val="auto"/>
                      <w:kern w:val="2"/>
                      <w:sz w:val="21"/>
                      <w:highlight w:val="none"/>
                      <w:lang w:val="en-US" w:eastAsia="zh-CN"/>
                    </w:rPr>
                  </w:pPr>
                  <w:r>
                    <w:rPr>
                      <w:rFonts w:hint="default" w:ascii="Times New Roman" w:hAnsi="Times New Roman" w:eastAsia="宋体"/>
                      <w:color w:val="auto"/>
                      <w:kern w:val="2"/>
                      <w:sz w:val="21"/>
                      <w:highlight w:val="none"/>
                      <w:lang w:eastAsia="zh-CN"/>
                    </w:rPr>
                    <w:t>绩昌废铅蓄电池回收项目</w:t>
                  </w:r>
                </w:p>
              </w:tc>
              <w:tc>
                <w:tcPr>
                  <w:tcW w:w="1815" w:type="pct"/>
                  <w:noWrap w:val="0"/>
                  <w:vAlign w:val="center"/>
                </w:tcPr>
                <w:p>
                  <w:pPr>
                    <w:pStyle w:val="28"/>
                    <w:keepNext w:val="0"/>
                    <w:keepLines w:val="0"/>
                    <w:widowControl/>
                    <w:suppressLineNumbers w:val="0"/>
                    <w:bidi w:val="0"/>
                    <w:spacing w:before="0" w:beforeAutospacing="0" w:after="0" w:afterAutospacing="0"/>
                    <w:ind w:left="0" w:right="0"/>
                    <w:rPr>
                      <w:rFonts w:hint="eastAsia" w:ascii="Times New Roman" w:hAnsi="Times New Roman" w:eastAsia="宋体"/>
                      <w:color w:val="auto"/>
                      <w:kern w:val="2"/>
                      <w:sz w:val="21"/>
                      <w:highlight w:val="none"/>
                      <w:lang w:val="en-US" w:eastAsia="zh-CN"/>
                    </w:rPr>
                  </w:pPr>
                  <w:r>
                    <w:rPr>
                      <w:rFonts w:hint="default" w:ascii="Times New Roman" w:hAnsi="Times New Roman" w:eastAsia="宋体"/>
                      <w:color w:val="auto"/>
                      <w:kern w:val="2"/>
                      <w:sz w:val="21"/>
                      <w:highlight w:val="none"/>
                      <w:lang w:eastAsia="zh-CN"/>
                    </w:rPr>
                    <w:t>绩昌废铅蓄电池回收项目</w:t>
                  </w:r>
                </w:p>
              </w:tc>
              <w:tc>
                <w:tcPr>
                  <w:tcW w:w="497" w:type="pct"/>
                  <w:noWrap w:val="0"/>
                  <w:vAlign w:val="center"/>
                </w:tcPr>
                <w:p>
                  <w:pPr>
                    <w:pStyle w:val="28"/>
                    <w:keepNext w:val="0"/>
                    <w:keepLines w:val="0"/>
                    <w:widowControl/>
                    <w:suppressLineNumbers w:val="0"/>
                    <w:bidi w:val="0"/>
                    <w:spacing w:before="0" w:beforeAutospacing="0" w:after="0" w:afterAutospacing="0"/>
                    <w:ind w:left="0" w:right="0"/>
                    <w:rPr>
                      <w:color w:val="auto"/>
                      <w:kern w:val="2"/>
                      <w:sz w:val="21"/>
                      <w:highlight w:val="none"/>
                    </w:rPr>
                  </w:pPr>
                  <w:r>
                    <w:rPr>
                      <w:color w:val="auto"/>
                      <w:kern w:val="2"/>
                      <w:sz w:val="21"/>
                      <w:highlight w:val="none"/>
                    </w:rPr>
                    <w:t>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70" w:type="pct"/>
                  <w:noWrap w:val="0"/>
                  <w:vAlign w:val="center"/>
                </w:tcPr>
                <w:p>
                  <w:pPr>
                    <w:pStyle w:val="28"/>
                    <w:keepNext w:val="0"/>
                    <w:keepLines w:val="0"/>
                    <w:widowControl/>
                    <w:suppressLineNumbers w:val="0"/>
                    <w:bidi w:val="0"/>
                    <w:spacing w:before="0" w:beforeAutospacing="0" w:after="0" w:afterAutospacing="0"/>
                    <w:ind w:left="0" w:right="0"/>
                    <w:rPr>
                      <w:color w:val="auto"/>
                      <w:kern w:val="2"/>
                      <w:sz w:val="21"/>
                      <w:highlight w:val="none"/>
                    </w:rPr>
                  </w:pPr>
                  <w:r>
                    <w:rPr>
                      <w:color w:val="auto"/>
                      <w:kern w:val="2"/>
                      <w:sz w:val="21"/>
                      <w:highlight w:val="none"/>
                    </w:rPr>
                    <w:t>建设单位</w:t>
                  </w:r>
                </w:p>
              </w:tc>
              <w:tc>
                <w:tcPr>
                  <w:tcW w:w="1815" w:type="pct"/>
                  <w:noWrap w:val="0"/>
                  <w:vAlign w:val="center"/>
                </w:tcPr>
                <w:p>
                  <w:pPr>
                    <w:pStyle w:val="28"/>
                    <w:keepNext w:val="0"/>
                    <w:keepLines w:val="0"/>
                    <w:widowControl/>
                    <w:suppressLineNumbers w:val="0"/>
                    <w:bidi w:val="0"/>
                    <w:spacing w:before="0" w:beforeAutospacing="0" w:after="0" w:afterAutospacing="0"/>
                    <w:ind w:left="0" w:right="0"/>
                    <w:jc w:val="both"/>
                    <w:rPr>
                      <w:rFonts w:hint="eastAsia" w:ascii="Times New Roman" w:hAnsi="Times New Roman" w:eastAsia="宋体"/>
                      <w:color w:val="auto"/>
                      <w:kern w:val="2"/>
                      <w:sz w:val="21"/>
                      <w:highlight w:val="none"/>
                      <w:lang w:val="en-US" w:eastAsia="zh-CN"/>
                    </w:rPr>
                  </w:pPr>
                  <w:r>
                    <w:rPr>
                      <w:rFonts w:hint="eastAsia"/>
                      <w:color w:val="auto"/>
                      <w:kern w:val="2"/>
                      <w:sz w:val="21"/>
                      <w:highlight w:val="none"/>
                      <w:lang w:val="en-US" w:eastAsia="zh-CN"/>
                    </w:rPr>
                    <w:t>新乡市绩昌再生资源回收有限公司</w:t>
                  </w:r>
                </w:p>
              </w:tc>
              <w:tc>
                <w:tcPr>
                  <w:tcW w:w="1815" w:type="pct"/>
                  <w:noWrap w:val="0"/>
                  <w:vAlign w:val="center"/>
                </w:tcPr>
                <w:p>
                  <w:pPr>
                    <w:pStyle w:val="28"/>
                    <w:keepNext w:val="0"/>
                    <w:keepLines w:val="0"/>
                    <w:widowControl/>
                    <w:suppressLineNumbers w:val="0"/>
                    <w:bidi w:val="0"/>
                    <w:spacing w:before="0" w:beforeAutospacing="0" w:after="0" w:afterAutospacing="0"/>
                    <w:ind w:left="0" w:leftChars="0" w:right="0" w:rightChars="0"/>
                    <w:jc w:val="both"/>
                    <w:rPr>
                      <w:rFonts w:hint="eastAsia" w:ascii="Times New Roman" w:hAnsi="Times New Roman" w:eastAsia="宋体"/>
                      <w:color w:val="auto"/>
                      <w:kern w:val="2"/>
                      <w:sz w:val="21"/>
                      <w:highlight w:val="none"/>
                      <w:lang w:val="en-US" w:eastAsia="zh-CN"/>
                    </w:rPr>
                  </w:pPr>
                  <w:r>
                    <w:rPr>
                      <w:rFonts w:hint="eastAsia"/>
                      <w:color w:val="auto"/>
                      <w:kern w:val="2"/>
                      <w:sz w:val="21"/>
                      <w:highlight w:val="none"/>
                      <w:lang w:val="en-US" w:eastAsia="zh-CN"/>
                    </w:rPr>
                    <w:t>新乡市绩昌再生资源回收有限公司</w:t>
                  </w:r>
                </w:p>
              </w:tc>
              <w:tc>
                <w:tcPr>
                  <w:tcW w:w="497" w:type="pct"/>
                  <w:noWrap w:val="0"/>
                  <w:vAlign w:val="center"/>
                </w:tcPr>
                <w:p>
                  <w:pPr>
                    <w:pStyle w:val="28"/>
                    <w:keepNext w:val="0"/>
                    <w:keepLines w:val="0"/>
                    <w:widowControl/>
                    <w:suppressLineNumbers w:val="0"/>
                    <w:bidi w:val="0"/>
                    <w:spacing w:before="0" w:beforeAutospacing="0" w:after="0" w:afterAutospacing="0"/>
                    <w:ind w:left="0" w:right="0"/>
                    <w:rPr>
                      <w:color w:val="auto"/>
                      <w:kern w:val="2"/>
                      <w:sz w:val="21"/>
                      <w:highlight w:val="none"/>
                    </w:rPr>
                  </w:pPr>
                  <w:r>
                    <w:rPr>
                      <w:color w:val="auto"/>
                      <w:kern w:val="2"/>
                      <w:sz w:val="21"/>
                      <w:highlight w:val="none"/>
                    </w:rPr>
                    <w:t>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pct"/>
                  <w:noWrap w:val="0"/>
                  <w:vAlign w:val="center"/>
                </w:tcPr>
                <w:p>
                  <w:pPr>
                    <w:pStyle w:val="28"/>
                    <w:keepNext w:val="0"/>
                    <w:keepLines w:val="0"/>
                    <w:widowControl/>
                    <w:suppressLineNumbers w:val="0"/>
                    <w:bidi w:val="0"/>
                    <w:spacing w:before="0" w:beforeAutospacing="0" w:after="0" w:afterAutospacing="0"/>
                    <w:ind w:left="0" w:right="0"/>
                    <w:rPr>
                      <w:color w:val="auto"/>
                      <w:kern w:val="2"/>
                      <w:sz w:val="21"/>
                      <w:highlight w:val="none"/>
                    </w:rPr>
                  </w:pPr>
                  <w:r>
                    <w:rPr>
                      <w:color w:val="auto"/>
                      <w:kern w:val="2"/>
                      <w:sz w:val="21"/>
                      <w:highlight w:val="none"/>
                    </w:rPr>
                    <w:t>建设地点</w:t>
                  </w:r>
                </w:p>
              </w:tc>
              <w:tc>
                <w:tcPr>
                  <w:tcW w:w="1815" w:type="pct"/>
                  <w:noWrap w:val="0"/>
                  <w:vAlign w:val="center"/>
                </w:tcPr>
                <w:p>
                  <w:pPr>
                    <w:pStyle w:val="28"/>
                    <w:keepNext w:val="0"/>
                    <w:keepLines w:val="0"/>
                    <w:widowControl/>
                    <w:suppressLineNumbers w:val="0"/>
                    <w:bidi w:val="0"/>
                    <w:spacing w:before="0" w:beforeAutospacing="0" w:after="0" w:afterAutospacing="0"/>
                    <w:ind w:left="0" w:right="0"/>
                    <w:jc w:val="both"/>
                    <w:rPr>
                      <w:rFonts w:hint="eastAsia" w:ascii="Times New Roman" w:hAnsi="Times New Roman" w:eastAsia="宋体"/>
                      <w:color w:val="auto"/>
                      <w:kern w:val="2"/>
                      <w:sz w:val="21"/>
                      <w:highlight w:val="none"/>
                      <w:lang w:val="en-US" w:eastAsia="zh-CN"/>
                    </w:rPr>
                  </w:pPr>
                  <w:r>
                    <w:rPr>
                      <w:rFonts w:hint="eastAsia"/>
                      <w:color w:val="auto"/>
                      <w:kern w:val="2"/>
                      <w:sz w:val="21"/>
                      <w:highlight w:val="none"/>
                      <w:lang w:val="en-US" w:eastAsia="zh-CN"/>
                    </w:rPr>
                    <w:t>河南省新乡市卫滨区人民路西环路交叉口向西300米路南</w:t>
                  </w:r>
                </w:p>
              </w:tc>
              <w:tc>
                <w:tcPr>
                  <w:tcW w:w="1815" w:type="pct"/>
                  <w:noWrap w:val="0"/>
                  <w:vAlign w:val="center"/>
                </w:tcPr>
                <w:p>
                  <w:pPr>
                    <w:pStyle w:val="28"/>
                    <w:keepNext w:val="0"/>
                    <w:keepLines w:val="0"/>
                    <w:widowControl/>
                    <w:suppressLineNumbers w:val="0"/>
                    <w:bidi w:val="0"/>
                    <w:spacing w:before="0" w:beforeAutospacing="0" w:after="0" w:afterAutospacing="0"/>
                    <w:ind w:left="0" w:leftChars="0" w:right="0" w:rightChars="0"/>
                    <w:jc w:val="both"/>
                    <w:rPr>
                      <w:rFonts w:hint="eastAsia" w:ascii="Times New Roman" w:hAnsi="Times New Roman" w:eastAsia="宋体"/>
                      <w:color w:val="auto"/>
                      <w:kern w:val="2"/>
                      <w:sz w:val="21"/>
                      <w:highlight w:val="none"/>
                      <w:lang w:val="en-US" w:eastAsia="zh-CN"/>
                    </w:rPr>
                  </w:pPr>
                  <w:r>
                    <w:rPr>
                      <w:rFonts w:hint="eastAsia"/>
                      <w:color w:val="auto"/>
                      <w:kern w:val="2"/>
                      <w:sz w:val="21"/>
                      <w:highlight w:val="none"/>
                      <w:lang w:val="en-US" w:eastAsia="zh-CN"/>
                    </w:rPr>
                    <w:t>河南省新乡市卫滨区人民路西环路交叉口向西300米路南</w:t>
                  </w:r>
                </w:p>
              </w:tc>
              <w:tc>
                <w:tcPr>
                  <w:tcW w:w="497" w:type="pct"/>
                  <w:noWrap w:val="0"/>
                  <w:vAlign w:val="center"/>
                </w:tcPr>
                <w:p>
                  <w:pPr>
                    <w:pStyle w:val="28"/>
                    <w:keepNext w:val="0"/>
                    <w:keepLines w:val="0"/>
                    <w:widowControl/>
                    <w:suppressLineNumbers w:val="0"/>
                    <w:bidi w:val="0"/>
                    <w:spacing w:before="0" w:beforeAutospacing="0" w:after="0" w:afterAutospacing="0"/>
                    <w:ind w:left="0" w:right="0"/>
                    <w:rPr>
                      <w:color w:val="auto"/>
                      <w:kern w:val="2"/>
                      <w:sz w:val="21"/>
                      <w:highlight w:val="none"/>
                    </w:rPr>
                  </w:pPr>
                  <w:r>
                    <w:rPr>
                      <w:color w:val="auto"/>
                      <w:kern w:val="2"/>
                      <w:sz w:val="21"/>
                      <w:highlight w:val="none"/>
                    </w:rPr>
                    <w:t>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pct"/>
                  <w:noWrap w:val="0"/>
                  <w:vAlign w:val="center"/>
                </w:tcPr>
                <w:p>
                  <w:pPr>
                    <w:pStyle w:val="28"/>
                    <w:keepNext w:val="0"/>
                    <w:keepLines w:val="0"/>
                    <w:widowControl/>
                    <w:suppressLineNumbers w:val="0"/>
                    <w:bidi w:val="0"/>
                    <w:spacing w:before="0" w:beforeAutospacing="0" w:after="0" w:afterAutospacing="0"/>
                    <w:ind w:left="0" w:right="0"/>
                    <w:rPr>
                      <w:color w:val="auto"/>
                      <w:kern w:val="2"/>
                      <w:sz w:val="21"/>
                      <w:highlight w:val="none"/>
                    </w:rPr>
                  </w:pPr>
                  <w:r>
                    <w:rPr>
                      <w:color w:val="auto"/>
                      <w:kern w:val="2"/>
                      <w:sz w:val="21"/>
                      <w:highlight w:val="none"/>
                    </w:rPr>
                    <w:t>投资</w:t>
                  </w:r>
                </w:p>
              </w:tc>
              <w:tc>
                <w:tcPr>
                  <w:tcW w:w="1815" w:type="pct"/>
                  <w:noWrap w:val="0"/>
                  <w:vAlign w:val="center"/>
                </w:tcPr>
                <w:p>
                  <w:pPr>
                    <w:pStyle w:val="28"/>
                    <w:keepNext w:val="0"/>
                    <w:keepLines w:val="0"/>
                    <w:widowControl/>
                    <w:suppressLineNumbers w:val="0"/>
                    <w:bidi w:val="0"/>
                    <w:spacing w:before="0" w:beforeAutospacing="0" w:after="0" w:afterAutospacing="0"/>
                    <w:ind w:left="0" w:right="0"/>
                    <w:jc w:val="center"/>
                    <w:rPr>
                      <w:rFonts w:hint="eastAsia"/>
                      <w:color w:val="auto"/>
                      <w:kern w:val="2"/>
                      <w:sz w:val="21"/>
                      <w:highlight w:val="none"/>
                    </w:rPr>
                  </w:pPr>
                  <w:r>
                    <w:rPr>
                      <w:rFonts w:hint="eastAsia"/>
                      <w:color w:val="auto"/>
                      <w:kern w:val="2"/>
                      <w:sz w:val="21"/>
                      <w:highlight w:val="none"/>
                      <w:lang w:val="en-US" w:eastAsia="zh-CN"/>
                    </w:rPr>
                    <w:t>10</w:t>
                  </w:r>
                  <w:r>
                    <w:rPr>
                      <w:rFonts w:hint="eastAsia"/>
                      <w:color w:val="auto"/>
                      <w:kern w:val="2"/>
                      <w:sz w:val="21"/>
                      <w:highlight w:val="none"/>
                    </w:rPr>
                    <w:t>0万元</w:t>
                  </w:r>
                </w:p>
              </w:tc>
              <w:tc>
                <w:tcPr>
                  <w:tcW w:w="1815" w:type="pct"/>
                  <w:noWrap w:val="0"/>
                  <w:vAlign w:val="center"/>
                </w:tcPr>
                <w:p>
                  <w:pPr>
                    <w:pStyle w:val="28"/>
                    <w:keepNext w:val="0"/>
                    <w:keepLines w:val="0"/>
                    <w:widowControl/>
                    <w:suppressLineNumbers w:val="0"/>
                    <w:bidi w:val="0"/>
                    <w:spacing w:before="0" w:beforeAutospacing="0" w:after="0" w:afterAutospacing="0"/>
                    <w:ind w:left="0" w:leftChars="0" w:right="0" w:rightChars="0"/>
                    <w:jc w:val="center"/>
                    <w:rPr>
                      <w:rFonts w:hint="eastAsia"/>
                      <w:color w:val="auto"/>
                      <w:kern w:val="2"/>
                      <w:sz w:val="21"/>
                      <w:highlight w:val="none"/>
                    </w:rPr>
                  </w:pPr>
                  <w:r>
                    <w:rPr>
                      <w:rFonts w:hint="eastAsia"/>
                      <w:color w:val="auto"/>
                      <w:kern w:val="2"/>
                      <w:sz w:val="21"/>
                      <w:highlight w:val="none"/>
                      <w:lang w:val="en-US" w:eastAsia="zh-CN"/>
                    </w:rPr>
                    <w:t>10</w:t>
                  </w:r>
                  <w:r>
                    <w:rPr>
                      <w:rFonts w:hint="eastAsia"/>
                      <w:color w:val="auto"/>
                      <w:kern w:val="2"/>
                      <w:sz w:val="21"/>
                      <w:highlight w:val="none"/>
                    </w:rPr>
                    <w:t>0万元</w:t>
                  </w:r>
                </w:p>
              </w:tc>
              <w:tc>
                <w:tcPr>
                  <w:tcW w:w="497" w:type="pct"/>
                  <w:noWrap w:val="0"/>
                  <w:vAlign w:val="center"/>
                </w:tcPr>
                <w:p>
                  <w:pPr>
                    <w:pStyle w:val="28"/>
                    <w:keepNext w:val="0"/>
                    <w:keepLines w:val="0"/>
                    <w:widowControl/>
                    <w:suppressLineNumbers w:val="0"/>
                    <w:bidi w:val="0"/>
                    <w:spacing w:before="0" w:beforeAutospacing="0" w:after="0" w:afterAutospacing="0"/>
                    <w:ind w:left="0" w:right="0"/>
                    <w:rPr>
                      <w:color w:val="auto"/>
                      <w:kern w:val="2"/>
                      <w:sz w:val="21"/>
                      <w:highlight w:val="none"/>
                    </w:rPr>
                  </w:pPr>
                  <w:r>
                    <w:rPr>
                      <w:color w:val="auto"/>
                      <w:kern w:val="2"/>
                      <w:sz w:val="21"/>
                      <w:highlight w:val="none"/>
                    </w:rPr>
                    <w:t>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pct"/>
                  <w:noWrap w:val="0"/>
                  <w:vAlign w:val="center"/>
                </w:tcPr>
                <w:p>
                  <w:pPr>
                    <w:pStyle w:val="28"/>
                    <w:keepNext w:val="0"/>
                    <w:keepLines w:val="0"/>
                    <w:widowControl/>
                    <w:suppressLineNumbers w:val="0"/>
                    <w:bidi w:val="0"/>
                    <w:spacing w:before="0" w:beforeAutospacing="0" w:after="0" w:afterAutospacing="0"/>
                    <w:ind w:left="0" w:right="0"/>
                    <w:rPr>
                      <w:color w:val="auto"/>
                      <w:kern w:val="2"/>
                      <w:sz w:val="21"/>
                      <w:highlight w:val="none"/>
                    </w:rPr>
                  </w:pPr>
                  <w:r>
                    <w:rPr>
                      <w:color w:val="auto"/>
                      <w:kern w:val="2"/>
                      <w:sz w:val="21"/>
                      <w:highlight w:val="none"/>
                    </w:rPr>
                    <w:t>建设性质</w:t>
                  </w:r>
                </w:p>
              </w:tc>
              <w:tc>
                <w:tcPr>
                  <w:tcW w:w="1815" w:type="pct"/>
                  <w:noWrap w:val="0"/>
                  <w:vAlign w:val="center"/>
                </w:tcPr>
                <w:p>
                  <w:pPr>
                    <w:pStyle w:val="28"/>
                    <w:keepNext w:val="0"/>
                    <w:keepLines w:val="0"/>
                    <w:widowControl/>
                    <w:suppressLineNumbers w:val="0"/>
                    <w:bidi w:val="0"/>
                    <w:spacing w:before="0" w:beforeAutospacing="0" w:after="0" w:afterAutospacing="0"/>
                    <w:ind w:left="0" w:right="0"/>
                    <w:jc w:val="center"/>
                    <w:rPr>
                      <w:rFonts w:hint="eastAsia" w:ascii="Times New Roman" w:hAnsi="Times New Roman" w:eastAsia="宋体"/>
                      <w:color w:val="auto"/>
                      <w:kern w:val="2"/>
                      <w:sz w:val="21"/>
                      <w:highlight w:val="none"/>
                      <w:lang w:val="en-US" w:eastAsia="zh-CN"/>
                    </w:rPr>
                  </w:pPr>
                  <w:r>
                    <w:rPr>
                      <w:rFonts w:hint="eastAsia" w:ascii="Times New Roman" w:hAnsi="Times New Roman" w:eastAsia="宋体"/>
                      <w:color w:val="auto"/>
                      <w:kern w:val="2"/>
                      <w:sz w:val="21"/>
                      <w:highlight w:val="none"/>
                      <w:lang w:val="en-US" w:eastAsia="zh-CN"/>
                    </w:rPr>
                    <w:t>新建</w:t>
                  </w:r>
                </w:p>
              </w:tc>
              <w:tc>
                <w:tcPr>
                  <w:tcW w:w="1815" w:type="pct"/>
                  <w:noWrap w:val="0"/>
                  <w:vAlign w:val="center"/>
                </w:tcPr>
                <w:p>
                  <w:pPr>
                    <w:pStyle w:val="2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olor w:val="auto"/>
                      <w:kern w:val="2"/>
                      <w:sz w:val="21"/>
                      <w:highlight w:val="none"/>
                      <w:lang w:val="en-US" w:eastAsia="zh-CN"/>
                    </w:rPr>
                  </w:pPr>
                  <w:r>
                    <w:rPr>
                      <w:rFonts w:hint="eastAsia" w:ascii="Times New Roman" w:hAnsi="Times New Roman" w:eastAsia="宋体"/>
                      <w:color w:val="auto"/>
                      <w:kern w:val="2"/>
                      <w:sz w:val="21"/>
                      <w:highlight w:val="none"/>
                      <w:lang w:val="en-US" w:eastAsia="zh-CN"/>
                    </w:rPr>
                    <w:t>新建</w:t>
                  </w:r>
                </w:p>
              </w:tc>
              <w:tc>
                <w:tcPr>
                  <w:tcW w:w="497" w:type="pct"/>
                  <w:noWrap w:val="0"/>
                  <w:vAlign w:val="center"/>
                </w:tcPr>
                <w:p>
                  <w:pPr>
                    <w:pStyle w:val="28"/>
                    <w:keepNext w:val="0"/>
                    <w:keepLines w:val="0"/>
                    <w:widowControl/>
                    <w:suppressLineNumbers w:val="0"/>
                    <w:bidi w:val="0"/>
                    <w:spacing w:before="0" w:beforeAutospacing="0" w:after="0" w:afterAutospacing="0"/>
                    <w:ind w:left="0" w:right="0"/>
                    <w:rPr>
                      <w:color w:val="auto"/>
                      <w:kern w:val="2"/>
                      <w:sz w:val="21"/>
                      <w:highlight w:val="none"/>
                    </w:rPr>
                  </w:pPr>
                  <w:r>
                    <w:rPr>
                      <w:color w:val="auto"/>
                      <w:kern w:val="2"/>
                      <w:sz w:val="21"/>
                      <w:highlight w:val="none"/>
                    </w:rPr>
                    <w:t>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pct"/>
                  <w:noWrap w:val="0"/>
                  <w:vAlign w:val="center"/>
                </w:tcPr>
                <w:p>
                  <w:pPr>
                    <w:pStyle w:val="28"/>
                    <w:keepNext w:val="0"/>
                    <w:keepLines w:val="0"/>
                    <w:widowControl/>
                    <w:suppressLineNumbers w:val="0"/>
                    <w:bidi w:val="0"/>
                    <w:spacing w:before="0" w:beforeAutospacing="0" w:after="0" w:afterAutospacing="0"/>
                    <w:ind w:left="0" w:right="0"/>
                    <w:rPr>
                      <w:color w:val="auto"/>
                      <w:kern w:val="2"/>
                      <w:sz w:val="21"/>
                      <w:highlight w:val="none"/>
                    </w:rPr>
                  </w:pPr>
                  <w:r>
                    <w:rPr>
                      <w:color w:val="auto"/>
                      <w:kern w:val="2"/>
                      <w:sz w:val="21"/>
                      <w:highlight w:val="none"/>
                    </w:rPr>
                    <w:t>建设内容</w:t>
                  </w:r>
                </w:p>
              </w:tc>
              <w:tc>
                <w:tcPr>
                  <w:tcW w:w="1815" w:type="pct"/>
                  <w:noWrap w:val="0"/>
                  <w:vAlign w:val="center"/>
                </w:tcPr>
                <w:p>
                  <w:pPr>
                    <w:pStyle w:val="28"/>
                    <w:keepNext w:val="0"/>
                    <w:keepLines w:val="0"/>
                    <w:widowControl/>
                    <w:suppressLineNumbers w:val="0"/>
                    <w:bidi w:val="0"/>
                    <w:spacing w:before="0" w:beforeAutospacing="0" w:after="0" w:afterAutospacing="0"/>
                    <w:ind w:left="0" w:right="0"/>
                    <w:jc w:val="both"/>
                    <w:rPr>
                      <w:rFonts w:hint="eastAsia" w:ascii="Times New Roman" w:hAnsi="Times New Roman" w:eastAsia="宋体"/>
                      <w:color w:val="auto"/>
                      <w:kern w:val="2"/>
                      <w:sz w:val="21"/>
                      <w:highlight w:val="none"/>
                      <w:lang w:val="en-US" w:eastAsia="zh-CN"/>
                    </w:rPr>
                  </w:pPr>
                  <w:bookmarkStart w:id="17" w:name="OLE_LINK25"/>
                  <w:r>
                    <w:rPr>
                      <w:rFonts w:hint="eastAsia" w:ascii="Times New Roman" w:hAnsi="Times New Roman" w:eastAsia="宋体"/>
                      <w:color w:val="auto"/>
                      <w:kern w:val="2"/>
                      <w:sz w:val="21"/>
                      <w:highlight w:val="none"/>
                      <w:lang w:val="en-US" w:eastAsia="zh-CN"/>
                    </w:rPr>
                    <w:t>租赁现有厂房约560平方米，主要从事废铅蓄电池的回收（不进行拆解、二次处理等）；购置叉车、</w:t>
                  </w:r>
                  <w:bookmarkStart w:id="18" w:name="OLE_LINK167"/>
                  <w:r>
                    <w:rPr>
                      <w:rFonts w:hint="eastAsia" w:ascii="Times New Roman" w:hAnsi="Times New Roman" w:eastAsia="宋体"/>
                      <w:color w:val="auto"/>
                      <w:kern w:val="2"/>
                      <w:sz w:val="21"/>
                      <w:highlight w:val="none"/>
                      <w:lang w:val="en-US" w:eastAsia="zh-CN"/>
                    </w:rPr>
                    <w:t>电池储存容器</w:t>
                  </w:r>
                  <w:bookmarkEnd w:id="18"/>
                  <w:r>
                    <w:rPr>
                      <w:rFonts w:hint="eastAsia" w:ascii="Times New Roman" w:hAnsi="Times New Roman" w:eastAsia="宋体"/>
                      <w:color w:val="auto"/>
                      <w:kern w:val="2"/>
                      <w:sz w:val="21"/>
                      <w:highlight w:val="none"/>
                      <w:lang w:val="en-US" w:eastAsia="zh-CN"/>
                    </w:rPr>
                    <w:t>、专用周装箱等。</w:t>
                  </w:r>
                  <w:bookmarkEnd w:id="17"/>
                </w:p>
              </w:tc>
              <w:tc>
                <w:tcPr>
                  <w:tcW w:w="1815" w:type="pct"/>
                  <w:noWrap w:val="0"/>
                  <w:vAlign w:val="center"/>
                </w:tcPr>
                <w:p>
                  <w:pPr>
                    <w:pStyle w:val="28"/>
                    <w:keepNext w:val="0"/>
                    <w:keepLines w:val="0"/>
                    <w:widowControl/>
                    <w:suppressLineNumbers w:val="0"/>
                    <w:bidi w:val="0"/>
                    <w:spacing w:before="0" w:beforeAutospacing="0" w:after="0" w:afterAutospacing="0"/>
                    <w:ind w:left="0" w:right="0"/>
                    <w:jc w:val="both"/>
                    <w:rPr>
                      <w:rFonts w:hint="default" w:ascii="Times New Roman" w:hAnsi="Times New Roman" w:eastAsia="宋体"/>
                      <w:color w:val="auto"/>
                      <w:kern w:val="2"/>
                      <w:sz w:val="21"/>
                      <w:highlight w:val="none"/>
                      <w:lang w:val="en-US" w:eastAsia="zh-CN"/>
                    </w:rPr>
                  </w:pPr>
                  <w:r>
                    <w:rPr>
                      <w:rFonts w:hint="eastAsia"/>
                      <w:color w:val="auto"/>
                      <w:kern w:val="2"/>
                      <w:sz w:val="21"/>
                      <w:highlight w:val="none"/>
                      <w:lang w:val="en-US" w:eastAsia="zh-CN"/>
                    </w:rPr>
                    <w:t>经现场测量</w:t>
                  </w:r>
                  <w:r>
                    <w:rPr>
                      <w:rFonts w:hint="eastAsia" w:ascii="Times New Roman" w:hAnsi="Times New Roman" w:eastAsia="宋体"/>
                      <w:color w:val="auto"/>
                      <w:kern w:val="2"/>
                      <w:sz w:val="21"/>
                      <w:highlight w:val="none"/>
                      <w:lang w:val="en-US" w:eastAsia="zh-CN"/>
                    </w:rPr>
                    <w:t>租赁现有</w:t>
                  </w:r>
                  <w:bookmarkStart w:id="19" w:name="OLE_LINK270"/>
                  <w:r>
                    <w:rPr>
                      <w:rFonts w:hint="eastAsia" w:ascii="Times New Roman" w:hAnsi="Times New Roman" w:eastAsia="宋体"/>
                      <w:color w:val="auto"/>
                      <w:kern w:val="2"/>
                      <w:sz w:val="21"/>
                      <w:highlight w:val="none"/>
                      <w:lang w:val="en-US" w:eastAsia="zh-CN"/>
                    </w:rPr>
                    <w:t>厂房</w:t>
                  </w:r>
                  <w:bookmarkEnd w:id="19"/>
                  <w:bookmarkStart w:id="20" w:name="OLE_LINK223"/>
                  <w:r>
                    <w:rPr>
                      <w:rFonts w:hint="eastAsia"/>
                      <w:color w:val="auto"/>
                      <w:kern w:val="2"/>
                      <w:sz w:val="21"/>
                      <w:highlight w:val="none"/>
                      <w:lang w:val="en-US" w:eastAsia="zh-CN"/>
                    </w:rPr>
                    <w:t>实际面积为700</w:t>
                  </w:r>
                  <w:r>
                    <w:rPr>
                      <w:rFonts w:hint="eastAsia" w:ascii="Times New Roman" w:hAnsi="Times New Roman" w:eastAsia="宋体"/>
                      <w:color w:val="auto"/>
                      <w:kern w:val="2"/>
                      <w:sz w:val="21"/>
                      <w:highlight w:val="none"/>
                      <w:lang w:val="en-US" w:eastAsia="zh-CN"/>
                    </w:rPr>
                    <w:t>平方米</w:t>
                  </w:r>
                  <w:bookmarkEnd w:id="20"/>
                  <w:r>
                    <w:rPr>
                      <w:rFonts w:hint="eastAsia" w:ascii="Times New Roman" w:hAnsi="Times New Roman" w:eastAsia="宋体"/>
                      <w:color w:val="auto"/>
                      <w:kern w:val="2"/>
                      <w:sz w:val="21"/>
                      <w:highlight w:val="none"/>
                      <w:lang w:val="en-US" w:eastAsia="zh-CN"/>
                    </w:rPr>
                    <w:t>，主要从事废铅蓄电池的回收（不进行拆解、二次处理等）；购置叉车、塑料托盘、破损电池储存箱等。</w:t>
                  </w:r>
                </w:p>
              </w:tc>
              <w:tc>
                <w:tcPr>
                  <w:tcW w:w="497" w:type="pct"/>
                  <w:noWrap w:val="0"/>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highlight w:val="none"/>
                      <w:lang w:val="en-US" w:eastAsia="zh-CN"/>
                    </w:rPr>
                  </w:pPr>
                  <w:r>
                    <w:rPr>
                      <w:rFonts w:hint="eastAsia"/>
                      <w:color w:val="auto"/>
                      <w:kern w:val="2"/>
                      <w:sz w:val="21"/>
                      <w:highlight w:val="none"/>
                      <w:lang w:val="en-US" w:eastAsia="zh-CN"/>
                    </w:rPr>
                    <w:t>基本一致</w:t>
                  </w:r>
                </w:p>
              </w:tc>
            </w:tr>
          </w:tbl>
          <w:p>
            <w:pPr>
              <w:pStyle w:val="28"/>
              <w:keepNext w:val="0"/>
              <w:keepLines w:val="0"/>
              <w:widowControl/>
              <w:suppressLineNumbers w:val="0"/>
              <w:bidi w:val="0"/>
              <w:spacing w:before="0" w:beforeAutospacing="0" w:after="0" w:afterAutospacing="0"/>
              <w:ind w:left="0" w:right="0"/>
              <w:jc w:val="both"/>
              <w:rPr>
                <w:rFonts w:hint="default"/>
                <w:color w:val="auto"/>
                <w:kern w:val="2"/>
                <w:sz w:val="21"/>
                <w:highlight w:val="none"/>
                <w:lang w:val="en-US" w:eastAsia="zh-CN"/>
              </w:rPr>
            </w:pPr>
            <w:r>
              <w:rPr>
                <w:rFonts w:hint="eastAsia" w:ascii="Times New Roman" w:hAnsi="Times New Roman" w:eastAsia="宋体"/>
                <w:color w:val="auto"/>
                <w:kern w:val="2"/>
                <w:sz w:val="21"/>
                <w:highlight w:val="none"/>
                <w:lang w:val="en-US" w:eastAsia="zh-CN"/>
              </w:rPr>
              <w:t>注：</w:t>
            </w:r>
            <w:r>
              <w:rPr>
                <w:rFonts w:hint="eastAsia"/>
                <w:color w:val="auto"/>
                <w:kern w:val="2"/>
                <w:sz w:val="21"/>
                <w:highlight w:val="none"/>
                <w:lang w:val="en-US" w:eastAsia="zh-CN"/>
              </w:rPr>
              <w:t>备案时未实地测量，本项目现场勘查时实地测量租赁厂房实际面积为700平方米。</w:t>
            </w:r>
          </w:p>
          <w:p>
            <w:pPr>
              <w:pStyle w:val="28"/>
              <w:keepNext w:val="0"/>
              <w:keepLines w:val="0"/>
              <w:widowControl/>
              <w:suppressLineNumbers w:val="0"/>
              <w:bidi w:val="0"/>
              <w:spacing w:before="0" w:beforeAutospacing="0" w:after="0" w:afterAutospacing="0"/>
              <w:ind w:left="0" w:right="0" w:firstLine="420" w:firstLineChars="200"/>
              <w:jc w:val="both"/>
              <w:rPr>
                <w:rFonts w:hint="eastAsia"/>
                <w:color w:val="auto"/>
                <w:kern w:val="2"/>
                <w:sz w:val="21"/>
                <w:highlight w:val="none"/>
                <w:lang w:val="en-US" w:eastAsia="zh-CN"/>
              </w:rPr>
            </w:pPr>
            <w:r>
              <w:rPr>
                <w:rFonts w:hint="eastAsia" w:ascii="Times New Roman" w:hAnsi="Times New Roman" w:eastAsia="宋体"/>
                <w:color w:val="auto"/>
                <w:kern w:val="2"/>
                <w:sz w:val="21"/>
                <w:highlight w:val="none"/>
                <w:lang w:val="en-US" w:eastAsia="zh-CN"/>
              </w:rPr>
              <w:t>电池储存容器</w:t>
            </w:r>
            <w:r>
              <w:rPr>
                <w:rFonts w:hint="eastAsia"/>
                <w:color w:val="auto"/>
                <w:kern w:val="2"/>
                <w:sz w:val="21"/>
                <w:highlight w:val="none"/>
                <w:lang w:val="en-US" w:eastAsia="zh-CN"/>
              </w:rPr>
              <w:t>：</w:t>
            </w:r>
            <w:bookmarkStart w:id="21" w:name="OLE_LINK268"/>
            <w:r>
              <w:rPr>
                <w:rFonts w:hint="eastAsia" w:ascii="Times New Roman" w:hAnsi="Times New Roman" w:eastAsia="宋体"/>
                <w:color w:val="auto"/>
                <w:kern w:val="2"/>
                <w:sz w:val="21"/>
                <w:highlight w:val="none"/>
                <w:lang w:val="en-US" w:eastAsia="zh-CN"/>
              </w:rPr>
              <w:t>塑料托盘</w:t>
            </w:r>
            <w:bookmarkEnd w:id="21"/>
            <w:r>
              <w:rPr>
                <w:rFonts w:hint="eastAsia"/>
                <w:color w:val="auto"/>
                <w:kern w:val="2"/>
                <w:sz w:val="21"/>
                <w:highlight w:val="none"/>
                <w:lang w:val="en-US" w:eastAsia="zh-CN"/>
              </w:rPr>
              <w:t>，</w:t>
            </w:r>
            <w:bookmarkStart w:id="22" w:name="OLE_LINK165"/>
            <w:r>
              <w:rPr>
                <w:rFonts w:hint="eastAsia"/>
                <w:color w:val="auto"/>
                <w:kern w:val="2"/>
                <w:sz w:val="21"/>
                <w:highlight w:val="none"/>
                <w:lang w:val="en-US" w:eastAsia="zh-CN"/>
              </w:rPr>
              <w:t>用于</w:t>
            </w:r>
            <w:bookmarkEnd w:id="22"/>
            <w:r>
              <w:rPr>
                <w:rFonts w:hint="eastAsia" w:ascii="Times New Roman" w:hAnsi="Times New Roman" w:eastAsia="宋体"/>
                <w:color w:val="auto"/>
                <w:kern w:val="2"/>
                <w:sz w:val="21"/>
                <w:highlight w:val="none"/>
                <w:lang w:val="en-US" w:eastAsia="zh-CN"/>
              </w:rPr>
              <w:t>储存完整电池</w:t>
            </w:r>
            <w:r>
              <w:rPr>
                <w:rFonts w:hint="eastAsia"/>
                <w:color w:val="auto"/>
                <w:kern w:val="2"/>
                <w:sz w:val="21"/>
                <w:highlight w:val="none"/>
                <w:lang w:val="en-US" w:eastAsia="zh-CN"/>
              </w:rPr>
              <w:t>；</w:t>
            </w:r>
          </w:p>
          <w:p>
            <w:pPr>
              <w:pStyle w:val="28"/>
              <w:keepNext w:val="0"/>
              <w:keepLines w:val="0"/>
              <w:widowControl/>
              <w:suppressLineNumbers w:val="0"/>
              <w:bidi w:val="0"/>
              <w:spacing w:before="0" w:beforeAutospacing="0" w:after="0" w:afterAutospacing="0"/>
              <w:ind w:left="0" w:right="0" w:firstLine="420" w:firstLineChars="200"/>
              <w:jc w:val="both"/>
              <w:rPr>
                <w:rFonts w:hint="eastAsia" w:ascii="Times New Roman" w:hAnsi="Times New Roman" w:eastAsia="宋体"/>
                <w:color w:val="auto"/>
                <w:kern w:val="2"/>
                <w:sz w:val="21"/>
                <w:highlight w:val="none"/>
                <w:lang w:val="en-US" w:eastAsia="zh-CN"/>
              </w:rPr>
            </w:pPr>
            <w:r>
              <w:rPr>
                <w:rFonts w:hint="eastAsia" w:ascii="Times New Roman" w:hAnsi="Times New Roman" w:eastAsia="宋体"/>
                <w:color w:val="auto"/>
                <w:kern w:val="2"/>
                <w:sz w:val="21"/>
                <w:highlight w:val="none"/>
                <w:lang w:val="en-US" w:eastAsia="zh-CN"/>
              </w:rPr>
              <w:t>专用周装箱</w:t>
            </w:r>
            <w:r>
              <w:rPr>
                <w:rFonts w:hint="eastAsia"/>
                <w:color w:val="auto"/>
                <w:kern w:val="2"/>
                <w:sz w:val="21"/>
                <w:highlight w:val="none"/>
                <w:lang w:val="en-US" w:eastAsia="zh-CN"/>
              </w:rPr>
              <w:t>：</w:t>
            </w:r>
            <w:bookmarkStart w:id="23" w:name="OLE_LINK269"/>
            <w:r>
              <w:rPr>
                <w:rFonts w:hint="eastAsia" w:ascii="Times New Roman" w:hAnsi="Times New Roman" w:eastAsia="宋体"/>
                <w:color w:val="auto"/>
                <w:kern w:val="2"/>
                <w:sz w:val="21"/>
                <w:highlight w:val="none"/>
                <w:lang w:val="en-US" w:eastAsia="zh-CN"/>
              </w:rPr>
              <w:t>破损电池储存箱</w:t>
            </w:r>
            <w:bookmarkEnd w:id="23"/>
            <w:r>
              <w:rPr>
                <w:rFonts w:hint="eastAsia"/>
                <w:color w:val="auto"/>
                <w:kern w:val="2"/>
                <w:sz w:val="21"/>
                <w:highlight w:val="none"/>
                <w:lang w:val="en-US" w:eastAsia="zh-CN"/>
              </w:rPr>
              <w:t>，用于</w:t>
            </w:r>
            <w:r>
              <w:rPr>
                <w:rFonts w:hint="eastAsia" w:ascii="Times New Roman" w:hAnsi="Times New Roman" w:eastAsia="宋体"/>
                <w:color w:val="auto"/>
                <w:kern w:val="2"/>
                <w:sz w:val="21"/>
                <w:highlight w:val="none"/>
                <w:lang w:val="en-US" w:eastAsia="zh-CN"/>
              </w:rPr>
              <w:t>储存破损电池。</w:t>
            </w:r>
          </w:p>
          <w:p>
            <w:pPr>
              <w:keepNext w:val="0"/>
              <w:keepLines w:val="0"/>
              <w:suppressLineNumbers w:val="0"/>
              <w:spacing w:before="0" w:beforeAutospacing="0" w:after="0" w:afterAutospacing="0" w:line="460" w:lineRule="exact"/>
              <w:ind w:left="0" w:right="0" w:firstLine="480" w:firstLineChars="200"/>
              <w:jc w:val="left"/>
              <w:rPr>
                <w:rFonts w:hint="eastAsia" w:ascii="Times New Roman" w:hAnsi="宋体" w:eastAsia="宋体" w:cs="Times New Roman"/>
                <w:color w:val="auto"/>
                <w:sz w:val="24"/>
                <w:lang w:val="en-US" w:eastAsia="zh-CN"/>
              </w:rPr>
            </w:pPr>
            <w:r>
              <w:rPr>
                <w:rFonts w:hint="eastAsia" w:ascii="Times New Roman" w:hAnsi="宋体" w:eastAsia="宋体" w:cs="Times New Roman"/>
                <w:color w:val="auto"/>
                <w:sz w:val="24"/>
                <w:lang w:val="en-US" w:eastAsia="zh-CN"/>
              </w:rPr>
              <w:t>由上表可知，本项目拟建设情况与备案情况一致。</w:t>
            </w:r>
          </w:p>
          <w:p>
            <w:pPr>
              <w:keepNext w:val="0"/>
              <w:keepLines w:val="0"/>
              <w:suppressLineNumbers w:val="0"/>
              <w:bidi w:val="0"/>
              <w:spacing w:before="0" w:beforeAutospacing="0" w:after="0" w:afterAutospacing="0"/>
              <w:ind w:left="0" w:right="0"/>
              <w:rPr>
                <w:rFonts w:hint="eastAsia"/>
                <w:b/>
                <w:bCs/>
                <w:color w:val="auto"/>
                <w:lang w:val="en-US" w:eastAsia="zh-CN"/>
              </w:rPr>
            </w:pPr>
            <w:r>
              <w:rPr>
                <w:rFonts w:hint="eastAsia"/>
                <w:b/>
                <w:bCs/>
                <w:color w:val="auto"/>
                <w:lang w:val="en-US" w:eastAsia="zh-CN"/>
              </w:rPr>
              <w:t>4.“三线一单”符合性分析</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根据《关于以改善环境质量为核心加强环境影响评价管理的通知》（环评[2016]150号）要求，落实“生态保护红线、环境质量底线、资源利用上线和环境准入负面清单”（以下简称“三线一单”）约束，现分析如下：</w:t>
            </w:r>
          </w:p>
          <w:p>
            <w:pPr>
              <w:keepNext w:val="0"/>
              <w:keepLines w:val="0"/>
              <w:suppressLineNumbers w:val="0"/>
              <w:bidi w:val="0"/>
              <w:spacing w:before="0" w:beforeAutospacing="0" w:after="0" w:afterAutospacing="0"/>
              <w:ind w:left="0" w:right="0"/>
              <w:rPr>
                <w:rFonts w:hint="eastAsia"/>
                <w:b/>
                <w:bCs/>
                <w:color w:val="auto"/>
                <w:lang w:val="en-US" w:eastAsia="zh-CN"/>
              </w:rPr>
            </w:pPr>
            <w:r>
              <w:rPr>
                <w:rFonts w:hint="eastAsia"/>
                <w:b/>
                <w:bCs/>
                <w:color w:val="auto"/>
                <w:lang w:val="en-US" w:eastAsia="zh-CN"/>
              </w:rPr>
              <w:t>（1）生态保护红线相符性分析</w:t>
            </w:r>
          </w:p>
          <w:p>
            <w:pPr>
              <w:keepNext w:val="0"/>
              <w:keepLines w:val="0"/>
              <w:suppressLineNumbers w:val="0"/>
              <w:bidi w:val="0"/>
              <w:spacing w:before="0" w:beforeAutospacing="0" w:after="0" w:afterAutospacing="0"/>
              <w:ind w:left="0" w:right="0"/>
              <w:rPr>
                <w:rFonts w:hint="eastAsia"/>
                <w:color w:val="auto"/>
              </w:rPr>
            </w:pPr>
            <w:r>
              <w:rPr>
                <w:color w:val="auto"/>
              </w:rPr>
              <w:t>本项目位于</w:t>
            </w:r>
            <w:r>
              <w:rPr>
                <w:rFonts w:hint="eastAsia"/>
                <w:color w:val="auto"/>
                <w:lang w:eastAsia="zh-CN"/>
              </w:rPr>
              <w:t>河南省新乡市卫滨区人民路西环路交叉口向西300米路南</w:t>
            </w:r>
            <w:r>
              <w:rPr>
                <w:rFonts w:hint="eastAsia"/>
                <w:color w:val="auto"/>
              </w:rPr>
              <w:t>，本项目</w:t>
            </w:r>
            <w:r>
              <w:rPr>
                <w:rFonts w:hint="eastAsia"/>
                <w:color w:val="auto"/>
                <w:lang w:val="en-US" w:eastAsia="zh-CN"/>
              </w:rPr>
              <w:t>利用现有</w:t>
            </w:r>
            <w:r>
              <w:rPr>
                <w:rFonts w:hint="eastAsia"/>
                <w:color w:val="auto"/>
                <w:lang w:eastAsia="zh-CN"/>
              </w:rPr>
              <w:t>车间</w:t>
            </w:r>
            <w:r>
              <w:rPr>
                <w:color w:val="auto"/>
              </w:rPr>
              <w:t>进行建设</w:t>
            </w:r>
            <w:r>
              <w:rPr>
                <w:rFonts w:hint="eastAsia"/>
                <w:color w:val="auto"/>
                <w:lang w:val="en-US" w:eastAsia="zh-CN"/>
              </w:rPr>
              <w:t>，</w:t>
            </w:r>
            <w:r>
              <w:rPr>
                <w:rFonts w:hint="eastAsia"/>
                <w:color w:val="auto"/>
              </w:rPr>
              <w:t>不新增占地。经查阅《</w:t>
            </w:r>
            <w:r>
              <w:rPr>
                <w:rFonts w:hint="default"/>
                <w:color w:val="auto"/>
              </w:rPr>
              <w:t>河南省三线一单综合信息应用平台</w:t>
            </w:r>
            <w:r>
              <w:rPr>
                <w:rFonts w:hint="default"/>
                <w:color w:val="auto"/>
                <w:lang w:val="en-US" w:eastAsia="zh-CN"/>
              </w:rPr>
              <w:t>研判分析</w:t>
            </w:r>
            <w:r>
              <w:rPr>
                <w:rFonts w:hint="default"/>
                <w:color w:val="auto"/>
              </w:rPr>
              <w:t>图</w:t>
            </w:r>
            <w:r>
              <w:rPr>
                <w:rFonts w:hint="eastAsia"/>
                <w:color w:val="auto"/>
              </w:rPr>
              <w:t>》，本项目所在地</w:t>
            </w:r>
            <w:r>
              <w:rPr>
                <w:rFonts w:hint="eastAsia"/>
                <w:color w:val="auto"/>
                <w:lang w:val="en-US" w:eastAsia="zh-CN"/>
              </w:rPr>
              <w:t>属于重点管控单元，</w:t>
            </w:r>
            <w:r>
              <w:rPr>
                <w:rFonts w:hint="eastAsia"/>
                <w:color w:val="auto"/>
              </w:rPr>
              <w:t>不涉及生态保护红线</w:t>
            </w:r>
            <w:r>
              <w:rPr>
                <w:rFonts w:hint="eastAsia"/>
                <w:color w:val="auto"/>
                <w:lang w:val="en-US" w:eastAsia="zh-CN"/>
              </w:rPr>
              <w:t>，</w:t>
            </w:r>
            <w:r>
              <w:rPr>
                <w:rFonts w:hint="eastAsia"/>
                <w:color w:val="auto"/>
              </w:rPr>
              <w:t>见图</w:t>
            </w:r>
            <w:r>
              <w:rPr>
                <w:rFonts w:hint="eastAsia"/>
                <w:color w:val="auto"/>
                <w:lang w:val="en-US" w:eastAsia="zh-CN"/>
              </w:rPr>
              <w:t>1-1</w:t>
            </w:r>
            <w:r>
              <w:rPr>
                <w:rFonts w:hint="eastAsia"/>
                <w:color w:val="auto"/>
              </w:rPr>
              <w:t>。</w:t>
            </w:r>
          </w:p>
          <w:p>
            <w:pPr>
              <w:keepNext w:val="0"/>
              <w:keepLines w:val="0"/>
              <w:suppressLineNumbers w:val="0"/>
              <w:bidi w:val="0"/>
              <w:spacing w:before="0" w:beforeAutospacing="0" w:after="0" w:afterAutospacing="0"/>
              <w:ind w:left="0" w:right="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（2）资源利用上线相符性分析</w:t>
            </w:r>
          </w:p>
          <w:p>
            <w:pPr>
              <w:keepNext w:val="0"/>
              <w:keepLines w:val="0"/>
              <w:suppressLineNumbers w:val="0"/>
              <w:bidi w:val="0"/>
              <w:spacing w:before="0" w:beforeAutospacing="0" w:after="0" w:afterAutospacing="0"/>
              <w:ind w:left="0" w:right="0"/>
              <w:rPr>
                <w:rFonts w:hint="default"/>
                <w:color w:val="auto"/>
                <w:lang w:eastAsia="zh-CN"/>
              </w:rPr>
            </w:pPr>
            <w:r>
              <w:rPr>
                <w:color w:val="auto"/>
              </w:rPr>
              <w:t>本项目</w:t>
            </w:r>
            <w:r>
              <w:rPr>
                <w:rFonts w:hint="eastAsia"/>
                <w:color w:val="auto"/>
                <w:lang w:val="en-US" w:eastAsia="zh-CN"/>
              </w:rPr>
              <w:t>租赁现有</w:t>
            </w:r>
            <w:r>
              <w:rPr>
                <w:rFonts w:hint="eastAsia"/>
                <w:color w:val="auto"/>
              </w:rPr>
              <w:t>厂房进行</w:t>
            </w:r>
            <w:r>
              <w:rPr>
                <w:color w:val="auto"/>
              </w:rPr>
              <w:t>建设，</w:t>
            </w:r>
            <w:r>
              <w:rPr>
                <w:rFonts w:hint="eastAsia"/>
                <w:color w:val="auto"/>
              </w:rPr>
              <w:t>不占用基本农田</w:t>
            </w:r>
            <w:r>
              <w:rPr>
                <w:rFonts w:hint="eastAsia"/>
                <w:color w:val="auto"/>
                <w:lang w:eastAsia="zh-CN"/>
              </w:rPr>
              <w:t>，</w:t>
            </w:r>
            <w:r>
              <w:rPr>
                <w:rFonts w:hint="default"/>
                <w:color w:val="auto"/>
                <w:lang w:eastAsia="zh-CN"/>
              </w:rPr>
              <w:t>不新增建设用地，对土地资源影响较小</w:t>
            </w:r>
            <w:r>
              <w:rPr>
                <w:rFonts w:hint="eastAsia"/>
                <w:color w:val="auto"/>
              </w:rPr>
              <w:t>。</w:t>
            </w:r>
            <w:r>
              <w:rPr>
                <w:rFonts w:hint="eastAsia"/>
                <w:color w:val="auto"/>
                <w:lang w:val="en-US" w:eastAsia="zh-CN"/>
              </w:rPr>
              <w:t>用水来自当地自来水管网，</w:t>
            </w:r>
            <w:r>
              <w:rPr>
                <w:color w:val="auto"/>
              </w:rPr>
              <w:t>不取地下水</w:t>
            </w:r>
            <w:r>
              <w:rPr>
                <w:rFonts w:hint="eastAsia"/>
                <w:color w:val="auto"/>
              </w:rPr>
              <w:t>；</w:t>
            </w:r>
            <w:r>
              <w:rPr>
                <w:rFonts w:hint="eastAsia"/>
                <w:color w:val="auto"/>
                <w:lang w:val="en-US" w:eastAsia="zh-CN"/>
              </w:rPr>
              <w:t>用电来自当地电网。</w:t>
            </w:r>
            <w:r>
              <w:rPr>
                <w:rFonts w:hint="default"/>
                <w:color w:val="auto"/>
                <w:lang w:eastAsia="zh-CN"/>
              </w:rPr>
              <w:t>营运期通过内部管理、设备选择和管理、废物回收利用、污染治理等多方面采取合理可行的防治措施，</w:t>
            </w:r>
            <w:r>
              <w:rPr>
                <w:rFonts w:hint="eastAsia"/>
                <w:color w:val="auto"/>
                <w:lang w:eastAsia="zh-CN"/>
              </w:rPr>
              <w:t>以“节能、降耗、减污”为</w:t>
            </w:r>
            <w:r>
              <w:rPr>
                <w:rFonts w:hint="default"/>
                <w:color w:val="auto"/>
                <w:lang w:eastAsia="zh-CN"/>
              </w:rPr>
              <w:t>目标，有效地控制污染，实现废物资源化。不会对区域资源利用造成负面影响</w:t>
            </w:r>
            <w:r>
              <w:rPr>
                <w:rFonts w:hint="eastAsia"/>
                <w:color w:val="auto"/>
                <w:lang w:eastAsia="zh-CN"/>
              </w:rPr>
              <w:t>，</w:t>
            </w:r>
            <w:r>
              <w:rPr>
                <w:rFonts w:hint="default"/>
                <w:color w:val="auto"/>
                <w:lang w:eastAsia="zh-CN"/>
              </w:rPr>
              <w:t>资源利用不会突破区域的资源利用上线。</w:t>
            </w:r>
          </w:p>
          <w:p>
            <w:pPr>
              <w:keepNext w:val="0"/>
              <w:keepLines w:val="0"/>
              <w:suppressLineNumbers w:val="0"/>
              <w:bidi w:val="0"/>
              <w:spacing w:before="0" w:beforeAutospacing="0" w:after="0" w:afterAutospacing="0"/>
              <w:ind w:left="0" w:right="0"/>
              <w:rPr>
                <w:b/>
                <w:bCs/>
                <w:color w:val="auto"/>
              </w:rPr>
            </w:pPr>
            <w:r>
              <w:rPr>
                <w:b/>
                <w:bCs/>
                <w:color w:val="auto"/>
              </w:rPr>
              <w:t>（3）环境质量底线</w:t>
            </w:r>
          </w:p>
          <w:p>
            <w:pPr>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本项目厂址位于</w:t>
            </w:r>
            <w:r>
              <w:rPr>
                <w:rFonts w:hint="eastAsia"/>
                <w:color w:val="auto"/>
                <w:lang w:eastAsia="zh-CN"/>
              </w:rPr>
              <w:t>河南省新乡市卫滨区人民路西环路交叉口向西300米路南</w:t>
            </w:r>
            <w:r>
              <w:rPr>
                <w:rFonts w:hint="default"/>
                <w:color w:val="auto"/>
                <w:lang w:val="en-US" w:eastAsia="zh-CN"/>
              </w:rPr>
              <w:t>，区域环境空气为二类功能区，</w:t>
            </w:r>
            <w:r>
              <w:rPr>
                <w:rFonts w:hint="eastAsia"/>
                <w:color w:val="auto"/>
                <w:highlight w:val="none"/>
                <w:lang w:val="en-US" w:eastAsia="zh-CN"/>
              </w:rPr>
              <w:t>距离本项目最近的地表水为西孟姜女河</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水体功能类别为</w:t>
            </w:r>
            <w:r>
              <w:rPr>
                <w:rFonts w:hint="eastAsia" w:ascii="Times New Roman" w:hAnsi="Times New Roman" w:eastAsia="宋体" w:cs="Times New Roman"/>
                <w:color w:val="auto"/>
                <w:lang w:val="en-US" w:eastAsia="zh-CN"/>
              </w:rPr>
              <w:t>Ⅲ</w:t>
            </w:r>
            <w:r>
              <w:rPr>
                <w:rFonts w:hint="default" w:ascii="Times New Roman" w:hAnsi="Times New Roman" w:eastAsia="宋体" w:cs="Times New Roman"/>
                <w:color w:val="auto"/>
                <w:lang w:val="en-US" w:eastAsia="zh-CN"/>
              </w:rPr>
              <w:t>类，噪声区划为</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lang w:val="en-US" w:eastAsia="zh-CN"/>
              </w:rPr>
              <w:t>类声功能区。本项目建成后，废气、废水、噪声</w:t>
            </w:r>
            <w:r>
              <w:rPr>
                <w:rFonts w:hint="eastAsia" w:ascii="Times New Roman" w:hAnsi="Times New Roman" w:eastAsia="宋体" w:cs="Times New Roman"/>
                <w:color w:val="auto"/>
                <w:lang w:val="en-US" w:eastAsia="zh-CN"/>
              </w:rPr>
              <w:t>均</w:t>
            </w:r>
            <w:r>
              <w:rPr>
                <w:rFonts w:hint="default" w:ascii="Times New Roman" w:hAnsi="Times New Roman" w:eastAsia="宋体" w:cs="Times New Roman"/>
                <w:color w:val="auto"/>
                <w:lang w:val="en-US" w:eastAsia="zh-CN"/>
              </w:rPr>
              <w:t>能够实现达标排放，固废均进行无害化处置或资源化利用。</w:t>
            </w:r>
            <w:bookmarkStart w:id="24" w:name="OLE_LINK65"/>
            <w:bookmarkStart w:id="25" w:name="OLE_LINK94"/>
            <w:r>
              <w:rPr>
                <w:rFonts w:hint="default" w:ascii="Times New Roman" w:hAnsi="Times New Roman" w:eastAsia="宋体" w:cs="Times New Roman"/>
                <w:color w:val="auto"/>
                <w:lang w:val="en-US" w:eastAsia="zh-CN"/>
              </w:rPr>
              <w:t>本项目</w:t>
            </w:r>
            <w:r>
              <w:rPr>
                <w:rFonts w:hint="eastAsia" w:ascii="Times New Roman" w:hAnsi="Times New Roman" w:eastAsia="宋体" w:cs="Times New Roman"/>
                <w:color w:val="auto"/>
                <w:lang w:val="en-US" w:eastAsia="zh-CN"/>
              </w:rPr>
              <w:t>不</w:t>
            </w:r>
            <w:r>
              <w:rPr>
                <w:rFonts w:hint="eastAsia" w:cs="Times New Roman"/>
                <w:color w:val="auto"/>
                <w:lang w:val="en-US" w:eastAsia="zh-CN"/>
              </w:rPr>
              <w:t>新增</w:t>
            </w:r>
            <w:r>
              <w:rPr>
                <w:rFonts w:hint="default" w:ascii="Times New Roman" w:hAnsi="Times New Roman" w:eastAsia="宋体" w:cs="Times New Roman"/>
                <w:color w:val="auto"/>
                <w:lang w:val="en-US" w:eastAsia="zh-CN"/>
              </w:rPr>
              <w:t>废气</w:t>
            </w:r>
            <w:r>
              <w:rPr>
                <w:rFonts w:hint="eastAsia" w:ascii="Times New Roman" w:hAnsi="Times New Roman" w:eastAsia="宋体" w:cs="Times New Roman"/>
                <w:color w:val="auto"/>
                <w:lang w:val="en-US" w:eastAsia="zh-CN"/>
              </w:rPr>
              <w:t>、废水控制</w:t>
            </w:r>
            <w:r>
              <w:rPr>
                <w:rFonts w:hint="eastAsia" w:cs="Times New Roman"/>
                <w:color w:val="auto"/>
                <w:lang w:val="en-US" w:eastAsia="zh-CN"/>
              </w:rPr>
              <w:t>指标</w:t>
            </w:r>
            <w:bookmarkEnd w:id="24"/>
            <w:r>
              <w:rPr>
                <w:rFonts w:hint="eastAsia" w:cs="Times New Roman"/>
                <w:color w:val="auto"/>
                <w:lang w:val="en-US" w:eastAsia="zh-CN"/>
              </w:rPr>
              <w:t>。</w:t>
            </w:r>
            <w:bookmarkEnd w:id="25"/>
            <w:r>
              <w:rPr>
                <w:rFonts w:hint="default"/>
                <w:color w:val="auto"/>
                <w:lang w:val="en-US" w:eastAsia="zh-CN"/>
              </w:rPr>
              <w:t>不会对区域环境质量底线造成冲击，满足环境质量底线的要求。</w:t>
            </w:r>
          </w:p>
          <w:p>
            <w:pPr>
              <w:keepNext w:val="0"/>
              <w:keepLines w:val="0"/>
              <w:suppressLineNumbers w:val="0"/>
              <w:bidi w:val="0"/>
              <w:spacing w:before="0" w:beforeAutospacing="0" w:after="0" w:afterAutospacing="0"/>
              <w:ind w:left="0" w:right="0"/>
              <w:rPr>
                <w:b/>
                <w:bCs/>
                <w:color w:val="auto"/>
              </w:rPr>
            </w:pPr>
            <w:r>
              <w:rPr>
                <w:rFonts w:hint="eastAsia"/>
                <w:b/>
                <w:bCs/>
                <w:color w:val="auto"/>
                <w:lang w:eastAsia="zh-CN"/>
              </w:rPr>
              <w:t>（</w:t>
            </w:r>
            <w:r>
              <w:rPr>
                <w:rFonts w:hint="eastAsia"/>
                <w:b/>
                <w:bCs/>
                <w:color w:val="auto"/>
                <w:lang w:val="en-US" w:eastAsia="zh-CN"/>
              </w:rPr>
              <w:t>4</w:t>
            </w:r>
            <w:r>
              <w:rPr>
                <w:rFonts w:hint="eastAsia"/>
                <w:b/>
                <w:bCs/>
                <w:color w:val="auto"/>
                <w:lang w:eastAsia="zh-CN"/>
              </w:rPr>
              <w:t>）</w:t>
            </w:r>
            <w:r>
              <w:rPr>
                <w:rFonts w:hint="eastAsia"/>
                <w:b/>
                <w:bCs/>
                <w:color w:val="auto"/>
                <w:u w:val="none"/>
              </w:rPr>
              <w:t>生态环境准入清单</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本项目位于河南省新乡市</w:t>
            </w:r>
            <w:bookmarkStart w:id="26" w:name="OLE_LINK218"/>
            <w:r>
              <w:rPr>
                <w:rFonts w:hint="eastAsia"/>
                <w:color w:val="auto"/>
                <w:lang w:val="en-US" w:eastAsia="zh-CN"/>
              </w:rPr>
              <w:t>卫滨区人民路西环路交叉口向西300米路南</w:t>
            </w:r>
            <w:bookmarkEnd w:id="26"/>
            <w:r>
              <w:rPr>
                <w:rFonts w:hint="eastAsia"/>
                <w:color w:val="auto"/>
                <w:lang w:val="en-US" w:eastAsia="zh-CN"/>
              </w:rPr>
              <w:t>，根据</w:t>
            </w:r>
            <w:r>
              <w:rPr>
                <w:rFonts w:hint="eastAsia" w:ascii="Times New Roman" w:hAnsi="Times New Roman" w:eastAsia="宋体" w:cs="Times New Roman"/>
                <w:color w:val="auto"/>
                <w:lang w:val="en-US" w:eastAsia="zh-CN"/>
              </w:rPr>
              <w:t>《新乡市“三线一单”生态环境准入清单》（2023年版）可知，本项目属于重点管控单元，不属于优先保护单元，不涉及生态保护红线、水环境优先保护单元。本项目位于重点管控单元2，单元名称：</w:t>
            </w:r>
            <w:bookmarkStart w:id="27" w:name="OLE_LINK49"/>
            <w:r>
              <w:rPr>
                <w:rFonts w:hint="eastAsia" w:ascii="Times New Roman" w:hAnsi="Times New Roman" w:eastAsia="宋体" w:cs="Times New Roman"/>
                <w:color w:val="auto"/>
                <w:lang w:val="en-US" w:eastAsia="zh-CN"/>
              </w:rPr>
              <w:t>卫滨区大气高排放区</w:t>
            </w:r>
            <w:bookmarkEnd w:id="27"/>
            <w:r>
              <w:rPr>
                <w:rFonts w:hint="eastAsia" w:ascii="Times New Roman" w:hAnsi="Times New Roman" w:eastAsia="宋体" w:cs="Times New Roman"/>
                <w:color w:val="auto"/>
                <w:lang w:val="en-US" w:eastAsia="zh-CN"/>
              </w:rPr>
              <w:t>，单元编码：</w:t>
            </w:r>
            <w:bookmarkStart w:id="28" w:name="OLE_LINK79"/>
            <w:r>
              <w:rPr>
                <w:rFonts w:hint="eastAsia" w:ascii="Times New Roman" w:hAnsi="Times New Roman" w:eastAsia="宋体" w:cs="Times New Roman"/>
                <w:color w:val="auto"/>
                <w:lang w:val="en-US" w:eastAsia="zh-CN"/>
              </w:rPr>
              <w:t>ZH41070320002</w:t>
            </w:r>
            <w:bookmarkEnd w:id="28"/>
            <w:r>
              <w:rPr>
                <w:rFonts w:hint="eastAsia" w:ascii="Times New Roman" w:hAnsi="Times New Roman" w:eastAsia="宋体" w:cs="Times New Roman"/>
                <w:color w:val="auto"/>
                <w:lang w:val="en-US" w:eastAsia="zh-CN"/>
              </w:rPr>
              <w:t>，</w:t>
            </w:r>
            <w:r>
              <w:rPr>
                <w:rFonts w:hint="eastAsia"/>
                <w:color w:val="auto"/>
                <w:lang w:val="en-US" w:eastAsia="zh-CN"/>
              </w:rPr>
              <w:t>本项目所在河南省三线一单综合信息平台查询如下：</w:t>
            </w:r>
          </w:p>
          <w:p>
            <w:pPr>
              <w:keepNext w:val="0"/>
              <w:keepLines w:val="0"/>
              <w:suppressLineNumbers w:val="0"/>
              <w:bidi w:val="0"/>
              <w:spacing w:before="0" w:beforeAutospacing="0" w:after="0" w:afterAutospacing="0"/>
              <w:ind w:left="0" w:right="0"/>
              <w:rPr>
                <w:rFonts w:hint="eastAsia"/>
                <w:color w:val="auto"/>
                <w:lang w:val="en-US" w:eastAsia="zh-CN"/>
              </w:rPr>
            </w:pPr>
          </w:p>
          <w:p>
            <w:pPr>
              <w:keepNext w:val="0"/>
              <w:keepLines w:val="0"/>
              <w:suppressLineNumbers w:val="0"/>
              <w:bidi w:val="0"/>
              <w:spacing w:before="0" w:beforeAutospacing="0" w:after="0" w:afterAutospacing="0"/>
              <w:ind w:left="0" w:right="0"/>
              <w:rPr>
                <w:rFonts w:hint="eastAsia"/>
                <w:color w:val="auto"/>
                <w:lang w:val="en-US" w:eastAsia="zh-CN"/>
              </w:rPr>
            </w:pPr>
          </w:p>
          <w:p>
            <w:pPr>
              <w:keepNext w:val="0"/>
              <w:keepLines w:val="0"/>
              <w:suppressLineNumbers w:val="0"/>
              <w:bidi w:val="0"/>
              <w:spacing w:before="0" w:beforeAutospacing="0" w:after="0" w:afterAutospacing="0"/>
              <w:ind w:left="0" w:right="0"/>
              <w:rPr>
                <w:rFonts w:hint="eastAsia"/>
                <w:color w:val="auto"/>
                <w:lang w:val="en-US" w:eastAsia="zh-CN"/>
              </w:rPr>
            </w:pPr>
          </w:p>
          <w:p>
            <w:pPr>
              <w:keepNext w:val="0"/>
              <w:keepLines w:val="0"/>
              <w:suppressLineNumbers w:val="0"/>
              <w:bidi w:val="0"/>
              <w:spacing w:before="0" w:beforeAutospacing="0" w:after="0" w:afterAutospacing="0"/>
              <w:ind w:left="0" w:right="0"/>
              <w:rPr>
                <w:rFonts w:hint="eastAsia"/>
                <w:color w:val="auto"/>
                <w:lang w:val="en-US" w:eastAsia="zh-CN"/>
              </w:rPr>
            </w:pPr>
          </w:p>
          <w:p>
            <w:pPr>
              <w:pStyle w:val="12"/>
              <w:keepNext w:val="0"/>
              <w:keepLines w:val="0"/>
              <w:suppressLineNumbers w:val="0"/>
              <w:bidi w:val="0"/>
              <w:spacing w:before="0" w:beforeAutospacing="0" w:after="0" w:afterAutospacing="0"/>
              <w:ind w:left="0" w:right="0"/>
              <w:rPr>
                <w:color w:val="auto"/>
                <w:lang w:val="en-US" w:eastAsia="zh-CN"/>
              </w:rPr>
            </w:pPr>
            <w:bookmarkStart w:id="29" w:name="OLE_LINK160"/>
            <w:r>
              <w:rPr>
                <w:color w:val="auto"/>
                <w:sz w:val="24"/>
              </w:rPr>
              <w:pict>
                <v:group id="_x0000_s2614" o:spid="_x0000_s2614" o:spt="203" style="position:absolute;left:0pt;margin-left:171.55pt;margin-top:8.25pt;height:81.6pt;width:174.85pt;z-index:251664384;mso-width-relative:page;mso-height-relative:page;" coordorigin="12241,111435" coordsize="3497,1632">
                  <o:lock v:ext="edit" aspectratio="f"/>
                  <v:shape id="图片 128" o:spid="_x0000_s2607" o:spt="75" type="#_x0000_t75" style="position:absolute;left:15610;top:111435;height:355;width:129;" filled="f" o:preferrelative="t" stroked="f" coordsize="21600,21600">
                    <v:path/>
                    <v:fill on="f" focussize="0,0"/>
                    <v:stroke on="f"/>
                    <v:imagedata r:id="rId17" o:title=""/>
                    <o:lock v:ext="edit" aspectratio="t"/>
                  </v:shape>
                  <v:shape id="矩形标注 26" o:spid="_x0000_s2609" o:spt="61" type="#_x0000_t61" style="position:absolute;left:12241;top:112719;height:348;width:910;v-text-anchor:middle;" filled="f" stroked="t" coordsize="21600,21600" adj="-7903,33517">
                    <v:path/>
                    <v:fill on="f" focussize="0,0"/>
                    <v:stroke weight="0.5pt" color="#FF0000" joinstyle="round"/>
                    <v:imagedata o:title=""/>
                    <o:lock v:ext="edit" aspectratio="f"/>
                    <v:textbox inset="0mm,0mm,0mm,0mm">
                      <w:txbxContent>
                        <w:p>
                          <w:pPr>
                            <w:pStyle w:val="28"/>
                            <w:keepNext w:val="0"/>
                            <w:keepLines w:val="0"/>
                            <w:pageBreakBefore w:val="0"/>
                            <w:widowControl w:val="0"/>
                            <w:kinsoku/>
                            <w:wordWrap/>
                            <w:overflowPunct/>
                            <w:topLinePunct w:val="0"/>
                            <w:bidi w:val="0"/>
                            <w:adjustRightInd w:val="0"/>
                            <w:snapToGrid w:val="0"/>
                            <w:spacing w:before="0" w:beforeLines="0" w:line="240" w:lineRule="auto"/>
                            <w:ind w:firstLine="0" w:firstLineChars="0"/>
                            <w:textAlignment w:val="auto"/>
                            <w:rPr>
                              <w:rFonts w:hint="eastAsia" w:eastAsia="宋体"/>
                              <w:b/>
                              <w:bCs/>
                              <w:color w:val="FF0000"/>
                              <w:lang w:val="en-US" w:eastAsia="zh-CN"/>
                            </w:rPr>
                          </w:pPr>
                          <w:r>
                            <w:rPr>
                              <w:rFonts w:hint="eastAsia"/>
                              <w:b/>
                              <w:bCs/>
                              <w:color w:val="FF0000"/>
                              <w:lang w:val="en-US" w:eastAsia="zh-CN"/>
                            </w:rPr>
                            <w:t>本项目</w:t>
                          </w:r>
                        </w:p>
                      </w:txbxContent>
                    </v:textbox>
                  </v:shape>
                </v:group>
              </w:pict>
            </w:r>
            <w:r>
              <w:rPr>
                <w:color w:val="auto"/>
              </w:rPr>
              <w:drawing>
                <wp:anchor distT="0" distB="0" distL="114300" distR="114300" simplePos="0" relativeHeight="251665408" behindDoc="0" locked="0" layoutInCell="1" allowOverlap="1">
                  <wp:simplePos x="0" y="0"/>
                  <wp:positionH relativeFrom="column">
                    <wp:posOffset>26670</wp:posOffset>
                  </wp:positionH>
                  <wp:positionV relativeFrom="paragraph">
                    <wp:posOffset>73660</wp:posOffset>
                  </wp:positionV>
                  <wp:extent cx="4392295" cy="2196465"/>
                  <wp:effectExtent l="28575" t="28575" r="36830" b="41910"/>
                  <wp:wrapTopAndBottom/>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8"/>
                          <a:stretch>
                            <a:fillRect/>
                          </a:stretch>
                        </pic:blipFill>
                        <pic:spPr>
                          <a:xfrm>
                            <a:off x="0" y="0"/>
                            <a:ext cx="4392295" cy="2196465"/>
                          </a:xfrm>
                          <a:prstGeom prst="rect">
                            <a:avLst/>
                          </a:prstGeom>
                          <a:noFill/>
                          <a:ln w="28575" cmpd="sng">
                            <a:solidFill>
                              <a:schemeClr val="accent1">
                                <a:shade val="50000"/>
                              </a:schemeClr>
                            </a:solidFill>
                            <a:prstDash val="solid"/>
                          </a:ln>
                        </pic:spPr>
                      </pic:pic>
                    </a:graphicData>
                  </a:graphic>
                </wp:anchor>
              </w:drawing>
            </w:r>
            <w:r>
              <w:rPr>
                <w:color w:val="auto"/>
                <w:lang w:val="en-US" w:eastAsia="zh-CN"/>
              </w:rPr>
              <w:t>图</w:t>
            </w:r>
            <w:r>
              <w:rPr>
                <w:rFonts w:hint="eastAsia"/>
                <w:color w:val="auto"/>
                <w:lang w:val="en-US" w:eastAsia="zh-CN"/>
              </w:rPr>
              <w:t xml:space="preserve"> 1-1    </w:t>
            </w:r>
            <w:r>
              <w:rPr>
                <w:color w:val="auto"/>
                <w:lang w:val="en-US" w:eastAsia="zh-CN"/>
              </w:rPr>
              <w:t>河南省三线一单综合信息应用平台研判分析图</w:t>
            </w:r>
          </w:p>
          <w:p>
            <w:pPr>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①本项目与</w:t>
            </w:r>
            <w:bookmarkStart w:id="30" w:name="OLE_LINK68"/>
            <w:r>
              <w:rPr>
                <w:rFonts w:hint="default" w:ascii="Times New Roman" w:hAnsi="Times New Roman" w:eastAsia="宋体" w:cs="Times New Roman"/>
                <w:color w:val="auto"/>
                <w:lang w:val="en-US" w:eastAsia="zh-CN"/>
              </w:rPr>
              <w:t>河南省生</w:t>
            </w:r>
            <w:bookmarkEnd w:id="30"/>
            <w:r>
              <w:rPr>
                <w:rFonts w:hint="default" w:ascii="Times New Roman" w:hAnsi="Times New Roman" w:eastAsia="宋体" w:cs="Times New Roman"/>
                <w:color w:val="auto"/>
                <w:lang w:val="en-US" w:eastAsia="zh-CN"/>
              </w:rPr>
              <w:t>态环境分区管控总体要求（2023年版）相符性分析见下表。</w:t>
            </w:r>
          </w:p>
          <w:bookmarkEnd w:id="29"/>
          <w:p>
            <w:pPr>
              <w:pStyle w:val="12"/>
              <w:keepNext w:val="0"/>
              <w:keepLines w:val="0"/>
              <w:suppressLineNumbers w:val="0"/>
              <w:bidi w:val="0"/>
              <w:spacing w:before="0" w:beforeAutospacing="0" w:after="0" w:afterAutospacing="0"/>
              <w:ind w:left="0" w:right="0"/>
              <w:rPr>
                <w:rFonts w:hint="default"/>
                <w:color w:val="auto"/>
              </w:rPr>
            </w:pPr>
            <w:r>
              <w:rPr>
                <w:rFonts w:hint="default"/>
                <w:color w:val="auto"/>
              </w:rPr>
              <w:t>表</w:t>
            </w:r>
            <w:r>
              <w:rPr>
                <w:rFonts w:hint="eastAsia"/>
                <w:color w:val="auto"/>
                <w:lang w:val="en-US" w:eastAsia="zh-CN"/>
              </w:rPr>
              <w:t xml:space="preserve"> 1-4</w:t>
            </w:r>
            <w:r>
              <w:rPr>
                <w:rFonts w:hint="default"/>
                <w:color w:val="auto"/>
              </w:rPr>
              <w:t xml:space="preserve">  </w:t>
            </w:r>
            <w:r>
              <w:rPr>
                <w:rFonts w:hint="eastAsia"/>
                <w:color w:val="auto"/>
                <w:lang w:val="en-US" w:eastAsia="zh-CN"/>
              </w:rPr>
              <w:t xml:space="preserve">  </w:t>
            </w:r>
            <w:r>
              <w:rPr>
                <w:rFonts w:hint="default"/>
                <w:color w:val="auto"/>
              </w:rPr>
              <w:t>与生态环境分区管控总体要求（2023年版）符合性分析</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85" w:type="dxa"/>
                <w:bottom w:w="0" w:type="dxa"/>
                <w:right w:w="85" w:type="dxa"/>
              </w:tblCellMar>
            </w:tblPr>
            <w:tblGrid>
              <w:gridCol w:w="726"/>
              <w:gridCol w:w="571"/>
              <w:gridCol w:w="2596"/>
              <w:gridCol w:w="2431"/>
              <w:gridCol w:w="83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7070" w:type="dxa"/>
                  <w:gridSpan w:val="5"/>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default"/>
                      <w:b/>
                      <w:bCs/>
                      <w:color w:val="auto"/>
                    </w:rPr>
                  </w:pPr>
                  <w:r>
                    <w:rPr>
                      <w:rFonts w:hint="default"/>
                      <w:b/>
                      <w:bCs/>
                      <w:color w:val="auto"/>
                    </w:rPr>
                    <w:t>河南省生态环境总体准入要求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718"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default"/>
                      <w:b/>
                      <w:bCs/>
                      <w:color w:val="auto"/>
                    </w:rPr>
                  </w:pPr>
                  <w:r>
                    <w:rPr>
                      <w:rFonts w:hint="default"/>
                      <w:b/>
                      <w:bCs/>
                      <w:color w:val="auto"/>
                    </w:rPr>
                    <w:t>环境管控单元分区</w:t>
                  </w:r>
                </w:p>
              </w:tc>
              <w:tc>
                <w:tcPr>
                  <w:tcW w:w="564"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default"/>
                      <w:b/>
                      <w:bCs/>
                      <w:color w:val="auto"/>
                    </w:rPr>
                  </w:pPr>
                  <w:r>
                    <w:rPr>
                      <w:rFonts w:hint="default"/>
                      <w:b/>
                      <w:bCs/>
                      <w:color w:val="auto"/>
                    </w:rPr>
                    <w:t>管控类别</w:t>
                  </w:r>
                </w:p>
              </w:tc>
              <w:tc>
                <w:tcPr>
                  <w:tcW w:w="2565"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default"/>
                      <w:b/>
                      <w:bCs/>
                      <w:color w:val="auto"/>
                    </w:rPr>
                  </w:pPr>
                  <w:r>
                    <w:rPr>
                      <w:rFonts w:hint="default"/>
                      <w:b/>
                      <w:bCs/>
                      <w:color w:val="auto"/>
                    </w:rPr>
                    <w:t>准入要求</w:t>
                  </w:r>
                </w:p>
              </w:tc>
              <w:tc>
                <w:tcPr>
                  <w:tcW w:w="2402"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default"/>
                      <w:b/>
                      <w:bCs/>
                      <w:color w:val="auto"/>
                    </w:rPr>
                  </w:pPr>
                  <w:r>
                    <w:rPr>
                      <w:rFonts w:hint="default"/>
                      <w:b/>
                      <w:bCs/>
                      <w:color w:val="auto"/>
                    </w:rPr>
                    <w:t>本项目情况</w:t>
                  </w:r>
                </w:p>
              </w:tc>
              <w:tc>
                <w:tcPr>
                  <w:tcW w:w="821"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eastAsia"/>
                      <w:b/>
                      <w:bCs/>
                      <w:color w:val="auto"/>
                      <w:lang w:eastAsia="zh-CN"/>
                    </w:rPr>
                  </w:pPr>
                  <w:r>
                    <w:rPr>
                      <w:rFonts w:hint="eastAsia"/>
                      <w:b/>
                      <w:bCs/>
                      <w:color w:val="auto"/>
                      <w:lang w:val="en-US" w:eastAsia="zh-CN"/>
                    </w:rPr>
                    <w:t>相符性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718" w:type="dxa"/>
                  <w:vMerge w:val="restart"/>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default"/>
                      <w:color w:val="auto"/>
                    </w:rPr>
                  </w:pPr>
                  <w:r>
                    <w:rPr>
                      <w:rFonts w:hint="default"/>
                      <w:color w:val="auto"/>
                    </w:rPr>
                    <w:t>重点管控单元</w:t>
                  </w:r>
                </w:p>
              </w:tc>
              <w:tc>
                <w:tcPr>
                  <w:tcW w:w="564"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default"/>
                      <w:color w:val="auto"/>
                    </w:rPr>
                  </w:pPr>
                  <w:r>
                    <w:rPr>
                      <w:rFonts w:hint="default"/>
                      <w:color w:val="auto"/>
                    </w:rPr>
                    <w:t>空间布局约束</w:t>
                  </w:r>
                </w:p>
              </w:tc>
              <w:tc>
                <w:tcPr>
                  <w:tcW w:w="2565"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jc w:val="both"/>
                    <w:rPr>
                      <w:rFonts w:hint="default" w:ascii="Times New Roman" w:hAnsi="Times New Roman" w:eastAsia="宋体"/>
                      <w:color w:val="auto"/>
                    </w:rPr>
                  </w:pPr>
                  <w:r>
                    <w:rPr>
                      <w:rFonts w:hint="default" w:ascii="Times New Roman" w:hAnsi="Times New Roman" w:eastAsia="宋体"/>
                      <w:color w:val="auto"/>
                    </w:rPr>
                    <w:t>1.根据国家产业政策、区域定位及环境特征等，建立差别化的产业准入要求，鼓励建设符合规划环评的项目。</w:t>
                  </w:r>
                </w:p>
                <w:p>
                  <w:pPr>
                    <w:pStyle w:val="28"/>
                    <w:keepNext w:val="0"/>
                    <w:keepLines w:val="0"/>
                    <w:suppressLineNumbers w:val="0"/>
                    <w:bidi w:val="0"/>
                    <w:spacing w:before="0" w:beforeAutospacing="0" w:after="0" w:afterAutospacing="0"/>
                    <w:ind w:left="0" w:right="0"/>
                    <w:jc w:val="both"/>
                    <w:rPr>
                      <w:rFonts w:hint="default" w:ascii="Times New Roman" w:hAnsi="Times New Roman" w:eastAsia="宋体"/>
                      <w:color w:val="auto"/>
                    </w:rPr>
                  </w:pPr>
                  <w:r>
                    <w:rPr>
                      <w:rFonts w:hint="default" w:ascii="Times New Roman" w:hAnsi="Times New Roman" w:eastAsia="宋体"/>
                      <w:color w:val="auto"/>
                    </w:rPr>
                    <w:t>3.推进新建石化化工项目向资源环境优势基地集中，引导化工项目进区入园，促进高水平集聚发展。</w:t>
                  </w:r>
                </w:p>
                <w:p>
                  <w:pPr>
                    <w:pStyle w:val="28"/>
                    <w:keepNext w:val="0"/>
                    <w:keepLines w:val="0"/>
                    <w:suppressLineNumbers w:val="0"/>
                    <w:bidi w:val="0"/>
                    <w:spacing w:before="0" w:beforeAutospacing="0" w:after="0" w:afterAutospacing="0"/>
                    <w:ind w:left="0" w:right="0"/>
                    <w:jc w:val="both"/>
                    <w:rPr>
                      <w:rFonts w:hint="default" w:ascii="Times New Roman" w:hAnsi="Times New Roman" w:eastAsia="宋体"/>
                      <w:color w:val="auto"/>
                    </w:rPr>
                  </w:pPr>
                  <w:r>
                    <w:rPr>
                      <w:rFonts w:hint="default" w:ascii="Times New Roman" w:hAnsi="Times New Roman" w:eastAsia="宋体"/>
                      <w:color w:val="auto"/>
                    </w:rPr>
                    <w:t>4.强化环境准入约束，坚决遏制</w:t>
                  </w:r>
                  <w:r>
                    <w:rPr>
                      <w:rFonts w:hint="eastAsia" w:ascii="Times New Roman" w:hAnsi="Times New Roman" w:eastAsia="宋体"/>
                      <w:color w:val="auto"/>
                      <w:lang w:eastAsia="zh-CN"/>
                    </w:rPr>
                    <w:t>“</w:t>
                  </w:r>
                  <w:r>
                    <w:rPr>
                      <w:rFonts w:hint="default" w:ascii="Times New Roman" w:hAnsi="Times New Roman" w:eastAsia="宋体"/>
                      <w:color w:val="auto"/>
                    </w:rPr>
                    <w:t>两高一低</w:t>
                  </w:r>
                  <w:r>
                    <w:rPr>
                      <w:rFonts w:hint="eastAsia" w:ascii="Times New Roman" w:hAnsi="Times New Roman" w:eastAsia="宋体"/>
                      <w:color w:val="auto"/>
                      <w:lang w:eastAsia="zh-CN"/>
                    </w:rPr>
                    <w:t>”</w:t>
                  </w:r>
                  <w:r>
                    <w:rPr>
                      <w:rFonts w:hint="default" w:ascii="Times New Roman" w:hAnsi="Times New Roman" w:eastAsia="宋体"/>
                      <w:color w:val="auto"/>
                    </w:rPr>
                    <w:t>项目盲目发展，对不符合规定的项目坚决停批停建。</w:t>
                  </w:r>
                </w:p>
                <w:p>
                  <w:pPr>
                    <w:pStyle w:val="28"/>
                    <w:keepNext w:val="0"/>
                    <w:keepLines w:val="0"/>
                    <w:suppressLineNumbers w:val="0"/>
                    <w:bidi w:val="0"/>
                    <w:spacing w:before="0" w:beforeAutospacing="0" w:after="0" w:afterAutospacing="0"/>
                    <w:ind w:left="0" w:right="0"/>
                    <w:jc w:val="both"/>
                    <w:rPr>
                      <w:rFonts w:hint="default" w:ascii="Times New Roman" w:hAnsi="Times New Roman" w:eastAsia="宋体"/>
                      <w:color w:val="auto"/>
                    </w:rPr>
                  </w:pPr>
                  <w:r>
                    <w:rPr>
                      <w:rFonts w:hint="default" w:ascii="Times New Roman" w:hAnsi="Times New Roman" w:eastAsia="宋体"/>
                      <w:color w:val="auto"/>
                    </w:rPr>
                    <w:t>5.涉及产能置换的项目，被置换产能及其配套设施关停后，新建项目方可投产。</w:t>
                  </w:r>
                </w:p>
                <w:p>
                  <w:pPr>
                    <w:pStyle w:val="28"/>
                    <w:keepNext w:val="0"/>
                    <w:keepLines w:val="0"/>
                    <w:suppressLineNumbers w:val="0"/>
                    <w:bidi w:val="0"/>
                    <w:spacing w:before="0" w:beforeAutospacing="0" w:after="0" w:afterAutospacing="0"/>
                    <w:ind w:left="0" w:right="0"/>
                    <w:jc w:val="both"/>
                    <w:rPr>
                      <w:rFonts w:hint="default" w:ascii="Times New Roman" w:hAnsi="Times New Roman" w:eastAsia="宋体"/>
                      <w:color w:val="auto"/>
                    </w:rPr>
                  </w:pPr>
                  <w:r>
                    <w:rPr>
                      <w:rFonts w:hint="default" w:ascii="Times New Roman" w:hAnsi="Times New Roman" w:eastAsia="宋体"/>
                      <w:color w:val="auto"/>
                    </w:rPr>
                    <w:t>6.加快城市建成区内重污染企业就地改造、退城入园、转型转产或关闭退出。</w:t>
                  </w:r>
                </w:p>
                <w:p>
                  <w:pPr>
                    <w:pStyle w:val="28"/>
                    <w:keepNext w:val="0"/>
                    <w:keepLines w:val="0"/>
                    <w:suppressLineNumbers w:val="0"/>
                    <w:bidi w:val="0"/>
                    <w:spacing w:before="0" w:beforeAutospacing="0" w:after="0" w:afterAutospacing="0"/>
                    <w:ind w:left="0" w:right="0"/>
                    <w:jc w:val="both"/>
                    <w:rPr>
                      <w:rFonts w:hint="default" w:ascii="Times New Roman" w:hAnsi="Times New Roman" w:eastAsia="宋体"/>
                      <w:color w:val="auto"/>
                    </w:rPr>
                  </w:pPr>
                  <w:r>
                    <w:rPr>
                      <w:rFonts w:hint="default" w:ascii="Times New Roman" w:hAnsi="Times New Roman" w:eastAsia="宋体"/>
                      <w:color w:val="auto"/>
                    </w:rPr>
                    <w:t>7.将土壤环境要求纳入国土空间规划，根据土壤污染状况和风险合理规划土地用途。对列入建设用地土壤污染风险管控和修复名录的地块，不得作为住宅、公共管理与公共服务用地；不得办理土地征收、回购、收购、土地供应以及改变土地用途等手续。</w:t>
                  </w:r>
                </w:p>
                <w:p>
                  <w:pPr>
                    <w:pStyle w:val="28"/>
                    <w:keepNext w:val="0"/>
                    <w:keepLines w:val="0"/>
                    <w:suppressLineNumbers w:val="0"/>
                    <w:bidi w:val="0"/>
                    <w:spacing w:before="0" w:beforeAutospacing="0" w:after="0" w:afterAutospacing="0"/>
                    <w:ind w:left="0" w:right="0"/>
                    <w:jc w:val="both"/>
                    <w:rPr>
                      <w:rFonts w:hint="default" w:ascii="Times New Roman" w:hAnsi="Times New Roman" w:eastAsia="宋体"/>
                      <w:color w:val="auto"/>
                    </w:rPr>
                  </w:pPr>
                  <w:r>
                    <w:rPr>
                      <w:rFonts w:hint="default" w:ascii="Times New Roman" w:hAnsi="Times New Roman" w:eastAsia="宋体"/>
                      <w:color w:val="auto"/>
                    </w:rPr>
                    <w:t>8.在集中供热管网覆盖地区，禁止新建、扩建分散燃煤供热锅炉。</w:t>
                  </w:r>
                </w:p>
              </w:tc>
              <w:tc>
                <w:tcPr>
                  <w:tcW w:w="2402"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rPr>
                  </w:pPr>
                  <w:r>
                    <w:rPr>
                      <w:rFonts w:hint="default" w:ascii="Times New Roman" w:hAnsi="Times New Roman" w:eastAsia="宋体"/>
                      <w:color w:val="auto"/>
                    </w:rPr>
                    <w:t>1、</w:t>
                  </w:r>
                  <w:bookmarkStart w:id="31" w:name="OLE_LINK26"/>
                  <w:r>
                    <w:rPr>
                      <w:rFonts w:hint="default" w:ascii="Times New Roman" w:hAnsi="Times New Roman" w:eastAsia="宋体"/>
                      <w:color w:val="auto"/>
                    </w:rPr>
                    <w:t>本项目</w:t>
                  </w:r>
                  <w:bookmarkStart w:id="32" w:name="OLE_LINK82"/>
                  <w:r>
                    <w:rPr>
                      <w:rFonts w:hint="default" w:ascii="Times New Roman" w:hAnsi="Times New Roman" w:eastAsia="宋体"/>
                      <w:color w:val="auto"/>
                    </w:rPr>
                    <w:t>属于《产业结构调整指导目录（2024年本）》</w:t>
                  </w:r>
                  <w:r>
                    <w:rPr>
                      <w:rFonts w:hint="eastAsia"/>
                      <w:color w:val="auto"/>
                      <w:highlight w:val="none"/>
                      <w:lang w:val="en-US" w:eastAsia="zh-CN"/>
                    </w:rPr>
                    <w:t>鼓励</w:t>
                  </w:r>
                  <w:r>
                    <w:rPr>
                      <w:rFonts w:hint="eastAsia" w:ascii="Times New Roman" w:hAnsi="Times New Roman" w:eastAsia="宋体"/>
                      <w:color w:val="auto"/>
                      <w:highlight w:val="none"/>
                      <w:lang w:val="en-US" w:eastAsia="zh-CN"/>
                    </w:rPr>
                    <w:t>类</w:t>
                  </w:r>
                  <w:r>
                    <w:rPr>
                      <w:rFonts w:hint="default" w:ascii="Times New Roman" w:hAnsi="Times New Roman" w:eastAsia="宋体"/>
                      <w:color w:val="auto"/>
                    </w:rPr>
                    <w:t>项目</w:t>
                  </w:r>
                  <w:bookmarkEnd w:id="32"/>
                  <w:r>
                    <w:rPr>
                      <w:rFonts w:hint="default" w:ascii="Times New Roman" w:hAnsi="Times New Roman" w:eastAsia="宋体"/>
                      <w:color w:val="auto"/>
                    </w:rPr>
                    <w:t>。</w:t>
                  </w:r>
                  <w:bookmarkEnd w:id="31"/>
                  <w:bookmarkStart w:id="33" w:name="OLE_LINK76"/>
                  <w:bookmarkStart w:id="34" w:name="OLE_LINK51"/>
                  <w:r>
                    <w:rPr>
                      <w:rFonts w:hint="default" w:ascii="Times New Roman" w:hAnsi="Times New Roman" w:eastAsia="宋体"/>
                      <w:color w:val="auto"/>
                    </w:rPr>
                    <w:t>根据</w:t>
                  </w:r>
                  <w:r>
                    <w:rPr>
                      <w:rFonts w:hint="eastAsia" w:ascii="Times New Roman" w:hAnsi="Times New Roman" w:eastAsia="宋体"/>
                      <w:color w:val="auto"/>
                    </w:rPr>
                    <w:t>《新乡</w:t>
                  </w:r>
                  <w:r>
                    <w:rPr>
                      <w:rFonts w:hint="eastAsia" w:ascii="Times New Roman" w:hAnsi="Times New Roman" w:eastAsia="宋体"/>
                      <w:color w:val="auto"/>
                      <w:lang w:val="en-US" w:eastAsia="zh-CN"/>
                    </w:rPr>
                    <w:t>市平原镇</w:t>
                  </w:r>
                  <w:bookmarkStart w:id="35" w:name="OLE_LINK70"/>
                  <w:r>
                    <w:rPr>
                      <w:rFonts w:hint="eastAsia" w:ascii="Times New Roman" w:hAnsi="Times New Roman" w:eastAsia="宋体"/>
                      <w:color w:val="auto"/>
                    </w:rPr>
                    <w:t>总体</w:t>
                  </w:r>
                  <w:r>
                    <w:rPr>
                      <w:rFonts w:hint="eastAsia" w:ascii="Times New Roman" w:hAnsi="Times New Roman" w:eastAsia="宋体"/>
                      <w:color w:val="auto"/>
                      <w:lang w:val="en-US" w:eastAsia="zh-CN"/>
                    </w:rPr>
                    <w:t>规划</w:t>
                  </w:r>
                  <w:bookmarkEnd w:id="35"/>
                  <w:r>
                    <w:rPr>
                      <w:rFonts w:hint="eastAsia" w:ascii="Times New Roman" w:hAnsi="Times New Roman" w:eastAsia="宋体"/>
                      <w:color w:val="auto"/>
                    </w:rPr>
                    <w:t>（201</w:t>
                  </w:r>
                  <w:r>
                    <w:rPr>
                      <w:rFonts w:hint="eastAsia" w:ascii="Times New Roman" w:hAnsi="Times New Roman" w:eastAsia="宋体"/>
                      <w:color w:val="auto"/>
                      <w:lang w:val="en-US" w:eastAsia="zh-CN"/>
                    </w:rPr>
                    <w:t>7-2030</w:t>
                  </w:r>
                  <w:r>
                    <w:rPr>
                      <w:rFonts w:hint="eastAsia" w:ascii="Times New Roman" w:hAnsi="Times New Roman" w:eastAsia="宋体"/>
                      <w:color w:val="auto"/>
                    </w:rPr>
                    <w:t>）》可知，本项目</w:t>
                  </w:r>
                  <w:r>
                    <w:rPr>
                      <w:rFonts w:hint="eastAsia" w:ascii="Times New Roman" w:hAnsi="Times New Roman" w:eastAsia="宋体"/>
                      <w:color w:val="auto"/>
                      <w:lang w:val="en-US" w:eastAsia="zh-CN"/>
                    </w:rPr>
                    <w:t>为</w:t>
                  </w:r>
                  <w:bookmarkStart w:id="36" w:name="OLE_LINK216"/>
                  <w:r>
                    <w:rPr>
                      <w:rFonts w:hint="eastAsia" w:ascii="Times New Roman" w:hAnsi="Times New Roman" w:eastAsia="宋体"/>
                      <w:color w:val="auto"/>
                      <w:lang w:val="en-US" w:eastAsia="zh-CN"/>
                    </w:rPr>
                    <w:t>二类工业用地</w:t>
                  </w:r>
                  <w:bookmarkEnd w:id="36"/>
                  <w:r>
                    <w:rPr>
                      <w:rFonts w:hint="eastAsia" w:ascii="Times New Roman" w:hAnsi="Times New Roman" w:eastAsia="宋体"/>
                      <w:color w:val="auto"/>
                      <w:lang w:val="en-US" w:eastAsia="zh-CN"/>
                    </w:rPr>
                    <w:t>，符合总体</w:t>
                  </w:r>
                  <w:r>
                    <w:rPr>
                      <w:rFonts w:hint="eastAsia" w:ascii="Times New Roman" w:hAnsi="Times New Roman" w:eastAsia="宋体"/>
                      <w:color w:val="auto"/>
                    </w:rPr>
                    <w:t>规划。</w:t>
                  </w:r>
                  <w:bookmarkEnd w:id="33"/>
                </w:p>
                <w:bookmarkEnd w:id="34"/>
                <w:p>
                  <w:pPr>
                    <w:pStyle w:val="28"/>
                    <w:keepNext w:val="0"/>
                    <w:keepLines w:val="0"/>
                    <w:suppressLineNumbers w:val="0"/>
                    <w:bidi w:val="0"/>
                    <w:spacing w:before="0" w:beforeAutospacing="0" w:after="0" w:afterAutospacing="0"/>
                    <w:ind w:left="0" w:right="0"/>
                    <w:jc w:val="both"/>
                    <w:rPr>
                      <w:rFonts w:hint="default" w:ascii="Times New Roman" w:hAnsi="Times New Roman" w:eastAsia="宋体"/>
                      <w:color w:val="auto"/>
                    </w:rPr>
                  </w:pPr>
                  <w:r>
                    <w:rPr>
                      <w:rFonts w:hint="default" w:ascii="Times New Roman" w:hAnsi="Times New Roman" w:eastAsia="宋体"/>
                      <w:color w:val="auto"/>
                    </w:rPr>
                    <w:t>3、本项目</w:t>
                  </w:r>
                  <w:bookmarkStart w:id="37" w:name="OLE_LINK78"/>
                  <w:r>
                    <w:rPr>
                      <w:rFonts w:hint="eastAsia" w:ascii="Times New Roman" w:hAnsi="Times New Roman" w:eastAsia="宋体"/>
                      <w:color w:val="auto"/>
                      <w:lang w:val="en-US" w:eastAsia="zh-CN"/>
                    </w:rPr>
                    <w:t>属于废铅蓄电池收集贮存项目</w:t>
                  </w:r>
                  <w:bookmarkEnd w:id="37"/>
                  <w:r>
                    <w:rPr>
                      <w:rFonts w:hint="default" w:ascii="Times New Roman" w:hAnsi="Times New Roman" w:eastAsia="宋体"/>
                      <w:color w:val="auto"/>
                    </w:rPr>
                    <w:t>，不属于石化化工项目。</w:t>
                  </w:r>
                </w:p>
                <w:p>
                  <w:pPr>
                    <w:pStyle w:val="28"/>
                    <w:keepNext w:val="0"/>
                    <w:keepLines w:val="0"/>
                    <w:suppressLineNumbers w:val="0"/>
                    <w:bidi w:val="0"/>
                    <w:spacing w:before="0" w:beforeAutospacing="0" w:after="0" w:afterAutospacing="0"/>
                    <w:ind w:left="0" w:right="0"/>
                    <w:jc w:val="both"/>
                    <w:rPr>
                      <w:rFonts w:hint="default" w:ascii="Times New Roman" w:hAnsi="Times New Roman" w:eastAsia="宋体"/>
                      <w:color w:val="auto"/>
                    </w:rPr>
                  </w:pPr>
                  <w:r>
                    <w:rPr>
                      <w:rFonts w:hint="default" w:ascii="Times New Roman" w:hAnsi="Times New Roman" w:eastAsia="宋体"/>
                      <w:color w:val="auto"/>
                    </w:rPr>
                    <w:t>4、</w:t>
                  </w:r>
                  <w:r>
                    <w:rPr>
                      <w:rFonts w:hint="default" w:ascii="Times New Roman" w:hAnsi="Times New Roman" w:eastAsia="宋体"/>
                      <w:color w:val="auto"/>
                      <w:lang w:val="en-US" w:eastAsia="zh-CN"/>
                    </w:rPr>
                    <w:t>本项目</w:t>
                  </w:r>
                  <w:r>
                    <w:rPr>
                      <w:rFonts w:hint="eastAsia" w:ascii="Times New Roman" w:hAnsi="Times New Roman" w:eastAsia="宋体"/>
                      <w:color w:val="auto"/>
                      <w:lang w:val="en-US" w:eastAsia="zh-CN"/>
                    </w:rPr>
                    <w:t>为</w:t>
                  </w:r>
                  <w:bookmarkStart w:id="38" w:name="OLE_LINK74"/>
                  <w:r>
                    <w:rPr>
                      <w:rFonts w:hint="eastAsia" w:ascii="Times New Roman" w:hAnsi="Times New Roman" w:eastAsia="宋体"/>
                      <w:color w:val="auto"/>
                      <w:lang w:val="en-US" w:eastAsia="zh-CN"/>
                    </w:rPr>
                    <w:t>废铅蓄电池收集贮存项目</w:t>
                  </w:r>
                  <w:bookmarkEnd w:id="38"/>
                  <w:r>
                    <w:rPr>
                      <w:rFonts w:hint="default" w:ascii="Times New Roman" w:hAnsi="Times New Roman" w:eastAsia="宋体"/>
                      <w:color w:val="auto"/>
                    </w:rPr>
                    <w:t>，不属于</w:t>
                  </w:r>
                  <w:r>
                    <w:rPr>
                      <w:rFonts w:hint="eastAsia" w:ascii="Times New Roman" w:hAnsi="Times New Roman" w:eastAsia="宋体"/>
                      <w:color w:val="auto"/>
                      <w:lang w:eastAsia="zh-CN"/>
                    </w:rPr>
                    <w:t>“</w:t>
                  </w:r>
                  <w:r>
                    <w:rPr>
                      <w:rFonts w:hint="default" w:ascii="Times New Roman" w:hAnsi="Times New Roman" w:eastAsia="宋体"/>
                      <w:color w:val="auto"/>
                    </w:rPr>
                    <w:t>两高一低</w:t>
                  </w:r>
                  <w:r>
                    <w:rPr>
                      <w:rFonts w:hint="eastAsia" w:ascii="Times New Roman" w:hAnsi="Times New Roman" w:eastAsia="宋体"/>
                      <w:color w:val="auto"/>
                      <w:lang w:eastAsia="zh-CN"/>
                    </w:rPr>
                    <w:t>”</w:t>
                  </w:r>
                  <w:r>
                    <w:rPr>
                      <w:rFonts w:hint="default" w:ascii="Times New Roman" w:hAnsi="Times New Roman" w:eastAsia="宋体"/>
                      <w:color w:val="auto"/>
                    </w:rPr>
                    <w:t>项目。</w:t>
                  </w:r>
                </w:p>
                <w:p>
                  <w:pPr>
                    <w:pStyle w:val="28"/>
                    <w:keepNext w:val="0"/>
                    <w:keepLines w:val="0"/>
                    <w:suppressLineNumbers w:val="0"/>
                    <w:bidi w:val="0"/>
                    <w:spacing w:before="0" w:beforeAutospacing="0" w:after="0" w:afterAutospacing="0"/>
                    <w:ind w:left="0" w:right="0"/>
                    <w:jc w:val="both"/>
                    <w:rPr>
                      <w:rFonts w:hint="default" w:ascii="Times New Roman" w:hAnsi="Times New Roman" w:eastAsia="宋体"/>
                      <w:color w:val="auto"/>
                    </w:rPr>
                  </w:pPr>
                  <w:r>
                    <w:rPr>
                      <w:rFonts w:hint="default" w:ascii="Times New Roman" w:hAnsi="Times New Roman" w:eastAsia="宋体"/>
                      <w:color w:val="auto"/>
                    </w:rPr>
                    <w:t>5、</w:t>
                  </w:r>
                  <w:r>
                    <w:rPr>
                      <w:rFonts w:hint="eastAsia" w:ascii="Times New Roman" w:hAnsi="Times New Roman" w:eastAsia="宋体"/>
                      <w:color w:val="auto"/>
                      <w:lang w:val="en-US" w:eastAsia="zh-CN"/>
                    </w:rPr>
                    <w:t>本项目</w:t>
                  </w:r>
                  <w:r>
                    <w:rPr>
                      <w:rFonts w:hint="default" w:ascii="Times New Roman" w:hAnsi="Times New Roman" w:eastAsia="宋体"/>
                      <w:color w:val="auto"/>
                    </w:rPr>
                    <w:t>不涉及</w:t>
                  </w:r>
                  <w:r>
                    <w:rPr>
                      <w:rFonts w:hint="eastAsia" w:ascii="Times New Roman" w:hAnsi="Times New Roman" w:eastAsia="宋体"/>
                      <w:color w:val="auto"/>
                      <w:lang w:val="en-US" w:eastAsia="zh-CN"/>
                    </w:rPr>
                    <w:t>产能置换</w:t>
                  </w:r>
                  <w:r>
                    <w:rPr>
                      <w:rFonts w:hint="default" w:ascii="Times New Roman" w:hAnsi="Times New Roman" w:eastAsia="宋体"/>
                      <w:color w:val="auto"/>
                    </w:rPr>
                    <w:t>。</w:t>
                  </w:r>
                </w:p>
                <w:p>
                  <w:pPr>
                    <w:pStyle w:val="28"/>
                    <w:keepNext w:val="0"/>
                    <w:keepLines w:val="0"/>
                    <w:suppressLineNumbers w:val="0"/>
                    <w:bidi w:val="0"/>
                    <w:spacing w:before="0" w:beforeAutospacing="0" w:after="0" w:afterAutospacing="0"/>
                    <w:ind w:left="0" w:right="0"/>
                    <w:jc w:val="both"/>
                    <w:rPr>
                      <w:rFonts w:hint="default" w:ascii="Times New Roman" w:hAnsi="Times New Roman" w:eastAsia="宋体"/>
                      <w:color w:val="auto"/>
                    </w:rPr>
                  </w:pPr>
                  <w:r>
                    <w:rPr>
                      <w:rFonts w:hint="default" w:ascii="Times New Roman" w:hAnsi="Times New Roman" w:eastAsia="宋体"/>
                      <w:color w:val="auto"/>
                    </w:rPr>
                    <w:t>6、本项目</w:t>
                  </w:r>
                  <w:r>
                    <w:rPr>
                      <w:rFonts w:hint="eastAsia" w:ascii="Times New Roman" w:hAnsi="Times New Roman" w:eastAsia="宋体"/>
                      <w:color w:val="auto"/>
                      <w:lang w:val="en-US" w:eastAsia="zh-CN"/>
                    </w:rPr>
                    <w:t>为废铅蓄电池收集贮存项目</w:t>
                  </w:r>
                  <w:r>
                    <w:rPr>
                      <w:rFonts w:hint="default" w:ascii="Times New Roman" w:hAnsi="Times New Roman" w:eastAsia="宋体"/>
                      <w:color w:val="auto"/>
                    </w:rPr>
                    <w:t>，不属于火电、钢铁、水泥等重污染行业。</w:t>
                  </w:r>
                </w:p>
                <w:p>
                  <w:pPr>
                    <w:pStyle w:val="28"/>
                    <w:keepNext w:val="0"/>
                    <w:keepLines w:val="0"/>
                    <w:suppressLineNumbers w:val="0"/>
                    <w:bidi w:val="0"/>
                    <w:spacing w:before="0" w:beforeAutospacing="0" w:after="0" w:afterAutospacing="0"/>
                    <w:ind w:left="0" w:right="0"/>
                    <w:jc w:val="both"/>
                    <w:rPr>
                      <w:rFonts w:hint="default" w:ascii="Times New Roman" w:hAnsi="Times New Roman" w:eastAsia="宋体"/>
                      <w:color w:val="auto"/>
                    </w:rPr>
                  </w:pPr>
                  <w:r>
                    <w:rPr>
                      <w:rFonts w:hint="default" w:ascii="Times New Roman" w:hAnsi="Times New Roman" w:eastAsia="宋体"/>
                      <w:color w:val="auto"/>
                    </w:rPr>
                    <w:t>7、本项目所在地块未列入建设用地土壤污染风险管控和修复名录。</w:t>
                  </w:r>
                </w:p>
                <w:p>
                  <w:pPr>
                    <w:pStyle w:val="28"/>
                    <w:keepNext w:val="0"/>
                    <w:keepLines w:val="0"/>
                    <w:suppressLineNumbers w:val="0"/>
                    <w:bidi w:val="0"/>
                    <w:spacing w:before="0" w:beforeAutospacing="0" w:after="0" w:afterAutospacing="0"/>
                    <w:ind w:left="0" w:right="0"/>
                    <w:jc w:val="both"/>
                    <w:rPr>
                      <w:rFonts w:hint="default" w:ascii="Times New Roman" w:hAnsi="Times New Roman" w:eastAsia="宋体"/>
                      <w:color w:val="auto"/>
                    </w:rPr>
                  </w:pPr>
                  <w:r>
                    <w:rPr>
                      <w:rFonts w:hint="default" w:ascii="Times New Roman" w:hAnsi="Times New Roman" w:eastAsia="宋体"/>
                      <w:color w:val="auto"/>
                    </w:rPr>
                    <w:t>8、本项目</w:t>
                  </w:r>
                  <w:r>
                    <w:rPr>
                      <w:rFonts w:hint="eastAsia" w:ascii="Times New Roman" w:hAnsi="Times New Roman" w:eastAsia="宋体"/>
                      <w:color w:val="auto"/>
                      <w:lang w:val="en-US" w:eastAsia="zh-CN"/>
                    </w:rPr>
                    <w:t>不涉及</w:t>
                  </w:r>
                  <w:r>
                    <w:rPr>
                      <w:rFonts w:hint="default" w:ascii="Times New Roman" w:hAnsi="Times New Roman" w:eastAsia="宋体"/>
                      <w:color w:val="auto"/>
                    </w:rPr>
                    <w:t>新建、扩建分散燃煤供热锅炉。</w:t>
                  </w:r>
                </w:p>
              </w:tc>
              <w:tc>
                <w:tcPr>
                  <w:tcW w:w="821"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default"/>
                      <w:color w:val="auto"/>
                    </w:rPr>
                  </w:pPr>
                  <w:r>
                    <w:rPr>
                      <w:rFonts w:hint="default"/>
                      <w:color w:val="auto"/>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718" w:type="dxa"/>
                  <w:vMerge w:val="continue"/>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default"/>
                      <w:color w:val="auto"/>
                    </w:rPr>
                  </w:pPr>
                </w:p>
              </w:tc>
              <w:tc>
                <w:tcPr>
                  <w:tcW w:w="564"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default"/>
                      <w:color w:val="auto"/>
                    </w:rPr>
                  </w:pPr>
                  <w:r>
                    <w:rPr>
                      <w:rFonts w:hint="default"/>
                      <w:color w:val="auto"/>
                    </w:rPr>
                    <w:t>污染物排放管控</w:t>
                  </w:r>
                </w:p>
              </w:tc>
              <w:tc>
                <w:tcPr>
                  <w:tcW w:w="2565"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jc w:val="both"/>
                    <w:rPr>
                      <w:rFonts w:hint="default"/>
                      <w:color w:val="auto"/>
                    </w:rPr>
                  </w:pPr>
                  <w:r>
                    <w:rPr>
                      <w:rFonts w:hint="default"/>
                      <w:color w:val="auto"/>
                    </w:rPr>
                    <w:t>1.重点行业建设项目应满足区域、流域控制单元环境质量改善目标管理要求。</w:t>
                  </w:r>
                </w:p>
                <w:p>
                  <w:pPr>
                    <w:pStyle w:val="28"/>
                    <w:keepNext w:val="0"/>
                    <w:keepLines w:val="0"/>
                    <w:suppressLineNumbers w:val="0"/>
                    <w:bidi w:val="0"/>
                    <w:spacing w:before="0" w:beforeAutospacing="0" w:after="0" w:afterAutospacing="0"/>
                    <w:ind w:left="0" w:right="0"/>
                    <w:jc w:val="both"/>
                    <w:rPr>
                      <w:rFonts w:hint="default"/>
                      <w:color w:val="auto"/>
                    </w:rPr>
                  </w:pPr>
                  <w:r>
                    <w:rPr>
                      <w:rFonts w:hint="default"/>
                      <w:color w:val="auto"/>
                    </w:rPr>
                    <w:t>2.强化项目环评及“三同时”管理。新建、扩建“两高”项目应采用先进的工艺技术和装备，单位产品污染物排放强度应达到清洁生产先进水平，其中，国家、省绩效分级重点行业新建、扩建项目达到A级水平，改建项目达到B级以上水平。</w:t>
                  </w:r>
                </w:p>
                <w:p>
                  <w:pPr>
                    <w:pStyle w:val="28"/>
                    <w:keepNext w:val="0"/>
                    <w:keepLines w:val="0"/>
                    <w:suppressLineNumbers w:val="0"/>
                    <w:bidi w:val="0"/>
                    <w:spacing w:before="0" w:beforeAutospacing="0" w:after="0" w:afterAutospacing="0"/>
                    <w:ind w:left="0" w:right="0"/>
                    <w:jc w:val="both"/>
                    <w:rPr>
                      <w:rFonts w:hint="default"/>
                      <w:color w:val="auto"/>
                    </w:rPr>
                  </w:pPr>
                  <w:r>
                    <w:rPr>
                      <w:rFonts w:hint="default"/>
                      <w:color w:val="auto"/>
                    </w:rPr>
                    <w:t>3.以钢铁、焦化、铸造、建材、有色、石化、化工、工业涂装、包装印刷、电镀、制革、石油开采、造纸、纺织印染、农副食品加工等行业为重点，开展全流程清洁化、循环化、低碳化改造；加快推进钢铁、水泥、焦化行业超低排放改造。</w:t>
                  </w:r>
                </w:p>
                <w:p>
                  <w:pPr>
                    <w:pStyle w:val="28"/>
                    <w:keepNext w:val="0"/>
                    <w:keepLines w:val="0"/>
                    <w:suppressLineNumbers w:val="0"/>
                    <w:bidi w:val="0"/>
                    <w:spacing w:before="0" w:beforeAutospacing="0" w:after="0" w:afterAutospacing="0"/>
                    <w:ind w:left="0" w:right="0"/>
                    <w:jc w:val="both"/>
                    <w:rPr>
                      <w:rFonts w:hint="default"/>
                      <w:color w:val="auto"/>
                    </w:rPr>
                  </w:pPr>
                  <w:r>
                    <w:rPr>
                      <w:rFonts w:hint="default"/>
                      <w:color w:val="auto"/>
                    </w:rPr>
                    <w:t>4.深入推进低</w:t>
                  </w:r>
                  <w:bookmarkStart w:id="39" w:name="OLE_LINK75"/>
                  <w:r>
                    <w:rPr>
                      <w:rFonts w:hint="default"/>
                      <w:color w:val="auto"/>
                    </w:rPr>
                    <w:t>挥发性有机物</w:t>
                  </w:r>
                  <w:bookmarkEnd w:id="39"/>
                  <w:r>
                    <w:rPr>
                      <w:rFonts w:hint="default"/>
                      <w:color w:val="auto"/>
                    </w:rPr>
                    <w:t>含量原辅材料源头替代，全面推广使用低挥发性有机物含量的涂料、油墨、胶粘剂、清洗剂等新兴原辅材料。</w:t>
                  </w:r>
                </w:p>
                <w:p>
                  <w:pPr>
                    <w:pStyle w:val="28"/>
                    <w:keepNext w:val="0"/>
                    <w:keepLines w:val="0"/>
                    <w:suppressLineNumbers w:val="0"/>
                    <w:bidi w:val="0"/>
                    <w:spacing w:before="0" w:beforeAutospacing="0" w:after="0" w:afterAutospacing="0"/>
                    <w:ind w:left="0" w:right="0"/>
                    <w:jc w:val="both"/>
                    <w:rPr>
                      <w:rFonts w:hint="default"/>
                      <w:color w:val="auto"/>
                    </w:rPr>
                  </w:pPr>
                  <w:r>
                    <w:rPr>
                      <w:rFonts w:hint="default"/>
                      <w:color w:val="auto"/>
                    </w:rPr>
                    <w:t>5.采矿项目矿井涌水应尽可能回用生产或综合利用，外排矿井涌水应满足受纳水体水功能区划和控制断面水质要求；选厂的生产废水及初期雨水、矿石及废石场的淋溶水、尾矿库澄清水及渗滤水应收集回用，不外排。</w:t>
                  </w:r>
                </w:p>
                <w:p>
                  <w:pPr>
                    <w:pStyle w:val="28"/>
                    <w:keepNext w:val="0"/>
                    <w:keepLines w:val="0"/>
                    <w:suppressLineNumbers w:val="0"/>
                    <w:bidi w:val="0"/>
                    <w:spacing w:before="0" w:beforeAutospacing="0" w:after="0" w:afterAutospacing="0"/>
                    <w:ind w:left="0" w:right="0"/>
                    <w:jc w:val="both"/>
                    <w:rPr>
                      <w:rFonts w:hint="default"/>
                      <w:color w:val="auto"/>
                    </w:rPr>
                  </w:pPr>
                  <w:r>
                    <w:rPr>
                      <w:rFonts w:hint="default"/>
                      <w:color w:val="auto"/>
                    </w:rPr>
                    <w:t>6.</w:t>
                  </w:r>
                  <w:r>
                    <w:rPr>
                      <w:rFonts w:hint="eastAsia"/>
                      <w:color w:val="auto"/>
                    </w:rPr>
                    <w:t>新建、扩建开发区、工业园区同步规划建设污水收集和集中处理设施，强化工业废水处理设施运行管理，确保稳定达标排放；按照“减量化、稳定化、无害化、资源化”要求，加快城镇污水处理厂污泥处理设施建设，新建污水处理厂必须有明确的污泥处置途径；依法查处取缔非法污泥堆放点，禁止重金属等污染物不达标的污泥进</w:t>
                  </w:r>
                  <w:r>
                    <w:rPr>
                      <w:rFonts w:hint="default"/>
                      <w:color w:val="auto"/>
                    </w:rPr>
                    <w:t>行土地利用。</w:t>
                  </w:r>
                </w:p>
                <w:p>
                  <w:pPr>
                    <w:pStyle w:val="28"/>
                    <w:keepNext w:val="0"/>
                    <w:keepLines w:val="0"/>
                    <w:suppressLineNumbers w:val="0"/>
                    <w:bidi w:val="0"/>
                    <w:spacing w:before="0" w:beforeAutospacing="0" w:after="0" w:afterAutospacing="0"/>
                    <w:ind w:left="0" w:right="0"/>
                    <w:jc w:val="both"/>
                    <w:rPr>
                      <w:rFonts w:hint="default"/>
                      <w:color w:val="auto"/>
                    </w:rPr>
                  </w:pPr>
                  <w:r>
                    <w:rPr>
                      <w:rFonts w:hint="default"/>
                      <w:color w:val="auto"/>
                    </w:rPr>
                    <w:t>7.鼓励企业采用先进治理技术，打造行业噪声污染治理示范典型。排放噪声的工业企业应切实采取减振降噪措施，加强厂区内固定设备、运输工具、货物装卸等噪声源管理，同时避免突发噪声扰民。</w:t>
                  </w:r>
                </w:p>
              </w:tc>
              <w:tc>
                <w:tcPr>
                  <w:tcW w:w="2402"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jc w:val="both"/>
                    <w:rPr>
                      <w:rFonts w:hint="default"/>
                      <w:color w:val="auto"/>
                    </w:rPr>
                  </w:pPr>
                  <w:r>
                    <w:rPr>
                      <w:rFonts w:hint="eastAsia"/>
                      <w:color w:val="auto"/>
                      <w:lang w:val="en-US" w:eastAsia="zh-CN"/>
                    </w:rPr>
                    <w:t>1、</w:t>
                  </w:r>
                  <w:r>
                    <w:rPr>
                      <w:rFonts w:hint="default"/>
                      <w:color w:val="auto"/>
                    </w:rPr>
                    <w:t>本项目建成后，满足区域、流域控制单元环境质量改善目标管理要求。</w:t>
                  </w:r>
                </w:p>
                <w:p>
                  <w:pPr>
                    <w:pStyle w:val="28"/>
                    <w:keepNext w:val="0"/>
                    <w:keepLines w:val="0"/>
                    <w:suppressLineNumbers w:val="0"/>
                    <w:bidi w:val="0"/>
                    <w:spacing w:before="0" w:beforeAutospacing="0" w:after="0" w:afterAutospacing="0"/>
                    <w:ind w:left="0" w:right="0"/>
                    <w:jc w:val="both"/>
                    <w:rPr>
                      <w:rFonts w:hint="default"/>
                      <w:color w:val="auto"/>
                    </w:rPr>
                  </w:pPr>
                  <w:r>
                    <w:rPr>
                      <w:rFonts w:hint="default"/>
                      <w:color w:val="auto"/>
                    </w:rPr>
                    <w:t>2、本项目应严格按照环评及</w:t>
                  </w:r>
                  <w:r>
                    <w:rPr>
                      <w:rFonts w:hint="eastAsia"/>
                      <w:color w:val="auto"/>
                      <w:lang w:eastAsia="zh-CN"/>
                    </w:rPr>
                    <w:t>“</w:t>
                  </w:r>
                  <w:r>
                    <w:rPr>
                      <w:rFonts w:hint="default"/>
                      <w:color w:val="auto"/>
                    </w:rPr>
                    <w:t>三同时</w:t>
                  </w:r>
                  <w:r>
                    <w:rPr>
                      <w:rFonts w:hint="eastAsia"/>
                      <w:color w:val="auto"/>
                      <w:lang w:eastAsia="zh-CN"/>
                    </w:rPr>
                    <w:t>”</w:t>
                  </w:r>
                  <w:r>
                    <w:rPr>
                      <w:rFonts w:hint="default"/>
                      <w:color w:val="auto"/>
                    </w:rPr>
                    <w:t>管理要求建设。本项目</w:t>
                  </w:r>
                  <w:r>
                    <w:rPr>
                      <w:rFonts w:hint="eastAsia"/>
                      <w:color w:val="auto"/>
                      <w:lang w:val="en-US" w:eastAsia="zh-CN"/>
                    </w:rPr>
                    <w:t>不属于</w:t>
                  </w:r>
                  <w:r>
                    <w:rPr>
                      <w:rFonts w:hint="eastAsia"/>
                      <w:color w:val="auto"/>
                    </w:rPr>
                    <w:t>“两高”项</w:t>
                  </w:r>
                  <w:r>
                    <w:rPr>
                      <w:rFonts w:hint="default"/>
                      <w:color w:val="auto"/>
                    </w:rPr>
                    <w:t>目</w:t>
                  </w:r>
                  <w:r>
                    <w:rPr>
                      <w:rFonts w:hint="eastAsia"/>
                      <w:color w:val="auto"/>
                      <w:lang w:val="en-US" w:eastAsia="zh-CN"/>
                    </w:rPr>
                    <w:t>，为新建</w:t>
                  </w:r>
                  <w:r>
                    <w:rPr>
                      <w:rFonts w:hint="default"/>
                      <w:color w:val="auto"/>
                    </w:rPr>
                    <w:t>项目</w:t>
                  </w:r>
                  <w:bookmarkStart w:id="40" w:name="OLE_LINK53"/>
                  <w:r>
                    <w:rPr>
                      <w:rFonts w:hint="eastAsia"/>
                      <w:color w:val="auto"/>
                      <w:lang w:eastAsia="zh-CN"/>
                    </w:rPr>
                    <w:t>，</w:t>
                  </w:r>
                  <w:r>
                    <w:rPr>
                      <w:rFonts w:hint="eastAsia"/>
                      <w:color w:val="auto"/>
                    </w:rPr>
                    <w:t>本项目</w:t>
                  </w:r>
                  <w:r>
                    <w:rPr>
                      <w:rFonts w:hint="eastAsia"/>
                      <w:color w:val="auto"/>
                      <w:highlight w:val="none"/>
                      <w:lang w:val="en-US" w:eastAsia="zh-CN"/>
                    </w:rPr>
                    <w:t>不属于</w:t>
                  </w:r>
                  <w:r>
                    <w:rPr>
                      <w:rFonts w:hint="default" w:ascii="Times New Roman" w:hAnsi="Times New Roman" w:cs="Times New Roman" w:eastAsiaTheme="minorEastAsia"/>
                      <w:color w:val="auto"/>
                      <w:sz w:val="21"/>
                      <w:szCs w:val="21"/>
                      <w:highlight w:val="none"/>
                    </w:rPr>
                    <w:t>国家、省绩效分级重点行业</w:t>
                  </w:r>
                  <w:r>
                    <w:rPr>
                      <w:rFonts w:hint="eastAsia" w:ascii="Times New Roman" w:hAnsi="Times New Roman" w:cs="Times New Roman" w:eastAsiaTheme="minorEastAsia"/>
                      <w:color w:val="auto"/>
                      <w:sz w:val="21"/>
                      <w:szCs w:val="21"/>
                      <w:highlight w:val="none"/>
                      <w:lang w:eastAsia="zh-CN"/>
                    </w:rPr>
                    <w:t>。</w:t>
                  </w:r>
                  <w:bookmarkEnd w:id="40"/>
                </w:p>
                <w:p>
                  <w:pPr>
                    <w:pStyle w:val="28"/>
                    <w:keepNext w:val="0"/>
                    <w:keepLines w:val="0"/>
                    <w:suppressLineNumbers w:val="0"/>
                    <w:bidi w:val="0"/>
                    <w:spacing w:before="0" w:beforeAutospacing="0" w:after="0" w:afterAutospacing="0"/>
                    <w:ind w:left="0" w:right="0"/>
                    <w:jc w:val="both"/>
                    <w:rPr>
                      <w:rFonts w:hint="default"/>
                      <w:color w:val="auto"/>
                    </w:rPr>
                  </w:pPr>
                  <w:r>
                    <w:rPr>
                      <w:rFonts w:hint="default"/>
                      <w:color w:val="auto"/>
                    </w:rPr>
                    <w:t>3、本项目</w:t>
                  </w:r>
                  <w:r>
                    <w:rPr>
                      <w:rFonts w:hint="eastAsia"/>
                      <w:color w:val="auto"/>
                      <w:lang w:val="en-US" w:eastAsia="zh-CN"/>
                    </w:rPr>
                    <w:t>不涉及</w:t>
                  </w:r>
                  <w:r>
                    <w:rPr>
                      <w:rFonts w:hint="default"/>
                      <w:color w:val="auto"/>
                    </w:rPr>
                    <w:t>。</w:t>
                  </w:r>
                </w:p>
                <w:p>
                  <w:pPr>
                    <w:pStyle w:val="28"/>
                    <w:keepNext w:val="0"/>
                    <w:keepLines w:val="0"/>
                    <w:suppressLineNumbers w:val="0"/>
                    <w:bidi w:val="0"/>
                    <w:spacing w:before="0" w:beforeAutospacing="0" w:after="0" w:afterAutospacing="0"/>
                    <w:ind w:left="0" w:right="0"/>
                    <w:jc w:val="both"/>
                    <w:rPr>
                      <w:rFonts w:hint="default" w:ascii="Times New Roman" w:hAnsi="Times New Roman" w:eastAsia="宋体"/>
                      <w:color w:val="auto"/>
                      <w:lang w:val="en-US" w:eastAsia="zh-CN"/>
                    </w:rPr>
                  </w:pPr>
                  <w:r>
                    <w:rPr>
                      <w:rFonts w:hint="default"/>
                      <w:color w:val="auto"/>
                    </w:rPr>
                    <w:t>4、本项</w:t>
                  </w:r>
                  <w:r>
                    <w:rPr>
                      <w:rFonts w:hint="default" w:ascii="Times New Roman" w:hAnsi="Times New Roman" w:eastAsia="宋体"/>
                      <w:color w:val="auto"/>
                    </w:rPr>
                    <w:t>目</w:t>
                  </w:r>
                  <w:r>
                    <w:rPr>
                      <w:rFonts w:hint="eastAsia" w:ascii="Times New Roman" w:hAnsi="Times New Roman" w:eastAsia="宋体"/>
                      <w:color w:val="auto"/>
                      <w:lang w:val="en-US" w:eastAsia="zh-CN"/>
                    </w:rPr>
                    <w:t>为</w:t>
                  </w:r>
                  <w:bookmarkStart w:id="41" w:name="OLE_LINK57"/>
                  <w:r>
                    <w:rPr>
                      <w:rFonts w:hint="eastAsia" w:ascii="Times New Roman" w:hAnsi="Times New Roman" w:eastAsia="宋体"/>
                      <w:color w:val="auto"/>
                      <w:lang w:val="en-US" w:eastAsia="zh-CN"/>
                    </w:rPr>
                    <w:t>废铅蓄电池回收项目</w:t>
                  </w:r>
                  <w:bookmarkEnd w:id="41"/>
                  <w:r>
                    <w:rPr>
                      <w:rFonts w:hint="eastAsia" w:ascii="Times New Roman" w:hAnsi="Times New Roman" w:eastAsia="宋体"/>
                      <w:color w:val="auto"/>
                      <w:lang w:val="en-US" w:eastAsia="zh-CN"/>
                    </w:rPr>
                    <w:t>，不涉及</w:t>
                  </w:r>
                  <w:r>
                    <w:rPr>
                      <w:rFonts w:hint="default" w:ascii="Times New Roman" w:hAnsi="Times New Roman" w:eastAsia="宋体"/>
                      <w:color w:val="auto"/>
                    </w:rPr>
                    <w:t>挥发性有机物</w:t>
                  </w:r>
                  <w:r>
                    <w:rPr>
                      <w:rFonts w:hint="eastAsia" w:ascii="Times New Roman" w:hAnsi="Times New Roman" w:eastAsia="宋体"/>
                      <w:color w:val="auto"/>
                      <w:lang w:val="en-US" w:eastAsia="zh-CN"/>
                    </w:rPr>
                    <w:t>废气</w:t>
                  </w:r>
                  <w:r>
                    <w:rPr>
                      <w:rFonts w:hint="default" w:ascii="Times New Roman" w:hAnsi="Times New Roman" w:eastAsia="宋体"/>
                      <w:color w:val="auto"/>
                      <w:lang w:val="en-US" w:eastAsia="zh-CN"/>
                    </w:rPr>
                    <w:t>。</w:t>
                  </w:r>
                </w:p>
                <w:p>
                  <w:pPr>
                    <w:pStyle w:val="28"/>
                    <w:keepNext w:val="0"/>
                    <w:keepLines w:val="0"/>
                    <w:suppressLineNumbers w:val="0"/>
                    <w:bidi w:val="0"/>
                    <w:spacing w:before="0" w:beforeAutospacing="0" w:after="0" w:afterAutospacing="0"/>
                    <w:ind w:left="0" w:right="0"/>
                    <w:jc w:val="both"/>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5、本项目不属于采矿项目。</w:t>
                  </w:r>
                </w:p>
                <w:p>
                  <w:pPr>
                    <w:pStyle w:val="28"/>
                    <w:keepNext w:val="0"/>
                    <w:keepLines w:val="0"/>
                    <w:suppressLineNumbers w:val="0"/>
                    <w:bidi w:val="0"/>
                    <w:spacing w:before="0" w:beforeAutospacing="0" w:after="0" w:afterAutospacing="0"/>
                    <w:ind w:left="0" w:right="0"/>
                    <w:jc w:val="both"/>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6、本项目无生产废水，生活污水经化粪池处理后，</w:t>
                  </w:r>
                  <w:r>
                    <w:rPr>
                      <w:rFonts w:hint="eastAsia" w:ascii="Times New Roman" w:hAnsi="Times New Roman" w:eastAsia="宋体"/>
                      <w:color w:val="auto"/>
                      <w:lang w:val="en-US" w:eastAsia="zh-CN"/>
                    </w:rPr>
                    <w:t>定期清运。</w:t>
                  </w:r>
                </w:p>
                <w:p>
                  <w:pPr>
                    <w:pStyle w:val="28"/>
                    <w:keepNext w:val="0"/>
                    <w:keepLines w:val="0"/>
                    <w:suppressLineNumbers w:val="0"/>
                    <w:bidi w:val="0"/>
                    <w:spacing w:before="0" w:beforeAutospacing="0" w:after="0" w:afterAutospacing="0"/>
                    <w:ind w:left="0" w:right="0"/>
                    <w:jc w:val="both"/>
                    <w:rPr>
                      <w:rFonts w:hint="default"/>
                      <w:color w:val="auto"/>
                    </w:rPr>
                  </w:pPr>
                  <w:r>
                    <w:rPr>
                      <w:rFonts w:hint="default"/>
                      <w:color w:val="auto"/>
                    </w:rPr>
                    <w:t>7、本项目噪声采取厂房密闭隔音、距离衰减等降噪措施，能够达标排放。</w:t>
                  </w:r>
                </w:p>
              </w:tc>
              <w:tc>
                <w:tcPr>
                  <w:tcW w:w="821"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default"/>
                      <w:color w:val="auto"/>
                    </w:rPr>
                  </w:pPr>
                  <w:r>
                    <w:rPr>
                      <w:rFonts w:hint="default"/>
                      <w:color w:val="auto"/>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718" w:type="dxa"/>
                  <w:vMerge w:val="continue"/>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default"/>
                      <w:color w:val="auto"/>
                    </w:rPr>
                  </w:pPr>
                </w:p>
              </w:tc>
              <w:tc>
                <w:tcPr>
                  <w:tcW w:w="564"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default"/>
                      <w:color w:val="auto"/>
                    </w:rPr>
                  </w:pPr>
                  <w:r>
                    <w:rPr>
                      <w:rFonts w:hint="default"/>
                      <w:color w:val="auto"/>
                    </w:rPr>
                    <w:t>环境风险防控</w:t>
                  </w:r>
                </w:p>
              </w:tc>
              <w:tc>
                <w:tcPr>
                  <w:tcW w:w="2565"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firstLine="0"/>
                    <w:jc w:val="both"/>
                    <w:rPr>
                      <w:rFonts w:hint="default" w:ascii="Times New Roman" w:hAnsi="Times New Roman" w:eastAsia="宋体"/>
                      <w:color w:val="auto"/>
                    </w:rPr>
                  </w:pPr>
                  <w:r>
                    <w:rPr>
                      <w:rFonts w:hint="default" w:ascii="Times New Roman" w:hAnsi="Times New Roman" w:eastAsia="宋体"/>
                      <w:color w:val="auto"/>
                    </w:rPr>
                    <w:t>1.依法推行农用地分类管理制度，强化受污染耕地安全利用和风险管控；用途变更为住宅、公共管理与公共服务用地及有土壤污染风险的建设用地地块，应当依法开展土壤污染状况调查；污染地块经治理与修复，并符合相应规划用地土壤环境质量要求后，方可进入用地程序；合理规划污染地块土地用途，鼓励农药、化工等行业中重度污染地块优先规划用于拓展生态空间。</w:t>
                  </w:r>
                </w:p>
                <w:p>
                  <w:pPr>
                    <w:pStyle w:val="28"/>
                    <w:keepNext w:val="0"/>
                    <w:keepLines w:val="0"/>
                    <w:suppressLineNumbers w:val="0"/>
                    <w:bidi w:val="0"/>
                    <w:spacing w:before="0" w:beforeAutospacing="0" w:after="0" w:afterAutospacing="0"/>
                    <w:ind w:left="0" w:right="0" w:firstLine="0"/>
                    <w:jc w:val="both"/>
                    <w:rPr>
                      <w:rFonts w:hint="default" w:ascii="Times New Roman" w:hAnsi="Times New Roman" w:eastAsia="宋体"/>
                      <w:color w:val="auto"/>
                    </w:rPr>
                  </w:pPr>
                  <w:r>
                    <w:rPr>
                      <w:rFonts w:hint="default" w:ascii="Times New Roman" w:hAnsi="Times New Roman" w:eastAsia="宋体"/>
                      <w:color w:val="auto"/>
                    </w:rPr>
                    <w:t>2. 以涉重涉危及有毒有害等行业企业为重点，加强水环境风险日常监管；推进涉水企业的环境风险排查整治、风险预防设施设备建设；制定水环境污染事故处置应急预案，加强上下游联防联控，防范跨界水环境风险，提升环境应急处置能力。</w:t>
                  </w:r>
                </w:p>
              </w:tc>
              <w:tc>
                <w:tcPr>
                  <w:tcW w:w="2402"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firstLine="0"/>
                    <w:jc w:val="both"/>
                    <w:rPr>
                      <w:rFonts w:hint="eastAsia" w:ascii="Times New Roman" w:hAnsi="Times New Roman" w:eastAsia="宋体"/>
                      <w:color w:val="auto"/>
                    </w:rPr>
                  </w:pPr>
                  <w:r>
                    <w:rPr>
                      <w:rFonts w:hint="default" w:ascii="Times New Roman" w:hAnsi="Times New Roman" w:eastAsia="宋体"/>
                      <w:color w:val="auto"/>
                    </w:rPr>
                    <w:t>1、本项目位于</w:t>
                  </w:r>
                  <w:r>
                    <w:rPr>
                      <w:rFonts w:hint="eastAsia"/>
                      <w:color w:val="auto"/>
                      <w:lang w:eastAsia="zh-CN"/>
                    </w:rPr>
                    <w:t>河南省新乡市卫滨区人民路西环路交叉口向西300米路南</w:t>
                  </w:r>
                  <w:r>
                    <w:rPr>
                      <w:rFonts w:hint="default" w:ascii="Times New Roman" w:hAnsi="Times New Roman" w:eastAsia="宋体"/>
                      <w:color w:val="auto"/>
                    </w:rPr>
                    <w:t>，不新增用地，</w:t>
                  </w:r>
                  <w:bookmarkStart w:id="42" w:name="OLE_LINK254"/>
                  <w:r>
                    <w:rPr>
                      <w:rFonts w:hint="default" w:ascii="Times New Roman" w:hAnsi="Times New Roman" w:eastAsia="宋体"/>
                      <w:color w:val="auto"/>
                    </w:rPr>
                    <w:t>根据</w:t>
                  </w:r>
                  <w:r>
                    <w:rPr>
                      <w:rFonts w:hint="eastAsia" w:ascii="Times New Roman" w:hAnsi="Times New Roman" w:eastAsia="宋体"/>
                      <w:color w:val="auto"/>
                    </w:rPr>
                    <w:t>《新乡</w:t>
                  </w:r>
                  <w:r>
                    <w:rPr>
                      <w:rFonts w:hint="eastAsia" w:ascii="Times New Roman" w:hAnsi="Times New Roman" w:eastAsia="宋体"/>
                      <w:color w:val="auto"/>
                      <w:lang w:val="en-US" w:eastAsia="zh-CN"/>
                    </w:rPr>
                    <w:t>市平原镇</w:t>
                  </w:r>
                  <w:r>
                    <w:rPr>
                      <w:rFonts w:hint="eastAsia" w:ascii="Times New Roman" w:hAnsi="Times New Roman" w:eastAsia="宋体"/>
                      <w:color w:val="auto"/>
                    </w:rPr>
                    <w:t>总体</w:t>
                  </w:r>
                  <w:r>
                    <w:rPr>
                      <w:rFonts w:hint="eastAsia" w:ascii="Times New Roman" w:hAnsi="Times New Roman" w:eastAsia="宋体"/>
                      <w:color w:val="auto"/>
                      <w:lang w:val="en-US" w:eastAsia="zh-CN"/>
                    </w:rPr>
                    <w:t>规划</w:t>
                  </w:r>
                  <w:r>
                    <w:rPr>
                      <w:rFonts w:hint="eastAsia" w:ascii="Times New Roman" w:hAnsi="Times New Roman" w:eastAsia="宋体"/>
                      <w:color w:val="auto"/>
                    </w:rPr>
                    <w:t>（201</w:t>
                  </w:r>
                  <w:r>
                    <w:rPr>
                      <w:rFonts w:hint="eastAsia" w:ascii="Times New Roman" w:hAnsi="Times New Roman" w:eastAsia="宋体"/>
                      <w:color w:val="auto"/>
                      <w:lang w:val="en-US" w:eastAsia="zh-CN"/>
                    </w:rPr>
                    <w:t>7-2030</w:t>
                  </w:r>
                  <w:r>
                    <w:rPr>
                      <w:rFonts w:hint="eastAsia" w:ascii="Times New Roman" w:hAnsi="Times New Roman" w:eastAsia="宋体"/>
                      <w:color w:val="auto"/>
                    </w:rPr>
                    <w:t>）》可知，本项目</w:t>
                  </w:r>
                  <w:r>
                    <w:rPr>
                      <w:rFonts w:hint="eastAsia" w:ascii="Times New Roman" w:hAnsi="Times New Roman" w:eastAsia="宋体"/>
                      <w:color w:val="auto"/>
                      <w:lang w:val="en-US" w:eastAsia="zh-CN"/>
                    </w:rPr>
                    <w:t>为二类工业用地，符合总体</w:t>
                  </w:r>
                  <w:r>
                    <w:rPr>
                      <w:rFonts w:hint="eastAsia" w:ascii="Times New Roman" w:hAnsi="Times New Roman" w:eastAsia="宋体"/>
                      <w:color w:val="auto"/>
                    </w:rPr>
                    <w:t>规划。</w:t>
                  </w:r>
                  <w:bookmarkEnd w:id="42"/>
                </w:p>
                <w:p>
                  <w:pPr>
                    <w:pStyle w:val="28"/>
                    <w:keepNext w:val="0"/>
                    <w:keepLines w:val="0"/>
                    <w:suppressLineNumbers w:val="0"/>
                    <w:bidi w:val="0"/>
                    <w:spacing w:before="0" w:beforeAutospacing="0" w:after="0" w:afterAutospacing="0"/>
                    <w:ind w:left="0" w:right="0" w:firstLine="0"/>
                    <w:jc w:val="both"/>
                    <w:rPr>
                      <w:rFonts w:hint="default" w:ascii="Times New Roman" w:hAnsi="Times New Roman" w:eastAsia="宋体"/>
                      <w:color w:val="auto"/>
                    </w:rPr>
                  </w:pPr>
                </w:p>
                <w:p>
                  <w:pPr>
                    <w:pStyle w:val="28"/>
                    <w:keepNext w:val="0"/>
                    <w:keepLines w:val="0"/>
                    <w:suppressLineNumbers w:val="0"/>
                    <w:bidi w:val="0"/>
                    <w:spacing w:before="0" w:beforeAutospacing="0" w:after="0" w:afterAutospacing="0"/>
                    <w:ind w:left="0" w:right="0" w:firstLine="0"/>
                    <w:jc w:val="both"/>
                    <w:rPr>
                      <w:rFonts w:hint="default" w:ascii="Times New Roman" w:hAnsi="Times New Roman" w:eastAsia="宋体"/>
                      <w:color w:val="auto"/>
                    </w:rPr>
                  </w:pPr>
                  <w:r>
                    <w:rPr>
                      <w:rFonts w:hint="default" w:ascii="Times New Roman" w:hAnsi="Times New Roman" w:eastAsia="宋体"/>
                      <w:color w:val="auto"/>
                    </w:rPr>
                    <w:t>2、本项目</w:t>
                  </w:r>
                  <w:r>
                    <w:rPr>
                      <w:rFonts w:hint="eastAsia" w:ascii="Times New Roman" w:hAnsi="Times New Roman" w:eastAsia="宋体"/>
                      <w:color w:val="auto"/>
                      <w:lang w:val="en-US" w:eastAsia="zh-CN"/>
                    </w:rPr>
                    <w:t>不属于</w:t>
                  </w:r>
                  <w:r>
                    <w:rPr>
                      <w:rFonts w:hint="default" w:ascii="Times New Roman" w:hAnsi="Times New Roman" w:eastAsia="宋体"/>
                      <w:color w:val="auto"/>
                    </w:rPr>
                    <w:t>涉重涉危及有毒有害等行业。</w:t>
                  </w:r>
                </w:p>
              </w:tc>
              <w:tc>
                <w:tcPr>
                  <w:tcW w:w="821"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default"/>
                      <w:color w:val="auto"/>
                    </w:rPr>
                  </w:pPr>
                  <w:r>
                    <w:rPr>
                      <w:rFonts w:hint="default"/>
                      <w:color w:val="auto"/>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718" w:type="dxa"/>
                  <w:vMerge w:val="continue"/>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default"/>
                      <w:color w:val="auto"/>
                    </w:rPr>
                  </w:pPr>
                </w:p>
              </w:tc>
              <w:tc>
                <w:tcPr>
                  <w:tcW w:w="564"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default"/>
                      <w:color w:val="auto"/>
                    </w:rPr>
                  </w:pPr>
                  <w:r>
                    <w:rPr>
                      <w:rFonts w:hint="default"/>
                      <w:color w:val="auto"/>
                    </w:rPr>
                    <w:t>资源利用效率</w:t>
                  </w:r>
                </w:p>
              </w:tc>
              <w:tc>
                <w:tcPr>
                  <w:tcW w:w="2565"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jc w:val="both"/>
                    <w:rPr>
                      <w:rFonts w:hint="default"/>
                      <w:color w:val="auto"/>
                    </w:rPr>
                  </w:pPr>
                  <w:r>
                    <w:rPr>
                      <w:rFonts w:hint="default"/>
                      <w:color w:val="auto"/>
                    </w:rPr>
                    <w:t>1.“十四五”时期，规模以上工业单位增加值能耗下降18%，万元工业增加值用水量下降10%。</w:t>
                  </w:r>
                </w:p>
                <w:p>
                  <w:pPr>
                    <w:pStyle w:val="28"/>
                    <w:keepNext w:val="0"/>
                    <w:keepLines w:val="0"/>
                    <w:suppressLineNumbers w:val="0"/>
                    <w:bidi w:val="0"/>
                    <w:spacing w:before="0" w:beforeAutospacing="0" w:after="0" w:afterAutospacing="0"/>
                    <w:ind w:left="0" w:right="0"/>
                    <w:jc w:val="both"/>
                    <w:rPr>
                      <w:rFonts w:hint="default"/>
                      <w:color w:val="auto"/>
                    </w:rPr>
                  </w:pPr>
                  <w:r>
                    <w:rPr>
                      <w:rFonts w:hint="default"/>
                      <w:color w:val="auto"/>
                    </w:rPr>
                    <w:t>2.新建、扩建“两高”项目单位产品物耗、能耗、水耗等达到清洁生产先进水平。</w:t>
                  </w:r>
                </w:p>
                <w:p>
                  <w:pPr>
                    <w:pStyle w:val="28"/>
                    <w:keepNext w:val="0"/>
                    <w:keepLines w:val="0"/>
                    <w:suppressLineNumbers w:val="0"/>
                    <w:bidi w:val="0"/>
                    <w:spacing w:before="0" w:beforeAutospacing="0" w:after="0" w:afterAutospacing="0"/>
                    <w:ind w:left="0" w:right="0"/>
                    <w:jc w:val="both"/>
                    <w:rPr>
                      <w:rFonts w:hint="default"/>
                      <w:color w:val="auto"/>
                    </w:rPr>
                  </w:pPr>
                  <w:r>
                    <w:rPr>
                      <w:rFonts w:hint="default"/>
                      <w:color w:val="auto"/>
                    </w:rPr>
                    <w:t>3.实施重点领域节能降碳改造，到2025年钢铁、电解铝、水泥、炼油、乙烯、焦化等重点行业产能达到能效标杆水平的比例超过30%，行业整体能效水平明显提升，碳排放强度明显下降，绿色低碳发展能力显著增强。</w:t>
                  </w:r>
                </w:p>
                <w:p>
                  <w:pPr>
                    <w:pStyle w:val="28"/>
                    <w:keepNext w:val="0"/>
                    <w:keepLines w:val="0"/>
                    <w:suppressLineNumbers w:val="0"/>
                    <w:bidi w:val="0"/>
                    <w:spacing w:before="0" w:beforeAutospacing="0" w:after="0" w:afterAutospacing="0"/>
                    <w:ind w:left="0" w:right="0"/>
                    <w:jc w:val="both"/>
                    <w:rPr>
                      <w:rFonts w:hint="default"/>
                      <w:color w:val="auto"/>
                    </w:rPr>
                  </w:pPr>
                  <w:r>
                    <w:rPr>
                      <w:rFonts w:hint="default"/>
                      <w:color w:val="auto"/>
                    </w:rPr>
                    <w:t>4.对以煤、石油焦、渣油、重油等为燃料的锅炉和工业炉窑，加快使用工业余热、电厂热力、清洁能源等进行替代。</w:t>
                  </w:r>
                </w:p>
                <w:p>
                  <w:pPr>
                    <w:pStyle w:val="28"/>
                    <w:keepNext w:val="0"/>
                    <w:keepLines w:val="0"/>
                    <w:suppressLineNumbers w:val="0"/>
                    <w:bidi w:val="0"/>
                    <w:spacing w:before="0" w:beforeAutospacing="0" w:after="0" w:afterAutospacing="0"/>
                    <w:ind w:left="0" w:right="0"/>
                    <w:jc w:val="both"/>
                    <w:rPr>
                      <w:rFonts w:hint="default"/>
                      <w:color w:val="auto"/>
                    </w:rPr>
                  </w:pPr>
                  <w:r>
                    <w:rPr>
                      <w:rFonts w:hint="default"/>
                      <w:color w:val="auto"/>
                    </w:rPr>
                    <w:t>5.除应急取（排）水、地下水监测外，在地下水禁采区内，禁止取用地下水；在地下水限采区内，禁止开凿新的取水井或者增加地下水取水量。</w:t>
                  </w:r>
                </w:p>
              </w:tc>
              <w:tc>
                <w:tcPr>
                  <w:tcW w:w="2402"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default"/>
                      <w:color w:val="auto"/>
                    </w:rPr>
                    <w:t>1</w:t>
                  </w:r>
                  <w:r>
                    <w:rPr>
                      <w:rFonts w:hint="default" w:ascii="Times New Roman" w:hAnsi="Times New Roman" w:eastAsia="宋体"/>
                      <w:color w:val="auto"/>
                    </w:rPr>
                    <w:t>、本项目主要能耗为电</w:t>
                  </w:r>
                  <w:r>
                    <w:rPr>
                      <w:rFonts w:hint="eastAsia" w:ascii="Times New Roman" w:hAnsi="Times New Roman" w:eastAsia="宋体"/>
                      <w:color w:val="auto"/>
                      <w:lang w:eastAsia="zh-CN"/>
                    </w:rPr>
                    <w:t>。</w:t>
                  </w:r>
                </w:p>
                <w:p>
                  <w:pPr>
                    <w:pStyle w:val="28"/>
                    <w:keepNext w:val="0"/>
                    <w:keepLines w:val="0"/>
                    <w:suppressLineNumbers w:val="0"/>
                    <w:bidi w:val="0"/>
                    <w:spacing w:before="0" w:beforeAutospacing="0" w:after="0" w:afterAutospacing="0"/>
                    <w:ind w:left="0" w:right="0"/>
                    <w:jc w:val="both"/>
                    <w:rPr>
                      <w:rFonts w:hint="default" w:ascii="Times New Roman" w:hAnsi="Times New Roman" w:eastAsia="宋体"/>
                      <w:color w:val="auto"/>
                    </w:rPr>
                  </w:pPr>
                  <w:r>
                    <w:rPr>
                      <w:rFonts w:hint="default" w:ascii="Times New Roman" w:hAnsi="Times New Roman" w:eastAsia="宋体"/>
                      <w:color w:val="auto"/>
                    </w:rPr>
                    <w:t>2、本项目不属于</w:t>
                  </w:r>
                  <w:r>
                    <w:rPr>
                      <w:rFonts w:hint="eastAsia" w:ascii="Times New Roman" w:hAnsi="Times New Roman" w:eastAsia="宋体"/>
                      <w:color w:val="auto"/>
                      <w:lang w:eastAsia="zh-CN"/>
                    </w:rPr>
                    <w:t>“</w:t>
                  </w:r>
                  <w:r>
                    <w:rPr>
                      <w:rFonts w:hint="default" w:ascii="Times New Roman" w:hAnsi="Times New Roman" w:eastAsia="宋体"/>
                      <w:color w:val="auto"/>
                    </w:rPr>
                    <w:t>两高</w:t>
                  </w:r>
                  <w:r>
                    <w:rPr>
                      <w:rFonts w:hint="eastAsia" w:ascii="Times New Roman" w:hAnsi="Times New Roman" w:eastAsia="宋体"/>
                      <w:color w:val="auto"/>
                      <w:lang w:eastAsia="zh-CN"/>
                    </w:rPr>
                    <w:t>”</w:t>
                  </w:r>
                  <w:r>
                    <w:rPr>
                      <w:rFonts w:hint="default" w:ascii="Times New Roman" w:hAnsi="Times New Roman" w:eastAsia="宋体"/>
                      <w:color w:val="auto"/>
                    </w:rPr>
                    <w:t>项目。</w:t>
                  </w:r>
                </w:p>
                <w:p>
                  <w:pPr>
                    <w:pStyle w:val="28"/>
                    <w:keepNext w:val="0"/>
                    <w:keepLines w:val="0"/>
                    <w:suppressLineNumbers w:val="0"/>
                    <w:bidi w:val="0"/>
                    <w:spacing w:before="0" w:beforeAutospacing="0" w:after="0" w:afterAutospacing="0"/>
                    <w:ind w:left="0" w:right="0"/>
                    <w:jc w:val="both"/>
                    <w:rPr>
                      <w:rFonts w:hint="default"/>
                      <w:color w:val="auto"/>
                    </w:rPr>
                  </w:pPr>
                  <w:r>
                    <w:rPr>
                      <w:rFonts w:hint="default" w:ascii="Times New Roman" w:hAnsi="Times New Roman" w:eastAsia="宋体"/>
                      <w:color w:val="auto"/>
                    </w:rPr>
                    <w:t>3、本</w:t>
                  </w:r>
                  <w:r>
                    <w:rPr>
                      <w:rFonts w:hint="default"/>
                      <w:color w:val="auto"/>
                    </w:rPr>
                    <w:t>项目不属于钢铁、电解铝等重点行业。</w:t>
                  </w:r>
                </w:p>
                <w:p>
                  <w:pPr>
                    <w:pStyle w:val="28"/>
                    <w:keepNext w:val="0"/>
                    <w:keepLines w:val="0"/>
                    <w:suppressLineNumbers w:val="0"/>
                    <w:bidi w:val="0"/>
                    <w:spacing w:before="0" w:beforeAutospacing="0" w:after="0" w:afterAutospacing="0"/>
                    <w:ind w:left="0" w:right="0"/>
                    <w:jc w:val="both"/>
                    <w:rPr>
                      <w:rFonts w:hint="default"/>
                      <w:color w:val="auto"/>
                    </w:rPr>
                  </w:pPr>
                  <w:r>
                    <w:rPr>
                      <w:rFonts w:hint="default"/>
                      <w:color w:val="auto"/>
                    </w:rPr>
                    <w:t>4、本项目</w:t>
                  </w:r>
                  <w:r>
                    <w:rPr>
                      <w:rFonts w:hint="eastAsia"/>
                      <w:color w:val="auto"/>
                      <w:lang w:val="en-US" w:eastAsia="zh-CN"/>
                    </w:rPr>
                    <w:t>不涉及锅炉和工业炉窑</w:t>
                  </w:r>
                  <w:r>
                    <w:rPr>
                      <w:rFonts w:hint="default"/>
                      <w:color w:val="auto"/>
                    </w:rPr>
                    <w:t>。</w:t>
                  </w:r>
                </w:p>
                <w:p>
                  <w:pPr>
                    <w:pStyle w:val="28"/>
                    <w:keepNext w:val="0"/>
                    <w:keepLines w:val="0"/>
                    <w:suppressLineNumbers w:val="0"/>
                    <w:bidi w:val="0"/>
                    <w:spacing w:before="0" w:beforeAutospacing="0" w:after="0" w:afterAutospacing="0"/>
                    <w:ind w:left="0" w:right="0"/>
                    <w:jc w:val="both"/>
                    <w:rPr>
                      <w:rFonts w:hint="default"/>
                      <w:color w:val="auto"/>
                    </w:rPr>
                  </w:pPr>
                  <w:r>
                    <w:rPr>
                      <w:rFonts w:hint="default"/>
                      <w:color w:val="auto"/>
                    </w:rPr>
                    <w:t>5、本项目</w:t>
                  </w:r>
                  <w:r>
                    <w:rPr>
                      <w:rFonts w:hint="eastAsia"/>
                      <w:color w:val="auto"/>
                      <w:lang w:val="en-US" w:eastAsia="zh-CN"/>
                    </w:rPr>
                    <w:t>采用市政</w:t>
                  </w:r>
                  <w:r>
                    <w:rPr>
                      <w:rFonts w:hint="default"/>
                      <w:color w:val="auto"/>
                    </w:rPr>
                    <w:t>供水，不取用地下水。</w:t>
                  </w:r>
                </w:p>
              </w:tc>
              <w:tc>
                <w:tcPr>
                  <w:tcW w:w="821"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default"/>
                      <w:color w:val="auto"/>
                    </w:rPr>
                  </w:pPr>
                  <w:r>
                    <w:rPr>
                      <w:rFonts w:hint="default"/>
                      <w:color w:val="auto"/>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7070" w:type="dxa"/>
                  <w:gridSpan w:val="5"/>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default"/>
                      <w:b/>
                      <w:bCs/>
                      <w:color w:val="auto"/>
                    </w:rPr>
                  </w:pPr>
                  <w:r>
                    <w:rPr>
                      <w:rFonts w:hint="default"/>
                      <w:b/>
                      <w:bCs/>
                      <w:color w:val="auto"/>
                    </w:rPr>
                    <w:t>重点区域生态环境管控要求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718"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default"/>
                      <w:b/>
                      <w:bCs/>
                      <w:color w:val="auto"/>
                    </w:rPr>
                  </w:pPr>
                  <w:r>
                    <w:rPr>
                      <w:rFonts w:hint="default"/>
                      <w:b/>
                      <w:bCs/>
                      <w:color w:val="auto"/>
                    </w:rPr>
                    <w:t>区域</w:t>
                  </w:r>
                </w:p>
              </w:tc>
              <w:tc>
                <w:tcPr>
                  <w:tcW w:w="564"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default"/>
                      <w:b/>
                      <w:bCs/>
                      <w:color w:val="auto"/>
                    </w:rPr>
                  </w:pPr>
                  <w:r>
                    <w:rPr>
                      <w:rFonts w:hint="default"/>
                      <w:b/>
                      <w:bCs/>
                      <w:color w:val="auto"/>
                    </w:rPr>
                    <w:t>管控类别</w:t>
                  </w:r>
                </w:p>
              </w:tc>
              <w:tc>
                <w:tcPr>
                  <w:tcW w:w="2565"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default"/>
                      <w:b/>
                      <w:bCs/>
                      <w:color w:val="auto"/>
                    </w:rPr>
                  </w:pPr>
                  <w:r>
                    <w:rPr>
                      <w:rFonts w:hint="default"/>
                      <w:b/>
                      <w:bCs/>
                      <w:color w:val="auto"/>
                    </w:rPr>
                    <w:t>准入要求</w:t>
                  </w:r>
                </w:p>
              </w:tc>
              <w:tc>
                <w:tcPr>
                  <w:tcW w:w="2402"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default"/>
                      <w:b/>
                      <w:bCs/>
                      <w:color w:val="auto"/>
                    </w:rPr>
                  </w:pPr>
                  <w:r>
                    <w:rPr>
                      <w:rFonts w:hint="default"/>
                      <w:b/>
                      <w:bCs/>
                      <w:color w:val="auto"/>
                    </w:rPr>
                    <w:t>本项目情况</w:t>
                  </w:r>
                </w:p>
              </w:tc>
              <w:tc>
                <w:tcPr>
                  <w:tcW w:w="821"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eastAsia"/>
                      <w:b/>
                      <w:bCs/>
                      <w:color w:val="auto"/>
                      <w:lang w:val="en-US" w:eastAsia="zh-CN"/>
                    </w:rPr>
                  </w:pPr>
                  <w:r>
                    <w:rPr>
                      <w:rFonts w:hint="eastAsia"/>
                      <w:b/>
                      <w:bCs/>
                      <w:color w:val="auto"/>
                      <w:lang w:val="en-US" w:eastAsia="zh-CN"/>
                    </w:rPr>
                    <w:t>相符性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718" w:type="dxa"/>
                  <w:vMerge w:val="restart"/>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default"/>
                      <w:color w:val="auto"/>
                    </w:rPr>
                  </w:pPr>
                  <w:r>
                    <w:rPr>
                      <w:rFonts w:hint="default"/>
                      <w:color w:val="auto"/>
                    </w:rPr>
                    <w:t>京津冀及周边地区（郑州、开封、洛阳、平顶山、安阳、鹤壁、新乡、焦作、濮阳、许昌、漯河、三门峡、商丘、周口市以及济源示范区）</w:t>
                  </w:r>
                </w:p>
              </w:tc>
              <w:tc>
                <w:tcPr>
                  <w:tcW w:w="564"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default"/>
                      <w:color w:val="auto"/>
                    </w:rPr>
                  </w:pPr>
                  <w:r>
                    <w:rPr>
                      <w:rFonts w:hint="default"/>
                      <w:color w:val="auto"/>
                    </w:rPr>
                    <w:t>空间布局约束</w:t>
                  </w:r>
                </w:p>
              </w:tc>
              <w:tc>
                <w:tcPr>
                  <w:tcW w:w="2565"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jc w:val="both"/>
                    <w:rPr>
                      <w:rFonts w:hint="default"/>
                      <w:color w:val="auto"/>
                    </w:rPr>
                  </w:pPr>
                  <w:r>
                    <w:rPr>
                      <w:rFonts w:hint="default"/>
                      <w:color w:val="auto"/>
                    </w:rPr>
                    <w:t>1. 坚决遏制</w:t>
                  </w:r>
                  <w:r>
                    <w:rPr>
                      <w:rFonts w:hint="eastAsia"/>
                      <w:color w:val="auto"/>
                      <w:lang w:eastAsia="zh-CN"/>
                    </w:rPr>
                    <w:t>“</w:t>
                  </w:r>
                  <w:r>
                    <w:rPr>
                      <w:rFonts w:hint="default"/>
                      <w:color w:val="auto"/>
                    </w:rPr>
                    <w:t>两高</w:t>
                  </w:r>
                  <w:r>
                    <w:rPr>
                      <w:rFonts w:hint="eastAsia"/>
                      <w:color w:val="auto"/>
                      <w:lang w:eastAsia="zh-CN"/>
                    </w:rPr>
                    <w:t>”</w:t>
                  </w:r>
                  <w:r>
                    <w:rPr>
                      <w:rFonts w:hint="default"/>
                      <w:color w:val="auto"/>
                    </w:rPr>
                    <w:t>项目盲目发展，落实《中共河南省委 河南省人民政府 关于深入打 好污染防治攻坚战的实施意见》中关于空间布局约束的相关要求。</w:t>
                  </w:r>
                </w:p>
              </w:tc>
              <w:tc>
                <w:tcPr>
                  <w:tcW w:w="2402"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jc w:val="both"/>
                    <w:rPr>
                      <w:rFonts w:hint="default"/>
                      <w:color w:val="auto"/>
                    </w:rPr>
                  </w:pPr>
                  <w:r>
                    <w:rPr>
                      <w:rFonts w:hint="default"/>
                      <w:color w:val="auto"/>
                    </w:rPr>
                    <w:t>本项目不属于</w:t>
                  </w:r>
                  <w:r>
                    <w:rPr>
                      <w:rFonts w:hint="eastAsia"/>
                      <w:color w:val="auto"/>
                      <w:lang w:eastAsia="zh-CN"/>
                    </w:rPr>
                    <w:t>“</w:t>
                  </w:r>
                  <w:r>
                    <w:rPr>
                      <w:rFonts w:hint="default"/>
                      <w:color w:val="auto"/>
                    </w:rPr>
                    <w:t>两高</w:t>
                  </w:r>
                  <w:r>
                    <w:rPr>
                      <w:rFonts w:hint="eastAsia"/>
                      <w:color w:val="auto"/>
                      <w:lang w:eastAsia="zh-CN"/>
                    </w:rPr>
                    <w:t>”</w:t>
                  </w:r>
                  <w:r>
                    <w:rPr>
                      <w:rFonts w:hint="default"/>
                      <w:color w:val="auto"/>
                    </w:rPr>
                    <w:t>项目。</w:t>
                  </w:r>
                </w:p>
              </w:tc>
              <w:tc>
                <w:tcPr>
                  <w:tcW w:w="821"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default"/>
                      <w:color w:val="auto"/>
                    </w:rPr>
                  </w:pPr>
                  <w:r>
                    <w:rPr>
                      <w:rFonts w:hint="default"/>
                      <w:color w:val="auto"/>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718" w:type="dxa"/>
                  <w:vMerge w:val="continue"/>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default"/>
                      <w:color w:val="auto"/>
                    </w:rPr>
                  </w:pPr>
                </w:p>
              </w:tc>
              <w:tc>
                <w:tcPr>
                  <w:tcW w:w="564"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default"/>
                      <w:color w:val="auto"/>
                    </w:rPr>
                  </w:pPr>
                  <w:r>
                    <w:rPr>
                      <w:rFonts w:hint="default"/>
                      <w:color w:val="auto"/>
                    </w:rPr>
                    <w:t>污染物排放管控</w:t>
                  </w:r>
                </w:p>
              </w:tc>
              <w:tc>
                <w:tcPr>
                  <w:tcW w:w="2565"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jc w:val="both"/>
                    <w:rPr>
                      <w:rFonts w:hint="default"/>
                      <w:color w:val="auto"/>
                    </w:rPr>
                  </w:pPr>
                  <w:r>
                    <w:rPr>
                      <w:rFonts w:hint="default"/>
                      <w:color w:val="auto"/>
                    </w:rPr>
                    <w:t>1.落实超低排放要求、无组织排放特别控制要求。</w:t>
                  </w:r>
                </w:p>
                <w:p>
                  <w:pPr>
                    <w:pStyle w:val="28"/>
                    <w:keepNext w:val="0"/>
                    <w:keepLines w:val="0"/>
                    <w:suppressLineNumbers w:val="0"/>
                    <w:bidi w:val="0"/>
                    <w:spacing w:before="0" w:beforeAutospacing="0" w:after="0" w:afterAutospacing="0"/>
                    <w:ind w:left="0" w:right="0"/>
                    <w:jc w:val="both"/>
                    <w:rPr>
                      <w:rFonts w:hint="default"/>
                      <w:color w:val="auto"/>
                    </w:rPr>
                  </w:pPr>
                  <w:r>
                    <w:rPr>
                      <w:rFonts w:hint="default"/>
                      <w:color w:val="auto"/>
                    </w:rPr>
                    <w:t>2.聚焦夏秋季臭氧污染，推进挥发性有机物和氮氧化物协同减排。以石化、化工、涂装、医药、包装印刷、油品储运销等行业领域为重点，推进挥发性有机物综合治理，实施原辅材料和产品源头替代工程。</w:t>
                  </w:r>
                </w:p>
                <w:p>
                  <w:pPr>
                    <w:pStyle w:val="28"/>
                    <w:keepNext w:val="0"/>
                    <w:keepLines w:val="0"/>
                    <w:suppressLineNumbers w:val="0"/>
                    <w:bidi w:val="0"/>
                    <w:spacing w:before="0" w:beforeAutospacing="0" w:after="0" w:afterAutospacing="0"/>
                    <w:ind w:left="0" w:right="0"/>
                    <w:jc w:val="both"/>
                    <w:rPr>
                      <w:rFonts w:hint="default"/>
                      <w:color w:val="auto"/>
                    </w:rPr>
                  </w:pPr>
                  <w:r>
                    <w:rPr>
                      <w:rFonts w:hint="default"/>
                      <w:color w:val="auto"/>
                    </w:rPr>
                    <w:t>3.全面淘汰国三及以排放标准营运中重型柴油货车；推进大宗货物“公转铁”“公转水”。</w:t>
                  </w:r>
                </w:p>
                <w:p>
                  <w:pPr>
                    <w:pStyle w:val="28"/>
                    <w:keepNext w:val="0"/>
                    <w:keepLines w:val="0"/>
                    <w:suppressLineNumbers w:val="0"/>
                    <w:bidi w:val="0"/>
                    <w:spacing w:before="0" w:beforeAutospacing="0" w:after="0" w:afterAutospacing="0"/>
                    <w:ind w:left="0" w:right="0"/>
                    <w:jc w:val="both"/>
                    <w:rPr>
                      <w:rFonts w:hint="default"/>
                      <w:color w:val="auto"/>
                    </w:rPr>
                  </w:pPr>
                  <w:r>
                    <w:rPr>
                      <w:rFonts w:hint="default"/>
                      <w:color w:val="auto"/>
                    </w:rPr>
                    <w:t>4.全面推广绿色化工制造技术，实现化工原料和反应介质、生产工艺和制造过程绿色化，从源头上控制和减少污染。</w:t>
                  </w:r>
                </w:p>
              </w:tc>
              <w:tc>
                <w:tcPr>
                  <w:tcW w:w="2402"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jc w:val="both"/>
                    <w:rPr>
                      <w:rFonts w:hint="default"/>
                      <w:color w:val="auto"/>
                    </w:rPr>
                  </w:pPr>
                  <w:r>
                    <w:rPr>
                      <w:rFonts w:hint="default"/>
                      <w:color w:val="auto"/>
                    </w:rPr>
                    <w:t>1、本项目不属于火电厂，不使用燃煤锅炉。</w:t>
                  </w:r>
                </w:p>
                <w:p>
                  <w:pPr>
                    <w:pStyle w:val="28"/>
                    <w:keepNext w:val="0"/>
                    <w:keepLines w:val="0"/>
                    <w:suppressLineNumbers w:val="0"/>
                    <w:bidi w:val="0"/>
                    <w:spacing w:before="0" w:beforeAutospacing="0" w:after="0" w:afterAutospacing="0"/>
                    <w:ind w:left="0" w:right="0"/>
                    <w:jc w:val="both"/>
                    <w:rPr>
                      <w:rFonts w:hint="default"/>
                      <w:color w:val="auto"/>
                    </w:rPr>
                  </w:pPr>
                  <w:r>
                    <w:rPr>
                      <w:rFonts w:hint="default"/>
                      <w:color w:val="auto"/>
                    </w:rPr>
                    <w:t>2、本项目不</w:t>
                  </w:r>
                  <w:r>
                    <w:rPr>
                      <w:rFonts w:hint="eastAsia"/>
                      <w:color w:val="auto"/>
                      <w:lang w:val="en-US" w:eastAsia="zh-CN"/>
                    </w:rPr>
                    <w:t>涉及</w:t>
                  </w:r>
                  <w:r>
                    <w:rPr>
                      <w:rFonts w:hint="default"/>
                      <w:color w:val="auto"/>
                    </w:rPr>
                    <w:t>高VOCs含量原料</w:t>
                  </w:r>
                  <w:r>
                    <w:rPr>
                      <w:rFonts w:hint="eastAsia"/>
                      <w:color w:val="auto"/>
                      <w:lang w:val="en-US" w:eastAsia="zh-CN"/>
                    </w:rPr>
                    <w:t>的使用</w:t>
                  </w:r>
                  <w:r>
                    <w:rPr>
                      <w:rFonts w:hint="default"/>
                      <w:color w:val="auto"/>
                    </w:rPr>
                    <w:t>。</w:t>
                  </w:r>
                </w:p>
                <w:p>
                  <w:pPr>
                    <w:pStyle w:val="28"/>
                    <w:keepNext w:val="0"/>
                    <w:keepLines w:val="0"/>
                    <w:suppressLineNumbers w:val="0"/>
                    <w:bidi w:val="0"/>
                    <w:spacing w:before="0" w:beforeAutospacing="0" w:after="0" w:afterAutospacing="0"/>
                    <w:ind w:left="0" w:right="0"/>
                    <w:jc w:val="both"/>
                    <w:rPr>
                      <w:rFonts w:hint="default"/>
                      <w:color w:val="auto"/>
                    </w:rPr>
                  </w:pPr>
                  <w:r>
                    <w:rPr>
                      <w:rFonts w:hint="default"/>
                      <w:color w:val="auto"/>
                    </w:rPr>
                    <w:t>3、本项目不涉及大宗货物运输。</w:t>
                  </w:r>
                </w:p>
                <w:p>
                  <w:pPr>
                    <w:pStyle w:val="28"/>
                    <w:keepNext w:val="0"/>
                    <w:keepLines w:val="0"/>
                    <w:suppressLineNumbers w:val="0"/>
                    <w:bidi w:val="0"/>
                    <w:spacing w:before="0" w:beforeAutospacing="0" w:after="0" w:afterAutospacing="0"/>
                    <w:ind w:left="0" w:right="0"/>
                    <w:jc w:val="both"/>
                    <w:rPr>
                      <w:rFonts w:hint="default"/>
                      <w:color w:val="auto"/>
                    </w:rPr>
                  </w:pPr>
                  <w:r>
                    <w:rPr>
                      <w:rFonts w:hint="default"/>
                      <w:color w:val="auto"/>
                    </w:rPr>
                    <w:t>4、本项目不属于化工行业。</w:t>
                  </w:r>
                </w:p>
              </w:tc>
              <w:tc>
                <w:tcPr>
                  <w:tcW w:w="821"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default"/>
                      <w:color w:val="auto"/>
                    </w:rPr>
                  </w:pPr>
                  <w:r>
                    <w:rPr>
                      <w:rFonts w:hint="default"/>
                      <w:color w:val="auto"/>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718" w:type="dxa"/>
                  <w:vMerge w:val="continue"/>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default"/>
                      <w:color w:val="auto"/>
                    </w:rPr>
                  </w:pPr>
                </w:p>
              </w:tc>
              <w:tc>
                <w:tcPr>
                  <w:tcW w:w="564"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default"/>
                      <w:color w:val="auto"/>
                    </w:rPr>
                  </w:pPr>
                  <w:r>
                    <w:rPr>
                      <w:rFonts w:hint="default"/>
                      <w:color w:val="auto"/>
                    </w:rPr>
                    <w:t>环境风险防控</w:t>
                  </w:r>
                </w:p>
              </w:tc>
              <w:tc>
                <w:tcPr>
                  <w:tcW w:w="2565"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jc w:val="both"/>
                    <w:rPr>
                      <w:rFonts w:hint="default"/>
                      <w:color w:val="auto"/>
                    </w:rPr>
                  </w:pPr>
                  <w:r>
                    <w:rPr>
                      <w:rFonts w:hint="default"/>
                      <w:color w:val="auto"/>
                    </w:rPr>
                    <w:t>1.对无法实现低VOCs原辅材料替代的工序，在保证安全情况下，应在密闭设备、密闭空间作业或安装二次密闭设施。</w:t>
                  </w:r>
                </w:p>
                <w:p>
                  <w:pPr>
                    <w:pStyle w:val="28"/>
                    <w:keepNext w:val="0"/>
                    <w:keepLines w:val="0"/>
                    <w:suppressLineNumbers w:val="0"/>
                    <w:bidi w:val="0"/>
                    <w:spacing w:before="0" w:beforeAutospacing="0" w:after="0" w:afterAutospacing="0"/>
                    <w:ind w:left="0" w:right="0"/>
                    <w:jc w:val="both"/>
                    <w:rPr>
                      <w:rFonts w:hint="default"/>
                      <w:color w:val="auto"/>
                    </w:rPr>
                  </w:pPr>
                  <w:r>
                    <w:rPr>
                      <w:rFonts w:hint="default"/>
                      <w:color w:val="auto"/>
                    </w:rPr>
                    <w:t>2.矿山开采、选矿、运输过程中，应采取相应的防尘措施，化学矿、有色金属矿石及产品堆场应采取“三防”措施。</w:t>
                  </w:r>
                </w:p>
              </w:tc>
              <w:tc>
                <w:tcPr>
                  <w:tcW w:w="2402"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jc w:val="both"/>
                    <w:rPr>
                      <w:rFonts w:hint="default"/>
                      <w:color w:val="auto"/>
                    </w:rPr>
                  </w:pPr>
                  <w:r>
                    <w:rPr>
                      <w:rFonts w:hint="default"/>
                      <w:color w:val="auto"/>
                    </w:rPr>
                    <w:t>1、本项目不</w:t>
                  </w:r>
                  <w:r>
                    <w:rPr>
                      <w:rFonts w:hint="eastAsia"/>
                      <w:color w:val="auto"/>
                      <w:lang w:val="en-US" w:eastAsia="zh-CN"/>
                    </w:rPr>
                    <w:t>涉及</w:t>
                  </w:r>
                  <w:r>
                    <w:rPr>
                      <w:rFonts w:hint="default"/>
                      <w:color w:val="auto"/>
                    </w:rPr>
                    <w:t>高VOCs含量原料</w:t>
                  </w:r>
                  <w:r>
                    <w:rPr>
                      <w:rFonts w:hint="eastAsia"/>
                      <w:color w:val="auto"/>
                      <w:lang w:val="en-US" w:eastAsia="zh-CN"/>
                    </w:rPr>
                    <w:t>的使用</w:t>
                  </w:r>
                  <w:r>
                    <w:rPr>
                      <w:rFonts w:hint="default"/>
                      <w:color w:val="auto"/>
                    </w:rPr>
                    <w:t>。</w:t>
                  </w:r>
                </w:p>
                <w:p>
                  <w:pPr>
                    <w:pStyle w:val="28"/>
                    <w:keepNext w:val="0"/>
                    <w:keepLines w:val="0"/>
                    <w:suppressLineNumbers w:val="0"/>
                    <w:bidi w:val="0"/>
                    <w:spacing w:before="0" w:beforeAutospacing="0" w:after="0" w:afterAutospacing="0"/>
                    <w:ind w:left="0" w:right="0"/>
                    <w:jc w:val="both"/>
                    <w:rPr>
                      <w:rFonts w:hint="default"/>
                      <w:color w:val="auto"/>
                    </w:rPr>
                  </w:pPr>
                  <w:r>
                    <w:rPr>
                      <w:rFonts w:hint="default"/>
                      <w:color w:val="auto"/>
                    </w:rPr>
                    <w:t>2、本项目不属于矿山项目。</w:t>
                  </w:r>
                </w:p>
              </w:tc>
              <w:tc>
                <w:tcPr>
                  <w:tcW w:w="821"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default"/>
                      <w:color w:val="auto"/>
                    </w:rPr>
                  </w:pPr>
                  <w:r>
                    <w:rPr>
                      <w:rFonts w:hint="default"/>
                      <w:color w:val="auto"/>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718" w:type="dxa"/>
                  <w:vMerge w:val="continue"/>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default"/>
                      <w:color w:val="auto"/>
                    </w:rPr>
                  </w:pPr>
                </w:p>
              </w:tc>
              <w:tc>
                <w:tcPr>
                  <w:tcW w:w="564"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default"/>
                      <w:color w:val="auto"/>
                    </w:rPr>
                  </w:pPr>
                  <w:r>
                    <w:rPr>
                      <w:rFonts w:hint="default"/>
                      <w:color w:val="auto"/>
                    </w:rPr>
                    <w:t>资源利用效率</w:t>
                  </w:r>
                </w:p>
              </w:tc>
              <w:tc>
                <w:tcPr>
                  <w:tcW w:w="2565"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jc w:val="both"/>
                    <w:rPr>
                      <w:rFonts w:hint="default"/>
                      <w:color w:val="auto"/>
                    </w:rPr>
                  </w:pPr>
                  <w:r>
                    <w:rPr>
                      <w:rFonts w:hint="default"/>
                      <w:color w:val="auto"/>
                    </w:rPr>
                    <w:t>1.严格合理控制煤炭消费，“十四五”期间完成省定煤炭消费总量控制目标。</w:t>
                  </w:r>
                </w:p>
                <w:p>
                  <w:pPr>
                    <w:pStyle w:val="28"/>
                    <w:keepNext w:val="0"/>
                    <w:keepLines w:val="0"/>
                    <w:suppressLineNumbers w:val="0"/>
                    <w:bidi w:val="0"/>
                    <w:spacing w:before="0" w:beforeAutospacing="0" w:after="0" w:afterAutospacing="0"/>
                    <w:ind w:left="0" w:right="0"/>
                    <w:jc w:val="both"/>
                    <w:rPr>
                      <w:rFonts w:hint="default"/>
                      <w:color w:val="auto"/>
                    </w:rPr>
                  </w:pPr>
                  <w:r>
                    <w:rPr>
                      <w:rFonts w:hint="default"/>
                      <w:color w:val="auto"/>
                    </w:rPr>
                    <w:t>2.到2025年，吨钢综合能耗达到国内先进水平。</w:t>
                  </w:r>
                </w:p>
                <w:p>
                  <w:pPr>
                    <w:pStyle w:val="28"/>
                    <w:keepNext w:val="0"/>
                    <w:keepLines w:val="0"/>
                    <w:suppressLineNumbers w:val="0"/>
                    <w:bidi w:val="0"/>
                    <w:spacing w:before="0" w:beforeAutospacing="0" w:after="0" w:afterAutospacing="0"/>
                    <w:ind w:left="0" w:right="0"/>
                    <w:jc w:val="both"/>
                    <w:rPr>
                      <w:rFonts w:hint="default"/>
                      <w:color w:val="auto"/>
                    </w:rPr>
                  </w:pPr>
                  <w:r>
                    <w:rPr>
                      <w:rFonts w:hint="default"/>
                      <w:color w:val="auto"/>
                    </w:rPr>
                    <w:t>3.到2025年，钢铁、石化化工、有色金属、建材等行业重点产品能效达到国际先进水平，规模以上工业单位增加值能耗比2020年下降13.5%。</w:t>
                  </w:r>
                </w:p>
              </w:tc>
              <w:tc>
                <w:tcPr>
                  <w:tcW w:w="2402"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jc w:val="both"/>
                    <w:rPr>
                      <w:rFonts w:hint="default"/>
                      <w:color w:val="auto"/>
                    </w:rPr>
                  </w:pPr>
                  <w:r>
                    <w:rPr>
                      <w:rFonts w:hint="default"/>
                      <w:color w:val="auto"/>
                    </w:rPr>
                    <w:t>本项目不</w:t>
                  </w:r>
                  <w:r>
                    <w:rPr>
                      <w:rFonts w:hint="eastAsia"/>
                      <w:color w:val="auto"/>
                      <w:lang w:val="en-US" w:eastAsia="zh-CN"/>
                    </w:rPr>
                    <w:t>属于</w:t>
                  </w:r>
                  <w:r>
                    <w:rPr>
                      <w:rFonts w:hint="default"/>
                      <w:color w:val="auto"/>
                    </w:rPr>
                    <w:t>钢铁、石化化工、有色金属、建材等行业。</w:t>
                  </w:r>
                </w:p>
              </w:tc>
              <w:tc>
                <w:tcPr>
                  <w:tcW w:w="821"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default"/>
                      <w:color w:val="auto"/>
                    </w:rPr>
                  </w:pPr>
                  <w:r>
                    <w:rPr>
                      <w:rFonts w:hint="default"/>
                      <w:color w:val="auto"/>
                    </w:rPr>
                    <w:t>不涉及</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7070" w:type="dxa"/>
                  <w:gridSpan w:val="5"/>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default"/>
                      <w:color w:val="auto"/>
                    </w:rPr>
                  </w:pPr>
                  <w:r>
                    <w:rPr>
                      <w:rFonts w:hint="eastAsia"/>
                      <w:b/>
                      <w:bCs/>
                      <w:color w:val="auto"/>
                      <w:u w:val="none"/>
                      <w:lang w:eastAsia="zh-CN"/>
                    </w:rPr>
                    <w:t>三、重点流域生态环境管控要求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718" w:type="dxa"/>
                  <w:vMerge w:val="restart"/>
                  <w:tcBorders>
                    <w:tl2br w:val="nil"/>
                    <w:tr2bl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ind w:left="0" w:right="0" w:firstLine="0" w:firstLineChars="0"/>
                    <w:textAlignment w:val="auto"/>
                    <w:rPr>
                      <w:rFonts w:hint="default"/>
                      <w:color w:val="auto"/>
                    </w:rPr>
                  </w:pPr>
                  <w:r>
                    <w:rPr>
                      <w:rFonts w:hint="eastAsia"/>
                      <w:color w:val="auto"/>
                      <w:u w:val="none"/>
                      <w:lang w:eastAsia="zh-CN"/>
                    </w:rPr>
                    <w:t>省辖</w:t>
                  </w:r>
                  <w:r>
                    <w:rPr>
                      <w:rFonts w:hint="eastAsia"/>
                      <w:color w:val="auto"/>
                      <w:u w:val="none"/>
                      <w:lang w:val="en-US" w:eastAsia="zh-CN"/>
                    </w:rPr>
                    <w:t>海</w:t>
                  </w:r>
                  <w:r>
                    <w:rPr>
                      <w:rFonts w:hint="eastAsia"/>
                      <w:color w:val="auto"/>
                      <w:u w:val="none"/>
                      <w:lang w:eastAsia="zh-CN"/>
                    </w:rPr>
                    <w:t>河流域</w:t>
                  </w:r>
                </w:p>
              </w:tc>
              <w:tc>
                <w:tcPr>
                  <w:tcW w:w="564"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firstLine="0" w:firstLineChars="0"/>
                    <w:rPr>
                      <w:rFonts w:hint="default"/>
                      <w:color w:val="auto"/>
                    </w:rPr>
                  </w:pPr>
                  <w:r>
                    <w:rPr>
                      <w:rFonts w:hint="eastAsia"/>
                      <w:color w:val="auto"/>
                      <w:highlight w:val="none"/>
                      <w:u w:val="none"/>
                      <w:lang w:eastAsia="zh-CN"/>
                    </w:rPr>
                    <w:t>空间布局约束</w:t>
                  </w:r>
                </w:p>
              </w:tc>
              <w:tc>
                <w:tcPr>
                  <w:tcW w:w="2565"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jc w:val="both"/>
                    <w:rPr>
                      <w:rFonts w:hint="eastAsia"/>
                      <w:color w:val="auto"/>
                      <w:highlight w:val="none"/>
                      <w:u w:val="none"/>
                      <w:lang w:val="en-US" w:eastAsia="zh-CN"/>
                    </w:rPr>
                  </w:pPr>
                  <w:r>
                    <w:rPr>
                      <w:rFonts w:hint="default"/>
                      <w:color w:val="auto"/>
                      <w:highlight w:val="none"/>
                      <w:u w:val="none"/>
                      <w:lang w:val="en-US" w:eastAsia="zh-CN"/>
                    </w:rPr>
                    <w:t xml:space="preserve">1. </w:t>
                  </w:r>
                  <w:r>
                    <w:rPr>
                      <w:rFonts w:hint="eastAsia"/>
                      <w:color w:val="auto"/>
                      <w:highlight w:val="none"/>
                      <w:u w:val="none"/>
                      <w:lang w:val="en-US" w:eastAsia="zh-CN"/>
                    </w:rPr>
                    <w:t>严格限制造纸、印染等高耗水、重污染产业发展。</w:t>
                  </w:r>
                </w:p>
                <w:p>
                  <w:pPr>
                    <w:pStyle w:val="28"/>
                    <w:keepNext w:val="0"/>
                    <w:keepLines w:val="0"/>
                    <w:suppressLineNumbers w:val="0"/>
                    <w:bidi w:val="0"/>
                    <w:spacing w:before="0" w:beforeAutospacing="0" w:after="0" w:afterAutospacing="0"/>
                    <w:ind w:left="0" w:right="0" w:firstLine="0" w:firstLineChars="0"/>
                    <w:jc w:val="both"/>
                    <w:rPr>
                      <w:rFonts w:hint="default"/>
                      <w:color w:val="auto"/>
                    </w:rPr>
                  </w:pPr>
                  <w:r>
                    <w:rPr>
                      <w:rFonts w:hint="default"/>
                      <w:color w:val="auto"/>
                      <w:highlight w:val="none"/>
                      <w:u w:val="none"/>
                      <w:lang w:val="en-US" w:eastAsia="zh-CN"/>
                    </w:rPr>
                    <w:t xml:space="preserve">2. </w:t>
                  </w:r>
                  <w:r>
                    <w:rPr>
                      <w:rFonts w:hint="eastAsia"/>
                      <w:color w:val="auto"/>
                      <w:highlight w:val="none"/>
                      <w:u w:val="none"/>
                      <w:lang w:val="en-US" w:eastAsia="zh-CN"/>
                    </w:rPr>
                    <w:t>严格落实南水北调干渠水源地保护的有关规定，避免水体受到污染。</w:t>
                  </w:r>
                </w:p>
              </w:tc>
              <w:tc>
                <w:tcPr>
                  <w:tcW w:w="2402"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firstLine="0" w:firstLineChars="0"/>
                    <w:jc w:val="both"/>
                    <w:rPr>
                      <w:rFonts w:hint="eastAsia" w:ascii="Times New Roman" w:hAnsi="Times New Roman" w:eastAsia="宋体"/>
                      <w:color w:val="auto"/>
                      <w:u w:val="none"/>
                      <w:lang w:val="en-US" w:eastAsia="zh-CN"/>
                    </w:rPr>
                  </w:pPr>
                  <w:r>
                    <w:rPr>
                      <w:rFonts w:hint="eastAsia" w:ascii="Times New Roman" w:hAnsi="Times New Roman" w:eastAsia="宋体"/>
                      <w:color w:val="auto"/>
                      <w:u w:val="none"/>
                      <w:lang w:val="en-US" w:eastAsia="zh-CN"/>
                    </w:rPr>
                    <w:t>1.本项目不属于造纸、印染等高耗水、重污染行业。</w:t>
                  </w:r>
                </w:p>
                <w:p>
                  <w:pPr>
                    <w:pStyle w:val="28"/>
                    <w:keepNext w:val="0"/>
                    <w:keepLines w:val="0"/>
                    <w:suppressLineNumbers w:val="0"/>
                    <w:bidi w:val="0"/>
                    <w:spacing w:before="0" w:beforeAutospacing="0" w:after="0" w:afterAutospacing="0"/>
                    <w:ind w:left="0" w:right="0" w:firstLine="0" w:firstLineChars="0"/>
                    <w:jc w:val="both"/>
                    <w:rPr>
                      <w:rFonts w:hint="default" w:ascii="Times New Roman" w:hAnsi="Times New Roman" w:eastAsia="宋体"/>
                      <w:color w:val="auto"/>
                      <w:u w:val="none"/>
                      <w:lang w:val="en-US" w:eastAsia="zh-CN"/>
                    </w:rPr>
                  </w:pPr>
                  <w:r>
                    <w:rPr>
                      <w:rFonts w:hint="eastAsia" w:ascii="Times New Roman" w:hAnsi="Times New Roman" w:eastAsia="宋体"/>
                      <w:color w:val="auto"/>
                      <w:u w:val="none"/>
                      <w:lang w:val="en-US" w:eastAsia="zh-CN"/>
                    </w:rPr>
                    <w:t>2.本项目不在南水北调干渠范围内。</w:t>
                  </w:r>
                </w:p>
              </w:tc>
              <w:tc>
                <w:tcPr>
                  <w:tcW w:w="821"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firstLine="0" w:firstLineChars="0"/>
                    <w:rPr>
                      <w:rFonts w:hint="default"/>
                      <w:color w:val="auto"/>
                    </w:rPr>
                  </w:pPr>
                  <w:r>
                    <w:rPr>
                      <w:rFonts w:hint="eastAsia"/>
                      <w:color w:val="auto"/>
                      <w:u w:val="none"/>
                      <w:lang w:val="en-US" w:eastAsia="zh-CN"/>
                    </w:rPr>
                    <w:t>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718" w:type="dxa"/>
                  <w:vMerge w:val="continue"/>
                  <w:tcBorders>
                    <w:tl2br w:val="nil"/>
                    <w:tr2bl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ind w:left="0" w:right="0" w:firstLine="0" w:firstLineChars="0"/>
                    <w:textAlignment w:val="auto"/>
                    <w:rPr>
                      <w:rFonts w:hint="default"/>
                      <w:color w:val="auto"/>
                    </w:rPr>
                  </w:pPr>
                </w:p>
              </w:tc>
              <w:tc>
                <w:tcPr>
                  <w:tcW w:w="564"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firstLine="0" w:firstLineChars="0"/>
                    <w:rPr>
                      <w:rFonts w:hint="default"/>
                      <w:color w:val="auto"/>
                    </w:rPr>
                  </w:pPr>
                  <w:r>
                    <w:rPr>
                      <w:color w:val="auto"/>
                    </w:rPr>
                    <w:t>污染物排放管控</w:t>
                  </w:r>
                </w:p>
              </w:tc>
              <w:tc>
                <w:tcPr>
                  <w:tcW w:w="2565"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firstLine="0" w:firstLineChars="0"/>
                    <w:jc w:val="both"/>
                    <w:rPr>
                      <w:rFonts w:hint="default"/>
                      <w:color w:val="auto"/>
                    </w:rPr>
                  </w:pPr>
                  <w:r>
                    <w:rPr>
                      <w:color w:val="auto"/>
                    </w:rPr>
                    <w:t>加快补齐城镇污水处理短板，推进污水处理设施及配套管网建设，实施雨污分流系统改造，尽快实现管网全覆盖。</w:t>
                  </w:r>
                </w:p>
              </w:tc>
              <w:tc>
                <w:tcPr>
                  <w:tcW w:w="2402"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firstLine="0" w:firstLineChars="0"/>
                    <w:jc w:val="both"/>
                    <w:rPr>
                      <w:rFonts w:hint="default" w:ascii="Times New Roman" w:hAnsi="Times New Roman" w:eastAsia="宋体"/>
                      <w:color w:val="auto"/>
                      <w:u w:val="none"/>
                      <w:lang w:val="en-US" w:eastAsia="zh-CN"/>
                    </w:rPr>
                  </w:pPr>
                  <w:r>
                    <w:rPr>
                      <w:rFonts w:hAnsiTheme="minorEastAsia" w:eastAsiaTheme="minorEastAsia"/>
                      <w:color w:val="auto"/>
                      <w:sz w:val="21"/>
                      <w:szCs w:val="21"/>
                    </w:rPr>
                    <w:t>本项目无生产废水，生活污水经化粪池处理后，</w:t>
                  </w:r>
                  <w:r>
                    <w:rPr>
                      <w:rFonts w:hint="eastAsia" w:hAnsiTheme="minorEastAsia" w:eastAsiaTheme="minorEastAsia"/>
                      <w:color w:val="auto"/>
                      <w:sz w:val="21"/>
                      <w:szCs w:val="21"/>
                      <w:lang w:val="en-US" w:eastAsia="zh-CN"/>
                    </w:rPr>
                    <w:t>定期清运。</w:t>
                  </w:r>
                </w:p>
              </w:tc>
              <w:tc>
                <w:tcPr>
                  <w:tcW w:w="821"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firstLine="0" w:firstLineChars="0"/>
                    <w:rPr>
                      <w:rFonts w:hint="default"/>
                      <w:color w:val="auto"/>
                    </w:rPr>
                  </w:pPr>
                  <w:r>
                    <w:rPr>
                      <w:rFonts w:hint="eastAsia"/>
                      <w:color w:val="auto"/>
                      <w:lang w:val="en-US" w:eastAsia="zh-CN"/>
                    </w:rPr>
                    <w:t>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718" w:type="dxa"/>
                  <w:vMerge w:val="continue"/>
                  <w:tcBorders>
                    <w:tl2br w:val="nil"/>
                    <w:tr2bl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ind w:left="0" w:right="0" w:firstLine="0" w:firstLineChars="0"/>
                    <w:textAlignment w:val="auto"/>
                    <w:rPr>
                      <w:rFonts w:hint="default"/>
                      <w:color w:val="auto"/>
                    </w:rPr>
                  </w:pPr>
                </w:p>
              </w:tc>
              <w:tc>
                <w:tcPr>
                  <w:tcW w:w="564"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firstLine="0" w:firstLineChars="0"/>
                    <w:rPr>
                      <w:rFonts w:hint="default"/>
                      <w:color w:val="auto"/>
                    </w:rPr>
                  </w:pPr>
                  <w:r>
                    <w:rPr>
                      <w:color w:val="auto"/>
                    </w:rPr>
                    <w:t>环境风险防控</w:t>
                  </w:r>
                </w:p>
              </w:tc>
              <w:tc>
                <w:tcPr>
                  <w:tcW w:w="2565"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firstLine="0" w:firstLineChars="0"/>
                    <w:jc w:val="both"/>
                    <w:rPr>
                      <w:rFonts w:hint="default"/>
                      <w:color w:val="auto"/>
                    </w:rPr>
                  </w:pPr>
                  <w:r>
                    <w:rPr>
                      <w:color w:val="auto"/>
                    </w:rPr>
                    <w:t>加强水环境风险源日常管理，以化工园区污水处理厂和化工、制药、造纸等主要排污企业为重点，加强日常监测监控。</w:t>
                  </w:r>
                </w:p>
              </w:tc>
              <w:tc>
                <w:tcPr>
                  <w:tcW w:w="2402"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firstLine="0" w:firstLineChars="0"/>
                    <w:jc w:val="both"/>
                    <w:rPr>
                      <w:rFonts w:hint="default"/>
                      <w:color w:val="auto"/>
                    </w:rPr>
                  </w:pPr>
                  <w:r>
                    <w:rPr>
                      <w:color w:val="auto"/>
                    </w:rPr>
                    <w:t>本项目建成后按排污许可证自行监测要求，定期检测。</w:t>
                  </w:r>
                </w:p>
              </w:tc>
              <w:tc>
                <w:tcPr>
                  <w:tcW w:w="821"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firstLine="0" w:firstLineChars="0"/>
                    <w:rPr>
                      <w:rFonts w:hint="default"/>
                      <w:color w:val="auto"/>
                    </w:rPr>
                  </w:pPr>
                  <w:r>
                    <w:rPr>
                      <w:rFonts w:hint="eastAsia"/>
                      <w:color w:val="auto"/>
                      <w:lang w:val="en-US" w:eastAsia="zh-CN"/>
                    </w:rPr>
                    <w:t>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718" w:type="dxa"/>
                  <w:vMerge w:val="continue"/>
                  <w:tcBorders>
                    <w:tl2br w:val="nil"/>
                    <w:tr2bl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ind w:left="0" w:right="0" w:firstLine="0" w:firstLineChars="0"/>
                    <w:textAlignment w:val="auto"/>
                    <w:rPr>
                      <w:rFonts w:hint="default"/>
                      <w:color w:val="auto"/>
                    </w:rPr>
                  </w:pPr>
                </w:p>
              </w:tc>
              <w:tc>
                <w:tcPr>
                  <w:tcW w:w="564"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firstLine="0" w:firstLineChars="0"/>
                    <w:rPr>
                      <w:rFonts w:hint="default"/>
                      <w:color w:val="auto"/>
                    </w:rPr>
                  </w:pPr>
                  <w:r>
                    <w:rPr>
                      <w:color w:val="auto"/>
                    </w:rPr>
                    <w:t>资源利用效率</w:t>
                  </w:r>
                </w:p>
              </w:tc>
              <w:tc>
                <w:tcPr>
                  <w:tcW w:w="2565"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jc w:val="both"/>
                    <w:rPr>
                      <w:color w:val="auto"/>
                      <w:highlight w:val="none"/>
                    </w:rPr>
                  </w:pPr>
                  <w:r>
                    <w:rPr>
                      <w:color w:val="auto"/>
                      <w:highlight w:val="none"/>
                    </w:rPr>
                    <w:t>1.按照合理有序使用地表水、控制使用地下水、积极利用非常规水的要求，做好区域水资源统筹调配工作，逐步降低部分过度开发河流和区域的水资源开发利用强度，退减被挤占的生态用水。</w:t>
                  </w:r>
                </w:p>
                <w:p>
                  <w:pPr>
                    <w:pStyle w:val="28"/>
                    <w:keepNext w:val="0"/>
                    <w:keepLines w:val="0"/>
                    <w:suppressLineNumbers w:val="0"/>
                    <w:bidi w:val="0"/>
                    <w:spacing w:before="0" w:beforeAutospacing="0" w:after="0" w:afterAutospacing="0"/>
                    <w:ind w:left="0" w:right="0"/>
                    <w:jc w:val="both"/>
                    <w:rPr>
                      <w:color w:val="auto"/>
                    </w:rPr>
                  </w:pPr>
                  <w:r>
                    <w:rPr>
                      <w:color w:val="auto"/>
                    </w:rPr>
                    <w:t>2.在粮食核心区规模化推行高效节水灌溉；实施工业节水减排行动，大力推进工业水循环利用，推进节水型企业、节水型工业园区建设。</w:t>
                  </w:r>
                </w:p>
                <w:p>
                  <w:pPr>
                    <w:pStyle w:val="28"/>
                    <w:keepNext w:val="0"/>
                    <w:keepLines w:val="0"/>
                    <w:suppressLineNumbers w:val="0"/>
                    <w:bidi w:val="0"/>
                    <w:spacing w:before="0" w:beforeAutospacing="0" w:after="0" w:afterAutospacing="0"/>
                    <w:ind w:left="0" w:right="0" w:firstLine="0" w:firstLineChars="0"/>
                    <w:jc w:val="both"/>
                    <w:rPr>
                      <w:rFonts w:hint="default"/>
                      <w:color w:val="auto"/>
                    </w:rPr>
                  </w:pPr>
                  <w:r>
                    <w:rPr>
                      <w:color w:val="auto"/>
                    </w:rPr>
                    <w:t>3.重点推进南水北调受水区地下水压采工作，加快公共供水管网建设，逐步关停自备井。</w:t>
                  </w:r>
                </w:p>
              </w:tc>
              <w:tc>
                <w:tcPr>
                  <w:tcW w:w="2402"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jc w:val="both"/>
                    <w:rPr>
                      <w:color w:val="auto"/>
                      <w:highlight w:val="none"/>
                    </w:rPr>
                  </w:pPr>
                  <w:r>
                    <w:rPr>
                      <w:rFonts w:hint="eastAsia"/>
                      <w:color w:val="auto"/>
                      <w:highlight w:val="none"/>
                      <w:lang w:val="en-US" w:eastAsia="zh-CN"/>
                    </w:rPr>
                    <w:t>1.</w:t>
                  </w:r>
                  <w:r>
                    <w:rPr>
                      <w:color w:val="auto"/>
                      <w:highlight w:val="none"/>
                    </w:rPr>
                    <w:t>本项目供水</w:t>
                  </w:r>
                  <w:r>
                    <w:rPr>
                      <w:rFonts w:hint="eastAsia"/>
                      <w:color w:val="auto"/>
                      <w:highlight w:val="none"/>
                      <w:lang w:val="en-US" w:eastAsia="zh-CN"/>
                    </w:rPr>
                    <w:t>依托现有</w:t>
                  </w:r>
                  <w:r>
                    <w:rPr>
                      <w:rFonts w:hint="eastAsia" w:ascii="Times New Roman" w:hAnsi="Times New Roman" w:eastAsia="宋体"/>
                      <w:color w:val="auto"/>
                      <w:highlight w:val="none"/>
                      <w:lang w:val="en-US" w:eastAsia="zh-CN"/>
                    </w:rPr>
                    <w:t>供水管网供水</w:t>
                  </w:r>
                  <w:r>
                    <w:rPr>
                      <w:rFonts w:ascii="Times New Roman" w:hAnsi="Times New Roman" w:eastAsia="宋体"/>
                      <w:color w:val="auto"/>
                      <w:highlight w:val="none"/>
                    </w:rPr>
                    <w:t>。</w:t>
                  </w:r>
                </w:p>
                <w:p>
                  <w:pPr>
                    <w:pStyle w:val="28"/>
                    <w:keepNext w:val="0"/>
                    <w:keepLines w:val="0"/>
                    <w:suppressLineNumbers w:val="0"/>
                    <w:bidi w:val="0"/>
                    <w:spacing w:before="0" w:beforeAutospacing="0" w:after="0" w:afterAutospacing="0"/>
                    <w:ind w:left="0" w:right="0"/>
                    <w:jc w:val="both"/>
                    <w:rPr>
                      <w:rFonts w:hint="eastAsia"/>
                      <w:color w:val="auto"/>
                      <w:lang w:eastAsia="zh-CN"/>
                    </w:rPr>
                  </w:pPr>
                  <w:r>
                    <w:rPr>
                      <w:rFonts w:hint="eastAsia"/>
                      <w:color w:val="auto"/>
                      <w:lang w:val="en-US" w:eastAsia="zh-CN"/>
                    </w:rPr>
                    <w:t>2.本项目不涉及</w:t>
                  </w:r>
                  <w:r>
                    <w:rPr>
                      <w:color w:val="auto"/>
                    </w:rPr>
                    <w:t>灌溉</w:t>
                  </w:r>
                  <w:r>
                    <w:rPr>
                      <w:rFonts w:hint="eastAsia"/>
                      <w:color w:val="auto"/>
                      <w:lang w:eastAsia="zh-CN"/>
                    </w:rPr>
                    <w:t>。</w:t>
                  </w:r>
                </w:p>
                <w:p>
                  <w:pPr>
                    <w:pStyle w:val="28"/>
                    <w:keepNext w:val="0"/>
                    <w:keepLines w:val="0"/>
                    <w:suppressLineNumbers w:val="0"/>
                    <w:bidi w:val="0"/>
                    <w:spacing w:before="0" w:beforeAutospacing="0" w:after="0" w:afterAutospacing="0"/>
                    <w:ind w:left="0" w:right="0" w:firstLine="0" w:firstLineChars="0"/>
                    <w:jc w:val="both"/>
                    <w:rPr>
                      <w:rFonts w:hint="default"/>
                      <w:color w:val="auto"/>
                    </w:rPr>
                  </w:pPr>
                  <w:r>
                    <w:rPr>
                      <w:rFonts w:hint="eastAsia"/>
                      <w:color w:val="auto"/>
                      <w:lang w:val="en-US" w:eastAsia="zh-CN"/>
                    </w:rPr>
                    <w:t>3.本项目不涉及。</w:t>
                  </w:r>
                </w:p>
              </w:tc>
              <w:tc>
                <w:tcPr>
                  <w:tcW w:w="821"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firstLine="0" w:firstLineChars="0"/>
                    <w:rPr>
                      <w:rFonts w:hint="default"/>
                      <w:color w:val="auto"/>
                    </w:rPr>
                  </w:pPr>
                  <w:r>
                    <w:rPr>
                      <w:rFonts w:hint="eastAsia"/>
                      <w:color w:val="auto"/>
                      <w:lang w:val="en-US" w:eastAsia="zh-CN"/>
                    </w:rPr>
                    <w:t>相符</w:t>
                  </w:r>
                </w:p>
              </w:tc>
            </w:tr>
          </w:tbl>
          <w:p>
            <w:pPr>
              <w:keepNext w:val="0"/>
              <w:keepLines w:val="0"/>
              <w:suppressLineNumbers w:val="0"/>
              <w:bidi w:val="0"/>
              <w:spacing w:before="0" w:beforeAutospacing="0" w:after="0" w:afterAutospacing="0"/>
              <w:ind w:left="0" w:right="0"/>
              <w:rPr>
                <w:rFonts w:hint="default"/>
                <w:color w:val="auto"/>
              </w:rPr>
            </w:pPr>
            <w:r>
              <w:rPr>
                <w:rFonts w:hint="default"/>
                <w:color w:val="auto"/>
              </w:rPr>
              <w:t>由上表可知，本项目符合《河南省生态环境准入清单》中相关内容的要求。</w:t>
            </w:r>
          </w:p>
          <w:p>
            <w:pPr>
              <w:keepNext w:val="0"/>
              <w:keepLines w:val="0"/>
              <w:suppressLineNumbers w:val="0"/>
              <w:bidi w:val="0"/>
              <w:spacing w:before="0" w:beforeAutospacing="0" w:after="0" w:afterAutospacing="0"/>
              <w:ind w:left="0" w:right="0"/>
              <w:rPr>
                <w:rFonts w:hint="default"/>
                <w:b/>
                <w:bCs/>
                <w:color w:val="auto"/>
              </w:rPr>
            </w:pPr>
            <w:r>
              <w:rPr>
                <w:rFonts w:hint="default"/>
                <w:b/>
                <w:bCs/>
                <w:color w:val="auto"/>
              </w:rPr>
              <w:t>②本项目与新乡市“三线一单”生态环境准入清单（2023年版）（以下简称《清单》）要求相符性分析如下。</w:t>
            </w:r>
          </w:p>
          <w:p>
            <w:pPr>
              <w:keepNext w:val="0"/>
              <w:keepLines w:val="0"/>
              <w:suppressLineNumbers w:val="0"/>
              <w:spacing w:before="0" w:beforeAutospacing="0" w:after="0" w:afterAutospacing="0"/>
              <w:ind w:left="0" w:right="0"/>
              <w:rPr>
                <w:rFonts w:hint="eastAsia"/>
                <w:color w:val="auto"/>
              </w:rPr>
            </w:pPr>
            <w:r>
              <w:rPr>
                <w:rFonts w:hint="eastAsia"/>
                <w:color w:val="auto"/>
              </w:rPr>
              <w:t>本项目位于</w:t>
            </w:r>
            <w:r>
              <w:rPr>
                <w:rFonts w:hint="eastAsia"/>
                <w:color w:val="auto"/>
                <w:lang w:eastAsia="zh-CN"/>
              </w:rPr>
              <w:t>河南省新乡市卫滨区人民路西环路交叉口向西300米路南</w:t>
            </w:r>
            <w:r>
              <w:rPr>
                <w:rFonts w:hint="eastAsia"/>
                <w:color w:val="auto"/>
              </w:rPr>
              <w:t>，属于重</w:t>
            </w:r>
            <w:bookmarkStart w:id="43" w:name="OLE_LINK77"/>
            <w:r>
              <w:rPr>
                <w:rFonts w:hint="eastAsia"/>
                <w:color w:val="auto"/>
              </w:rPr>
              <w:t>点管</w:t>
            </w:r>
            <w:bookmarkEnd w:id="43"/>
            <w:r>
              <w:rPr>
                <w:rFonts w:hint="eastAsia"/>
                <w:color w:val="auto"/>
              </w:rPr>
              <w:t>控单元</w:t>
            </w:r>
            <w:r>
              <w:rPr>
                <w:rFonts w:hint="eastAsia"/>
                <w:color w:val="auto"/>
                <w:lang w:val="en-US" w:eastAsia="zh-CN"/>
              </w:rPr>
              <w:t>2</w:t>
            </w:r>
            <w:r>
              <w:rPr>
                <w:rFonts w:hint="eastAsia"/>
                <w:color w:val="auto"/>
              </w:rPr>
              <w:t>，本项目与</w:t>
            </w:r>
            <w:r>
              <w:rPr>
                <w:rFonts w:hint="eastAsia" w:ascii="Times New Roman" w:hAnsi="Times New Roman" w:eastAsia="宋体" w:cs="Times New Roman"/>
                <w:color w:val="auto"/>
                <w:lang w:val="en-US" w:eastAsia="zh-CN"/>
              </w:rPr>
              <w:t>卫滨区大气高排放区</w:t>
            </w:r>
            <w:r>
              <w:rPr>
                <w:rFonts w:hint="eastAsia"/>
                <w:color w:val="auto"/>
              </w:rPr>
              <w:t>生态环境准入清单相符性分析见下表。</w:t>
            </w:r>
          </w:p>
          <w:p>
            <w:pPr>
              <w:pStyle w:val="1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 xml:space="preserve">表 1-5    </w:t>
            </w:r>
            <w:r>
              <w:rPr>
                <w:rFonts w:hint="default"/>
                <w:color w:val="auto"/>
                <w:lang w:val="en-US" w:eastAsia="zh-CN"/>
              </w:rPr>
              <w:t>本项目与《清单》准入要求符合性分析</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4"/>
              <w:gridCol w:w="110"/>
              <w:gridCol w:w="474"/>
              <w:gridCol w:w="435"/>
              <w:gridCol w:w="740"/>
              <w:gridCol w:w="2068"/>
              <w:gridCol w:w="1593"/>
              <w:gridCol w:w="78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8"/>
                  <w:tcBorders>
                    <w:tl2br w:val="nil"/>
                    <w:tr2bl w:val="nil"/>
                  </w:tcBorders>
                  <w:noWrap w:val="0"/>
                  <w:vAlign w:val="center"/>
                </w:tcPr>
                <w:p>
                  <w:pPr>
                    <w:pStyle w:val="28"/>
                    <w:keepNext w:val="0"/>
                    <w:keepLines w:val="0"/>
                    <w:suppressLineNumbers w:val="0"/>
                    <w:bidi w:val="0"/>
                    <w:spacing w:before="0" w:beforeAutospacing="0" w:after="0" w:afterAutospacing="0"/>
                    <w:ind w:left="0" w:right="0"/>
                    <w:rPr>
                      <w:b/>
                      <w:bCs/>
                      <w:color w:val="auto"/>
                      <w:lang w:val="en-US" w:eastAsia="zh-CN"/>
                    </w:rPr>
                  </w:pPr>
                  <w:r>
                    <w:rPr>
                      <w:rFonts w:hint="eastAsia"/>
                      <w:b/>
                      <w:bCs/>
                      <w:color w:val="auto"/>
                      <w:lang w:val="en-US" w:eastAsia="zh-CN"/>
                    </w:rPr>
                    <w:t>新乡市生态环境总体准入要求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pct"/>
                  <w:tcBorders>
                    <w:tl2br w:val="nil"/>
                    <w:tr2bl w:val="nil"/>
                  </w:tcBorders>
                  <w:noWrap w:val="0"/>
                  <w:vAlign w:val="center"/>
                </w:tcPr>
                <w:p>
                  <w:pPr>
                    <w:pStyle w:val="28"/>
                    <w:keepNext w:val="0"/>
                    <w:keepLines w:val="0"/>
                    <w:suppressLineNumbers w:val="0"/>
                    <w:bidi w:val="0"/>
                    <w:spacing w:before="0" w:beforeAutospacing="0" w:after="0" w:afterAutospacing="0"/>
                    <w:ind w:left="0" w:right="0"/>
                    <w:rPr>
                      <w:b/>
                      <w:bCs/>
                      <w:color w:val="auto"/>
                    </w:rPr>
                  </w:pPr>
                  <w:r>
                    <w:rPr>
                      <w:rFonts w:hint="eastAsia"/>
                      <w:b/>
                      <w:bCs/>
                      <w:color w:val="auto"/>
                    </w:rPr>
                    <w:t>类别</w:t>
                  </w:r>
                </w:p>
              </w:tc>
              <w:tc>
                <w:tcPr>
                  <w:tcW w:w="2674" w:type="pct"/>
                  <w:gridSpan w:val="5"/>
                  <w:tcBorders>
                    <w:tl2br w:val="nil"/>
                    <w:tr2bl w:val="nil"/>
                  </w:tcBorders>
                  <w:noWrap w:val="0"/>
                  <w:vAlign w:val="center"/>
                </w:tcPr>
                <w:p>
                  <w:pPr>
                    <w:pStyle w:val="28"/>
                    <w:keepNext w:val="0"/>
                    <w:keepLines w:val="0"/>
                    <w:suppressLineNumbers w:val="0"/>
                    <w:bidi w:val="0"/>
                    <w:spacing w:before="0" w:beforeAutospacing="0" w:after="0" w:afterAutospacing="0"/>
                    <w:ind w:left="0" w:right="0"/>
                    <w:rPr>
                      <w:b/>
                      <w:bCs/>
                      <w:color w:val="auto"/>
                    </w:rPr>
                  </w:pPr>
                  <w:r>
                    <w:rPr>
                      <w:rFonts w:hint="eastAsia"/>
                      <w:b/>
                      <w:bCs/>
                      <w:color w:val="auto"/>
                    </w:rPr>
                    <w:t>准入要求</w:t>
                  </w:r>
                </w:p>
              </w:tc>
              <w:tc>
                <w:tcPr>
                  <w:tcW w:w="1113" w:type="pct"/>
                  <w:tcBorders>
                    <w:tl2br w:val="nil"/>
                    <w:tr2bl w:val="nil"/>
                  </w:tcBorders>
                  <w:noWrap w:val="0"/>
                  <w:vAlign w:val="center"/>
                </w:tcPr>
                <w:p>
                  <w:pPr>
                    <w:pStyle w:val="28"/>
                    <w:keepNext w:val="0"/>
                    <w:keepLines w:val="0"/>
                    <w:suppressLineNumbers w:val="0"/>
                    <w:bidi w:val="0"/>
                    <w:spacing w:before="0" w:beforeAutospacing="0" w:after="0" w:afterAutospacing="0"/>
                    <w:ind w:left="0" w:right="0"/>
                    <w:rPr>
                      <w:b/>
                      <w:bCs/>
                      <w:color w:val="auto"/>
                    </w:rPr>
                  </w:pPr>
                  <w:r>
                    <w:rPr>
                      <w:rFonts w:hint="eastAsia"/>
                      <w:b/>
                      <w:bCs/>
                      <w:color w:val="auto"/>
                    </w:rPr>
                    <w:t>本项目情况</w:t>
                  </w:r>
                </w:p>
              </w:tc>
              <w:tc>
                <w:tcPr>
                  <w:tcW w:w="543" w:type="pct"/>
                  <w:tcBorders>
                    <w:tl2br w:val="nil"/>
                    <w:tr2bl w:val="nil"/>
                  </w:tcBorders>
                  <w:noWrap w:val="0"/>
                  <w:vAlign w:val="center"/>
                </w:tcPr>
                <w:p>
                  <w:pPr>
                    <w:pStyle w:val="28"/>
                    <w:keepNext w:val="0"/>
                    <w:keepLines w:val="0"/>
                    <w:suppressLineNumbers w:val="0"/>
                    <w:bidi w:val="0"/>
                    <w:spacing w:before="0" w:beforeAutospacing="0" w:after="0" w:afterAutospacing="0"/>
                    <w:ind w:left="0" w:right="0"/>
                    <w:rPr>
                      <w:b/>
                      <w:bCs/>
                      <w:color w:val="auto"/>
                    </w:rPr>
                  </w:pPr>
                  <w:r>
                    <w:rPr>
                      <w:rFonts w:hint="eastAsia"/>
                      <w:b/>
                      <w:bCs/>
                      <w:color w:val="auto"/>
                    </w:rPr>
                    <w:t>相符性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pct"/>
                  <w:tcBorders>
                    <w:tl2br w:val="nil"/>
                    <w:tr2bl w:val="nil"/>
                  </w:tcBorders>
                  <w:noWrap w:val="0"/>
                  <w:vAlign w:val="center"/>
                </w:tcPr>
                <w:p>
                  <w:pPr>
                    <w:pStyle w:val="28"/>
                    <w:keepNext w:val="0"/>
                    <w:keepLines w:val="0"/>
                    <w:suppressLineNumbers w:val="0"/>
                    <w:bidi w:val="0"/>
                    <w:spacing w:before="0" w:beforeAutospacing="0" w:after="0" w:afterAutospacing="0"/>
                    <w:ind w:left="0" w:right="0"/>
                    <w:rPr>
                      <w:color w:val="auto"/>
                    </w:rPr>
                  </w:pPr>
                  <w:r>
                    <w:rPr>
                      <w:rFonts w:hint="eastAsia"/>
                      <w:color w:val="auto"/>
                    </w:rPr>
                    <w:t>空间布局约束</w:t>
                  </w:r>
                </w:p>
              </w:tc>
              <w:tc>
                <w:tcPr>
                  <w:tcW w:w="2674" w:type="pct"/>
                  <w:gridSpan w:val="5"/>
                  <w:tcBorders>
                    <w:tl2br w:val="nil"/>
                    <w:tr2bl w:val="nil"/>
                  </w:tcBorders>
                  <w:noWrap w:val="0"/>
                  <w:vAlign w:val="center"/>
                </w:tcPr>
                <w:p>
                  <w:pPr>
                    <w:pStyle w:val="28"/>
                    <w:keepNext w:val="0"/>
                    <w:keepLines w:val="0"/>
                    <w:suppressLineNumbers w:val="0"/>
                    <w:bidi w:val="0"/>
                    <w:spacing w:before="0" w:beforeAutospacing="0" w:after="0" w:afterAutospacing="0"/>
                    <w:ind w:left="0" w:right="0"/>
                    <w:jc w:val="both"/>
                    <w:rPr>
                      <w:color w:val="auto"/>
                    </w:rPr>
                  </w:pPr>
                  <w:r>
                    <w:rPr>
                      <w:rFonts w:hint="eastAsia"/>
                      <w:color w:val="auto"/>
                    </w:rPr>
                    <w:t>9、严格控制新建、扩建钢铁冶炼、水泥、有色金属冶炼、平板玻璃、化工、建筑陶瓷、耐火材料、砖瓦、矿山开采等行业的高排放、高污染项目，促进传统煤化工、水泥行业绿色转型、智能升级。城市建成区内人口密集区、环境脆弱敏感区周边的钢铁冶炼、水泥、有色金属冶炼、平板玻璃、化工、建筑陶瓷、耐火材料、砖瓦、矿山开采等行业中的高排放、高污染项目，应当限期搬迁、升级改造或者转型、退出。新建、改建、扩建“两高”项目须符合生态环境保护法律法规和相关法定规划，满足重点污染物排放总量控制、碳排放达峰目标、生态环境准入清单、相关规划环评和相应行业建设项目环境准入条件、环评文件审批原则要求。新建“两高”项目应按照《生态环境部办公厅关于加强重点行业建设项目区域削减措施监督管理的通知》（环办环评〔2020〕36号）要求，制定配套区域污染物削减方案，环境质量超标区域实行重点污染物排放倍量削减，环境质量达标区域原则上实施等量削减。新建耗煤项目还应严格按规定采取煤炭消费减量替代措施，不得使用高污染燃料作为煤炭减量替代措施。原则上禁止新增钢铁、电解铝、水泥、平板玻璃、传统煤化工（甲醇、合成氨）、焦化、铝用炭素、砖瓦窑、耐火材料、铅锌冶炼（含再生铅）等行业产能。</w:t>
                  </w:r>
                </w:p>
              </w:tc>
              <w:tc>
                <w:tcPr>
                  <w:tcW w:w="1113" w:type="pct"/>
                  <w:tcBorders>
                    <w:tl2br w:val="nil"/>
                    <w:tr2bl w:val="nil"/>
                  </w:tcBorders>
                  <w:noWrap w:val="0"/>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本项目</w:t>
                  </w:r>
                  <w:r>
                    <w:rPr>
                      <w:rFonts w:hint="eastAsia" w:ascii="Times New Roman" w:hAnsi="Times New Roman" w:eastAsia="宋体"/>
                      <w:color w:val="auto"/>
                      <w:lang w:val="en-US" w:eastAsia="zh-CN"/>
                    </w:rPr>
                    <w:t>属于</w:t>
                  </w:r>
                  <w:bookmarkStart w:id="44" w:name="OLE_LINK80"/>
                  <w:r>
                    <w:rPr>
                      <w:rFonts w:hint="eastAsia" w:ascii="Times New Roman" w:hAnsi="Times New Roman" w:eastAsia="宋体"/>
                      <w:color w:val="auto"/>
                      <w:lang w:val="en-US" w:eastAsia="zh-CN"/>
                    </w:rPr>
                    <w:t>废铅蓄电池收集贮存项目</w:t>
                  </w:r>
                  <w:bookmarkEnd w:id="44"/>
                  <w:r>
                    <w:rPr>
                      <w:rFonts w:hint="default"/>
                      <w:color w:val="auto"/>
                    </w:rPr>
                    <w:t>，</w:t>
                  </w:r>
                  <w:r>
                    <w:rPr>
                      <w:color w:val="auto"/>
                    </w:rPr>
                    <w:t>不属于新建、扩建钢铁冶炼、水泥、有色金属冶炼、平板玻璃、化工、建筑陶瓷、耐火材料、砖瓦、矿山开采等行业的高排放、高污染项目。</w:t>
                  </w:r>
                </w:p>
              </w:tc>
              <w:tc>
                <w:tcPr>
                  <w:tcW w:w="543" w:type="pct"/>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val="en-US" w:eastAsia="zh-CN"/>
                    </w:rPr>
                    <w:t>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pct"/>
                  <w:vMerge w:val="restart"/>
                  <w:tcBorders>
                    <w:tl2br w:val="nil"/>
                    <w:tr2bl w:val="nil"/>
                  </w:tcBorders>
                  <w:noWrap w:val="0"/>
                  <w:vAlign w:val="center"/>
                </w:tcPr>
                <w:p>
                  <w:pPr>
                    <w:pStyle w:val="28"/>
                    <w:keepNext w:val="0"/>
                    <w:keepLines w:val="0"/>
                    <w:suppressLineNumbers w:val="0"/>
                    <w:bidi w:val="0"/>
                    <w:spacing w:before="0" w:beforeAutospacing="0" w:after="0" w:afterAutospacing="0"/>
                    <w:ind w:left="0" w:right="0"/>
                    <w:rPr>
                      <w:color w:val="auto"/>
                    </w:rPr>
                  </w:pPr>
                  <w:r>
                    <w:rPr>
                      <w:rFonts w:hint="eastAsia"/>
                      <w:color w:val="auto"/>
                    </w:rPr>
                    <w:t>污染物排放管控</w:t>
                  </w:r>
                </w:p>
              </w:tc>
              <w:tc>
                <w:tcPr>
                  <w:tcW w:w="2674" w:type="pct"/>
                  <w:gridSpan w:val="5"/>
                  <w:tcBorders>
                    <w:tl2br w:val="nil"/>
                    <w:tr2bl w:val="nil"/>
                  </w:tcBorders>
                  <w:noWrap w:val="0"/>
                  <w:vAlign w:val="center"/>
                </w:tcPr>
                <w:p>
                  <w:pPr>
                    <w:pStyle w:val="28"/>
                    <w:keepNext w:val="0"/>
                    <w:keepLines w:val="0"/>
                    <w:suppressLineNumbers w:val="0"/>
                    <w:bidi w:val="0"/>
                    <w:spacing w:before="0" w:beforeAutospacing="0" w:after="0" w:afterAutospacing="0"/>
                    <w:ind w:left="0" w:right="0"/>
                    <w:jc w:val="both"/>
                    <w:rPr>
                      <w:color w:val="auto"/>
                    </w:rPr>
                  </w:pPr>
                  <w:r>
                    <w:rPr>
                      <w:rFonts w:hint="eastAsia"/>
                      <w:color w:val="auto"/>
                    </w:rPr>
                    <w:t>1、新、改、扩建项目主要污染物排放要求满足当地总量减排要求。</w:t>
                  </w:r>
                </w:p>
              </w:tc>
              <w:tc>
                <w:tcPr>
                  <w:tcW w:w="1113" w:type="pct"/>
                  <w:tcBorders>
                    <w:tl2br w:val="nil"/>
                    <w:tr2bl w:val="nil"/>
                  </w:tcBorders>
                  <w:noWrap w:val="0"/>
                  <w:vAlign w:val="center"/>
                </w:tcPr>
                <w:p>
                  <w:pPr>
                    <w:pStyle w:val="28"/>
                    <w:keepNext w:val="0"/>
                    <w:keepLines w:val="0"/>
                    <w:suppressLineNumbers w:val="0"/>
                    <w:bidi w:val="0"/>
                    <w:spacing w:before="0" w:beforeAutospacing="0" w:after="0" w:afterAutospacing="0"/>
                    <w:ind w:left="0" w:right="0"/>
                    <w:jc w:val="both"/>
                    <w:rPr>
                      <w:color w:val="auto"/>
                    </w:rPr>
                  </w:pPr>
                  <w:r>
                    <w:rPr>
                      <w:rFonts w:hint="eastAsia"/>
                      <w:color w:val="auto"/>
                    </w:rPr>
                    <w:t>本项目</w:t>
                  </w:r>
                  <w:r>
                    <w:rPr>
                      <w:rFonts w:hint="eastAsia"/>
                      <w:color w:val="auto"/>
                      <w:lang w:val="en-US" w:eastAsia="zh-CN"/>
                    </w:rPr>
                    <w:t>不</w:t>
                  </w:r>
                  <w:r>
                    <w:rPr>
                      <w:rFonts w:hint="eastAsia"/>
                      <w:color w:val="auto"/>
                    </w:rPr>
                    <w:t>新增主要污染物排放量。</w:t>
                  </w:r>
                </w:p>
              </w:tc>
              <w:tc>
                <w:tcPr>
                  <w:tcW w:w="543" w:type="pct"/>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pct"/>
                  <w:vMerge w:val="continue"/>
                  <w:tcBorders>
                    <w:tl2br w:val="nil"/>
                    <w:tr2bl w:val="nil"/>
                  </w:tcBorders>
                  <w:noWrap w:val="0"/>
                  <w:vAlign w:val="center"/>
                </w:tcPr>
                <w:p>
                  <w:pPr>
                    <w:pStyle w:val="28"/>
                    <w:keepNext w:val="0"/>
                    <w:keepLines w:val="0"/>
                    <w:suppressLineNumbers w:val="0"/>
                    <w:bidi w:val="0"/>
                    <w:spacing w:before="0" w:beforeAutospacing="0" w:after="0" w:afterAutospacing="0"/>
                    <w:ind w:left="0" w:right="0"/>
                    <w:rPr>
                      <w:color w:val="auto"/>
                      <w:lang w:val="en-US" w:eastAsia="zh-CN"/>
                    </w:rPr>
                  </w:pPr>
                </w:p>
              </w:tc>
              <w:tc>
                <w:tcPr>
                  <w:tcW w:w="2674" w:type="pct"/>
                  <w:gridSpan w:val="5"/>
                  <w:tcBorders>
                    <w:tl2br w:val="nil"/>
                    <w:tr2bl w:val="nil"/>
                  </w:tcBorders>
                  <w:noWrap w:val="0"/>
                  <w:vAlign w:val="center"/>
                </w:tcPr>
                <w:p>
                  <w:pPr>
                    <w:pStyle w:val="28"/>
                    <w:keepNext w:val="0"/>
                    <w:keepLines w:val="0"/>
                    <w:suppressLineNumbers w:val="0"/>
                    <w:bidi w:val="0"/>
                    <w:spacing w:before="0" w:beforeAutospacing="0" w:after="0" w:afterAutospacing="0"/>
                    <w:ind w:left="0" w:right="0"/>
                    <w:jc w:val="both"/>
                    <w:rPr>
                      <w:color w:val="auto"/>
                    </w:rPr>
                  </w:pPr>
                  <w:r>
                    <w:rPr>
                      <w:rFonts w:hint="eastAsia"/>
                      <w:color w:val="auto"/>
                    </w:rPr>
                    <w:t>8、国家、省绩效分级重点行业以及涉及锅炉炉窑的其他行业，新建、扩建项目污染物排放限值、污染治理措施、无组织排放控制水平、运输方式等达到A级绩效水平，改建项目污染物排放限值、污染治理措施、无组织排放控制水平、运输方式等达到B级以上绩效水平。</w:t>
                  </w:r>
                </w:p>
              </w:tc>
              <w:tc>
                <w:tcPr>
                  <w:tcW w:w="1113" w:type="pct"/>
                  <w:tcBorders>
                    <w:tl2br w:val="nil"/>
                    <w:tr2bl w:val="nil"/>
                  </w:tcBorders>
                  <w:noWrap w:val="0"/>
                  <w:vAlign w:val="center"/>
                </w:tcPr>
                <w:p>
                  <w:pPr>
                    <w:pStyle w:val="28"/>
                    <w:keepNext w:val="0"/>
                    <w:keepLines w:val="0"/>
                    <w:suppressLineNumbers w:val="0"/>
                    <w:bidi w:val="0"/>
                    <w:spacing w:before="0" w:beforeAutospacing="0" w:after="0" w:afterAutospacing="0"/>
                    <w:ind w:left="0" w:right="0"/>
                    <w:jc w:val="both"/>
                    <w:rPr>
                      <w:color w:val="auto"/>
                    </w:rPr>
                  </w:pPr>
                  <w:bookmarkStart w:id="45" w:name="OLE_LINK83"/>
                  <w:r>
                    <w:rPr>
                      <w:rFonts w:hint="eastAsia"/>
                      <w:color w:val="auto"/>
                    </w:rPr>
                    <w:t>本项目</w:t>
                  </w:r>
                  <w:r>
                    <w:rPr>
                      <w:rFonts w:hint="eastAsia"/>
                      <w:color w:val="auto"/>
                      <w:highlight w:val="none"/>
                      <w:lang w:val="en-US" w:eastAsia="zh-CN"/>
                    </w:rPr>
                    <w:t>不属于</w:t>
                  </w:r>
                  <w:r>
                    <w:rPr>
                      <w:rFonts w:hint="default" w:ascii="Times New Roman" w:hAnsi="Times New Roman" w:cs="Times New Roman" w:eastAsiaTheme="minorEastAsia"/>
                      <w:color w:val="auto"/>
                      <w:sz w:val="21"/>
                      <w:szCs w:val="21"/>
                      <w:highlight w:val="none"/>
                    </w:rPr>
                    <w:t>国家、省绩效分级重点行业</w:t>
                  </w:r>
                  <w:r>
                    <w:rPr>
                      <w:rFonts w:hint="eastAsia" w:ascii="Times New Roman" w:hAnsi="Times New Roman" w:cs="Times New Roman" w:eastAsiaTheme="minorEastAsia"/>
                      <w:color w:val="auto"/>
                      <w:sz w:val="21"/>
                      <w:szCs w:val="21"/>
                      <w:highlight w:val="none"/>
                      <w:lang w:eastAsia="zh-CN"/>
                    </w:rPr>
                    <w:t>。</w:t>
                  </w:r>
                  <w:bookmarkEnd w:id="45"/>
                </w:p>
              </w:tc>
              <w:tc>
                <w:tcPr>
                  <w:tcW w:w="543" w:type="pct"/>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pct"/>
                  <w:tcBorders>
                    <w:tl2br w:val="nil"/>
                    <w:tr2bl w:val="nil"/>
                  </w:tcBorders>
                  <w:noWrap w:val="0"/>
                  <w:vAlign w:val="center"/>
                </w:tcPr>
                <w:p>
                  <w:pPr>
                    <w:pStyle w:val="28"/>
                    <w:keepNext w:val="0"/>
                    <w:keepLines w:val="0"/>
                    <w:suppressLineNumbers w:val="0"/>
                    <w:bidi w:val="0"/>
                    <w:spacing w:before="0" w:beforeAutospacing="0" w:after="0" w:afterAutospacing="0"/>
                    <w:ind w:left="0" w:right="0"/>
                    <w:rPr>
                      <w:color w:val="auto"/>
                    </w:rPr>
                  </w:pPr>
                  <w:r>
                    <w:rPr>
                      <w:rFonts w:hint="eastAsia"/>
                      <w:color w:val="auto"/>
                    </w:rPr>
                    <w:t>环境风险防控</w:t>
                  </w:r>
                </w:p>
              </w:tc>
              <w:tc>
                <w:tcPr>
                  <w:tcW w:w="2674" w:type="pct"/>
                  <w:gridSpan w:val="5"/>
                  <w:tcBorders>
                    <w:tl2br w:val="nil"/>
                    <w:tr2bl w:val="nil"/>
                  </w:tcBorders>
                  <w:noWrap w:val="0"/>
                  <w:vAlign w:val="center"/>
                </w:tcPr>
                <w:p>
                  <w:pPr>
                    <w:pStyle w:val="28"/>
                    <w:keepNext w:val="0"/>
                    <w:keepLines w:val="0"/>
                    <w:suppressLineNumbers w:val="0"/>
                    <w:bidi w:val="0"/>
                    <w:spacing w:before="0" w:beforeAutospacing="0" w:after="0" w:afterAutospacing="0"/>
                    <w:ind w:left="0" w:right="0"/>
                    <w:jc w:val="both"/>
                    <w:rPr>
                      <w:color w:val="auto"/>
                    </w:rPr>
                  </w:pPr>
                  <w:r>
                    <w:rPr>
                      <w:rFonts w:hint="eastAsia"/>
                      <w:color w:val="auto"/>
                    </w:rPr>
                    <w:t>1、</w:t>
                  </w:r>
                  <w:r>
                    <w:rPr>
                      <w:color w:val="auto"/>
                    </w:rPr>
                    <w:t>地下水漏斗区、重金属污染区、生态严重退化区等区域：探索开展耕地轮作休耕试点；实行休耕补贴，引导农民自愿将重度污染耕地退出农业生产。</w:t>
                  </w:r>
                </w:p>
              </w:tc>
              <w:tc>
                <w:tcPr>
                  <w:tcW w:w="1113" w:type="pct"/>
                  <w:tcBorders>
                    <w:tl2br w:val="nil"/>
                    <w:tr2bl w:val="nil"/>
                  </w:tcBorders>
                  <w:noWrap w:val="0"/>
                  <w:vAlign w:val="center"/>
                </w:tcPr>
                <w:p>
                  <w:pPr>
                    <w:pStyle w:val="28"/>
                    <w:keepNext w:val="0"/>
                    <w:keepLines w:val="0"/>
                    <w:suppressLineNumbers w:val="0"/>
                    <w:bidi w:val="0"/>
                    <w:spacing w:before="0" w:beforeAutospacing="0" w:after="0" w:afterAutospacing="0"/>
                    <w:ind w:left="0" w:right="0"/>
                    <w:jc w:val="center"/>
                    <w:rPr>
                      <w:color w:val="auto"/>
                    </w:rPr>
                  </w:pPr>
                  <w:r>
                    <w:rPr>
                      <w:rFonts w:hint="eastAsia"/>
                      <w:color w:val="auto"/>
                    </w:rPr>
                    <w:t>不涉及</w:t>
                  </w:r>
                </w:p>
              </w:tc>
              <w:tc>
                <w:tcPr>
                  <w:tcW w:w="543" w:type="pct"/>
                  <w:tcBorders>
                    <w:tl2br w:val="nil"/>
                    <w:tr2bl w:val="nil"/>
                  </w:tcBorders>
                  <w:noWrap w:val="0"/>
                  <w:vAlign w:val="center"/>
                </w:tcPr>
                <w:p>
                  <w:pPr>
                    <w:pStyle w:val="28"/>
                    <w:keepNext w:val="0"/>
                    <w:keepLines w:val="0"/>
                    <w:suppressLineNumbers w:val="0"/>
                    <w:bidi w:val="0"/>
                    <w:spacing w:before="0" w:beforeAutospacing="0" w:after="0" w:afterAutospacing="0"/>
                    <w:ind w:left="0" w:right="0"/>
                    <w:jc w:val="center"/>
                    <w:rPr>
                      <w:rFonts w:hint="eastAsia"/>
                      <w:color w:val="auto"/>
                      <w:lang w:val="en-US" w:eastAsia="zh-CN"/>
                    </w:rPr>
                  </w:pPr>
                  <w:r>
                    <w:rPr>
                      <w:rFonts w:hint="eastAsia"/>
                      <w:color w:val="auto"/>
                      <w:lang w:val="en-US" w:eastAsia="zh-CN"/>
                    </w:rPr>
                    <w:t>不涉及</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pct"/>
                  <w:vMerge w:val="restart"/>
                  <w:tcBorders>
                    <w:tl2br w:val="nil"/>
                    <w:tr2bl w:val="nil"/>
                  </w:tcBorders>
                  <w:noWrap w:val="0"/>
                  <w:vAlign w:val="center"/>
                </w:tcPr>
                <w:p>
                  <w:pPr>
                    <w:pStyle w:val="28"/>
                    <w:keepNext w:val="0"/>
                    <w:keepLines w:val="0"/>
                    <w:suppressLineNumbers w:val="0"/>
                    <w:bidi w:val="0"/>
                    <w:spacing w:before="0" w:beforeAutospacing="0" w:after="0" w:afterAutospacing="0"/>
                    <w:ind w:left="0" w:right="0"/>
                    <w:rPr>
                      <w:color w:val="auto"/>
                    </w:rPr>
                  </w:pPr>
                  <w:r>
                    <w:rPr>
                      <w:rFonts w:hint="eastAsia"/>
                      <w:color w:val="auto"/>
                    </w:rPr>
                    <w:t>资源开发效率要求</w:t>
                  </w:r>
                </w:p>
              </w:tc>
              <w:tc>
                <w:tcPr>
                  <w:tcW w:w="2674" w:type="pct"/>
                  <w:gridSpan w:val="5"/>
                  <w:tcBorders>
                    <w:tl2br w:val="nil"/>
                    <w:tr2bl w:val="nil"/>
                  </w:tcBorders>
                  <w:noWrap w:val="0"/>
                  <w:vAlign w:val="center"/>
                </w:tcPr>
                <w:p>
                  <w:pPr>
                    <w:pStyle w:val="28"/>
                    <w:keepNext w:val="0"/>
                    <w:keepLines w:val="0"/>
                    <w:suppressLineNumbers w:val="0"/>
                    <w:bidi w:val="0"/>
                    <w:spacing w:before="0" w:beforeAutospacing="0" w:after="0" w:afterAutospacing="0"/>
                    <w:ind w:left="0" w:right="0"/>
                    <w:jc w:val="both"/>
                    <w:rPr>
                      <w:color w:val="auto"/>
                    </w:rPr>
                  </w:pPr>
                  <w:r>
                    <w:rPr>
                      <w:rFonts w:hint="eastAsia"/>
                      <w:color w:val="auto"/>
                    </w:rPr>
                    <w:t>1.“十四五”期间按照政府目标控制能耗增量指标。严控新增耗煤项目，新、改、扩建项目实施煤炭减量替代，重点削减非电力用煤。鼓励使用清洁燃料，重点区域建设项目原则上不新建燃煤自备锅炉。2023年底，全面淘汰35蒸吨/小时及以下的燃煤锅炉，鼓励淘汰4蒸吨/小时以下生物质锅炉，保留现有生物质锅炉应采用专用炉具，禁止掺烧煤炭、垃圾、工业固体废物等其他物料。</w:t>
                  </w:r>
                </w:p>
              </w:tc>
              <w:tc>
                <w:tcPr>
                  <w:tcW w:w="1113" w:type="pct"/>
                  <w:tcBorders>
                    <w:tl2br w:val="nil"/>
                    <w:tr2bl w:val="nil"/>
                  </w:tcBorders>
                  <w:noWrap w:val="0"/>
                  <w:vAlign w:val="center"/>
                </w:tcPr>
                <w:p>
                  <w:pPr>
                    <w:pStyle w:val="28"/>
                    <w:keepNext w:val="0"/>
                    <w:keepLines w:val="0"/>
                    <w:suppressLineNumbers w:val="0"/>
                    <w:bidi w:val="0"/>
                    <w:spacing w:before="0" w:beforeAutospacing="0" w:after="0" w:afterAutospacing="0"/>
                    <w:ind w:left="0" w:right="0"/>
                    <w:jc w:val="center"/>
                    <w:rPr>
                      <w:color w:val="auto"/>
                    </w:rPr>
                  </w:pPr>
                  <w:r>
                    <w:rPr>
                      <w:rFonts w:hint="eastAsia"/>
                      <w:color w:val="auto"/>
                    </w:rPr>
                    <w:t>不涉及</w:t>
                  </w:r>
                </w:p>
              </w:tc>
              <w:tc>
                <w:tcPr>
                  <w:tcW w:w="543" w:type="pct"/>
                  <w:tcBorders>
                    <w:tl2br w:val="nil"/>
                    <w:tr2bl w:val="nil"/>
                  </w:tcBorders>
                  <w:noWrap w:val="0"/>
                  <w:vAlign w:val="center"/>
                </w:tcPr>
                <w:p>
                  <w:pPr>
                    <w:pStyle w:val="28"/>
                    <w:keepNext w:val="0"/>
                    <w:keepLines w:val="0"/>
                    <w:suppressLineNumbers w:val="0"/>
                    <w:bidi w:val="0"/>
                    <w:spacing w:before="0" w:beforeAutospacing="0" w:after="0" w:afterAutospacing="0"/>
                    <w:ind w:left="0" w:right="0"/>
                    <w:jc w:val="center"/>
                    <w:rPr>
                      <w:rFonts w:hint="eastAsia"/>
                      <w:color w:val="auto"/>
                      <w:lang w:val="en-US" w:eastAsia="zh-CN"/>
                    </w:rPr>
                  </w:pPr>
                  <w:r>
                    <w:rPr>
                      <w:rFonts w:hint="eastAsia"/>
                      <w:color w:val="auto"/>
                      <w:lang w:val="en-US" w:eastAsia="zh-CN"/>
                    </w:rPr>
                    <w:t>不涉及</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pct"/>
                  <w:vMerge w:val="continue"/>
                  <w:tcBorders>
                    <w:tl2br w:val="nil"/>
                    <w:tr2bl w:val="nil"/>
                  </w:tcBorders>
                  <w:noWrap w:val="0"/>
                  <w:vAlign w:val="center"/>
                </w:tcPr>
                <w:p>
                  <w:pPr>
                    <w:pStyle w:val="28"/>
                    <w:keepNext w:val="0"/>
                    <w:keepLines w:val="0"/>
                    <w:suppressLineNumbers w:val="0"/>
                    <w:bidi w:val="0"/>
                    <w:spacing w:before="0" w:beforeAutospacing="0" w:after="0" w:afterAutospacing="0"/>
                    <w:ind w:left="0" w:right="0"/>
                    <w:rPr>
                      <w:color w:val="auto"/>
                      <w:lang w:val="en-US" w:eastAsia="zh-CN"/>
                    </w:rPr>
                  </w:pPr>
                </w:p>
              </w:tc>
              <w:tc>
                <w:tcPr>
                  <w:tcW w:w="2674" w:type="pct"/>
                  <w:gridSpan w:val="5"/>
                  <w:tcBorders>
                    <w:tl2br w:val="nil"/>
                    <w:tr2bl w:val="nil"/>
                  </w:tcBorders>
                  <w:noWrap w:val="0"/>
                  <w:vAlign w:val="center"/>
                </w:tcPr>
                <w:p>
                  <w:pPr>
                    <w:pStyle w:val="28"/>
                    <w:keepNext w:val="0"/>
                    <w:keepLines w:val="0"/>
                    <w:suppressLineNumbers w:val="0"/>
                    <w:bidi w:val="0"/>
                    <w:spacing w:before="0" w:beforeAutospacing="0" w:after="0" w:afterAutospacing="0"/>
                    <w:ind w:left="0" w:right="0"/>
                    <w:jc w:val="both"/>
                    <w:rPr>
                      <w:color w:val="auto"/>
                    </w:rPr>
                  </w:pPr>
                  <w:r>
                    <w:rPr>
                      <w:rFonts w:hint="eastAsia"/>
                      <w:color w:val="auto"/>
                    </w:rPr>
                    <w:t>4、按照合理有序使用地表水、控制使用地下水、积极利用非常规水源的要求，做好区域水资源统筹调配，逐步降低区域内的水资源开发利用强度，退减被挤占的生态用水，2030年全市浅层地下水开采控制在57390万立方米。</w:t>
                  </w:r>
                </w:p>
              </w:tc>
              <w:tc>
                <w:tcPr>
                  <w:tcW w:w="1113" w:type="pct"/>
                  <w:tcBorders>
                    <w:tl2br w:val="nil"/>
                    <w:tr2bl w:val="nil"/>
                  </w:tcBorders>
                  <w:noWrap w:val="0"/>
                  <w:vAlign w:val="center"/>
                </w:tcPr>
                <w:p>
                  <w:pPr>
                    <w:pStyle w:val="28"/>
                    <w:keepNext w:val="0"/>
                    <w:keepLines w:val="0"/>
                    <w:suppressLineNumbers w:val="0"/>
                    <w:bidi w:val="0"/>
                    <w:spacing w:before="0" w:beforeAutospacing="0" w:after="0" w:afterAutospacing="0"/>
                    <w:ind w:left="0" w:right="0"/>
                    <w:jc w:val="both"/>
                    <w:rPr>
                      <w:color w:val="auto"/>
                    </w:rPr>
                  </w:pPr>
                  <w:r>
                    <w:rPr>
                      <w:rFonts w:hint="default"/>
                      <w:color w:val="auto"/>
                    </w:rPr>
                    <w:t>本项目</w:t>
                  </w:r>
                  <w:r>
                    <w:rPr>
                      <w:rFonts w:hint="eastAsia"/>
                      <w:color w:val="auto"/>
                      <w:lang w:val="en-US" w:eastAsia="zh-CN"/>
                    </w:rPr>
                    <w:t>采用市政供水，不涉及地表水和地下水的使用</w:t>
                  </w:r>
                  <w:r>
                    <w:rPr>
                      <w:rFonts w:hint="default"/>
                      <w:color w:val="auto"/>
                    </w:rPr>
                    <w:t>。</w:t>
                  </w:r>
                </w:p>
              </w:tc>
              <w:tc>
                <w:tcPr>
                  <w:tcW w:w="543" w:type="pct"/>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8"/>
                  <w:tcBorders>
                    <w:tl2br w:val="nil"/>
                    <w:tr2bl w:val="nil"/>
                  </w:tcBorders>
                  <w:noWrap w:val="0"/>
                  <w:vAlign w:val="center"/>
                </w:tcPr>
                <w:p>
                  <w:pPr>
                    <w:pStyle w:val="28"/>
                    <w:keepNext w:val="0"/>
                    <w:keepLines w:val="0"/>
                    <w:suppressLineNumbers w:val="0"/>
                    <w:bidi w:val="0"/>
                    <w:spacing w:before="0" w:beforeAutospacing="0" w:after="0" w:afterAutospacing="0"/>
                    <w:ind w:left="0" w:right="0"/>
                    <w:rPr>
                      <w:b/>
                      <w:bCs/>
                      <w:color w:val="auto"/>
                      <w:lang w:val="en-US" w:eastAsia="zh-CN"/>
                    </w:rPr>
                  </w:pPr>
                  <w:r>
                    <w:rPr>
                      <w:rFonts w:hint="eastAsia"/>
                      <w:b/>
                      <w:bCs/>
                      <w:color w:val="auto"/>
                      <w:lang w:val="en-US" w:eastAsia="zh-CN"/>
                    </w:rPr>
                    <w:t>卫滨区分区管控单元生态环境准入清单</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4" w:type="pct"/>
                  <w:gridSpan w:val="2"/>
                  <w:tcBorders>
                    <w:tl2br w:val="nil"/>
                    <w:tr2bl w:val="nil"/>
                  </w:tcBorders>
                  <w:noWrap w:val="0"/>
                  <w:vAlign w:val="center"/>
                </w:tcPr>
                <w:p>
                  <w:pPr>
                    <w:pStyle w:val="28"/>
                    <w:keepNext w:val="0"/>
                    <w:keepLines w:val="0"/>
                    <w:suppressLineNumbers w:val="0"/>
                    <w:bidi w:val="0"/>
                    <w:spacing w:before="0" w:beforeAutospacing="0" w:after="0" w:afterAutospacing="0"/>
                    <w:ind w:left="0" w:right="0"/>
                    <w:rPr>
                      <w:b/>
                      <w:bCs/>
                      <w:color w:val="auto"/>
                      <w:lang w:val="en-US" w:eastAsia="zh-CN"/>
                    </w:rPr>
                  </w:pPr>
                  <w:r>
                    <w:rPr>
                      <w:b/>
                      <w:bCs/>
                      <w:color w:val="auto"/>
                      <w:lang w:val="en-US" w:eastAsia="zh-CN"/>
                    </w:rPr>
                    <w:t>管控单元编码</w:t>
                  </w:r>
                </w:p>
              </w:tc>
              <w:tc>
                <w:tcPr>
                  <w:tcW w:w="331" w:type="pct"/>
                  <w:tcBorders>
                    <w:tl2br w:val="nil"/>
                    <w:tr2bl w:val="nil"/>
                  </w:tcBorders>
                  <w:noWrap w:val="0"/>
                  <w:vAlign w:val="center"/>
                </w:tcPr>
                <w:p>
                  <w:pPr>
                    <w:pStyle w:val="28"/>
                    <w:keepNext w:val="0"/>
                    <w:keepLines w:val="0"/>
                    <w:suppressLineNumbers w:val="0"/>
                    <w:bidi w:val="0"/>
                    <w:spacing w:before="0" w:beforeAutospacing="0" w:after="0" w:afterAutospacing="0"/>
                    <w:ind w:left="0" w:right="0"/>
                    <w:rPr>
                      <w:b/>
                      <w:bCs/>
                      <w:color w:val="auto"/>
                      <w:lang w:val="en-US" w:eastAsia="zh-CN"/>
                    </w:rPr>
                  </w:pPr>
                  <w:r>
                    <w:rPr>
                      <w:b/>
                      <w:bCs/>
                      <w:color w:val="auto"/>
                      <w:lang w:val="en-US" w:eastAsia="zh-CN"/>
                    </w:rPr>
                    <w:t>单元分类</w:t>
                  </w:r>
                </w:p>
              </w:tc>
              <w:tc>
                <w:tcPr>
                  <w:tcW w:w="304" w:type="pct"/>
                  <w:tcBorders>
                    <w:tl2br w:val="nil"/>
                    <w:tr2bl w:val="nil"/>
                  </w:tcBorders>
                  <w:noWrap w:val="0"/>
                  <w:vAlign w:val="center"/>
                </w:tcPr>
                <w:p>
                  <w:pPr>
                    <w:pStyle w:val="28"/>
                    <w:keepNext w:val="0"/>
                    <w:keepLines w:val="0"/>
                    <w:suppressLineNumbers w:val="0"/>
                    <w:bidi w:val="0"/>
                    <w:spacing w:before="0" w:beforeAutospacing="0" w:after="0" w:afterAutospacing="0"/>
                    <w:ind w:left="0" w:right="0"/>
                    <w:rPr>
                      <w:b/>
                      <w:bCs/>
                      <w:color w:val="auto"/>
                      <w:lang w:val="en-US" w:eastAsia="zh-CN"/>
                    </w:rPr>
                  </w:pPr>
                  <w:r>
                    <w:rPr>
                      <w:b/>
                      <w:bCs/>
                      <w:color w:val="auto"/>
                      <w:lang w:val="en-US" w:eastAsia="zh-CN"/>
                    </w:rPr>
                    <w:t>单元名称</w:t>
                  </w:r>
                </w:p>
              </w:tc>
              <w:tc>
                <w:tcPr>
                  <w:tcW w:w="1962" w:type="pct"/>
                  <w:gridSpan w:val="2"/>
                  <w:tcBorders>
                    <w:tl2br w:val="nil"/>
                    <w:tr2bl w:val="nil"/>
                  </w:tcBorders>
                  <w:noWrap w:val="0"/>
                  <w:vAlign w:val="center"/>
                </w:tcPr>
                <w:p>
                  <w:pPr>
                    <w:pStyle w:val="28"/>
                    <w:keepNext w:val="0"/>
                    <w:keepLines w:val="0"/>
                    <w:suppressLineNumbers w:val="0"/>
                    <w:bidi w:val="0"/>
                    <w:spacing w:before="0" w:beforeAutospacing="0" w:after="0" w:afterAutospacing="0"/>
                    <w:ind w:left="0" w:right="0"/>
                    <w:rPr>
                      <w:b/>
                      <w:bCs/>
                      <w:color w:val="auto"/>
                      <w:lang w:val="en-US" w:eastAsia="zh-CN"/>
                    </w:rPr>
                  </w:pPr>
                  <w:r>
                    <w:rPr>
                      <w:b/>
                      <w:bCs/>
                      <w:color w:val="auto"/>
                      <w:lang w:val="en-US" w:eastAsia="zh-CN"/>
                    </w:rPr>
                    <w:t>管控要求</w:t>
                  </w:r>
                </w:p>
              </w:tc>
              <w:tc>
                <w:tcPr>
                  <w:tcW w:w="1113" w:type="pct"/>
                  <w:tcBorders>
                    <w:tl2br w:val="nil"/>
                    <w:tr2bl w:val="nil"/>
                  </w:tcBorders>
                  <w:noWrap w:val="0"/>
                  <w:vAlign w:val="center"/>
                </w:tcPr>
                <w:p>
                  <w:pPr>
                    <w:pStyle w:val="28"/>
                    <w:keepNext w:val="0"/>
                    <w:keepLines w:val="0"/>
                    <w:suppressLineNumbers w:val="0"/>
                    <w:bidi w:val="0"/>
                    <w:spacing w:before="0" w:beforeAutospacing="0" w:after="0" w:afterAutospacing="0"/>
                    <w:ind w:left="0" w:right="0"/>
                    <w:rPr>
                      <w:b/>
                      <w:bCs/>
                      <w:color w:val="auto"/>
                      <w:lang w:val="en-US" w:eastAsia="zh-CN"/>
                    </w:rPr>
                  </w:pPr>
                  <w:r>
                    <w:rPr>
                      <w:b/>
                      <w:bCs/>
                      <w:color w:val="auto"/>
                      <w:lang w:val="en-US" w:eastAsia="zh-CN"/>
                    </w:rPr>
                    <w:t>本项目相符性</w:t>
                  </w:r>
                </w:p>
              </w:tc>
              <w:tc>
                <w:tcPr>
                  <w:tcW w:w="543" w:type="pct"/>
                  <w:tcBorders>
                    <w:tl2br w:val="nil"/>
                    <w:tr2bl w:val="nil"/>
                  </w:tcBorders>
                  <w:noWrap w:val="0"/>
                  <w:vAlign w:val="center"/>
                </w:tcPr>
                <w:p>
                  <w:pPr>
                    <w:pStyle w:val="28"/>
                    <w:keepNext w:val="0"/>
                    <w:keepLines w:val="0"/>
                    <w:suppressLineNumbers w:val="0"/>
                    <w:bidi w:val="0"/>
                    <w:spacing w:before="0" w:beforeAutospacing="0" w:after="0" w:afterAutospacing="0"/>
                    <w:ind w:left="0" w:right="0"/>
                    <w:rPr>
                      <w:b/>
                      <w:bCs/>
                      <w:color w:val="auto"/>
                      <w:lang w:val="en-US" w:eastAsia="zh-CN"/>
                    </w:rPr>
                  </w:pPr>
                  <w:r>
                    <w:rPr>
                      <w:b/>
                      <w:bCs/>
                      <w:color w:val="auto"/>
                      <w:lang w:val="en-US" w:eastAsia="zh-CN"/>
                    </w:rPr>
                    <w:t>对比结果</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744" w:type="pct"/>
                  <w:gridSpan w:val="2"/>
                  <w:vMerge w:val="restart"/>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ZH41070</w:t>
                  </w:r>
                </w:p>
                <w:p>
                  <w:pPr>
                    <w:pStyle w:val="28"/>
                    <w:keepNext w:val="0"/>
                    <w:keepLines w:val="0"/>
                    <w:suppressLineNumbers w:val="0"/>
                    <w:bidi w:val="0"/>
                    <w:spacing w:before="0" w:beforeAutospacing="0" w:after="0" w:afterAutospacing="0"/>
                    <w:ind w:left="0" w:right="0"/>
                    <w:rPr>
                      <w:rFonts w:hint="default"/>
                      <w:color w:val="auto"/>
                      <w:lang w:val="en-US" w:eastAsia="zh-CN"/>
                    </w:rPr>
                  </w:pPr>
                  <w:r>
                    <w:rPr>
                      <w:rFonts w:hint="eastAsia" w:ascii="Times New Roman" w:hAnsi="Times New Roman" w:eastAsia="宋体" w:cs="Times New Roman"/>
                      <w:color w:val="auto"/>
                      <w:lang w:val="en-US" w:eastAsia="zh-CN"/>
                    </w:rPr>
                    <w:t>320002</w:t>
                  </w:r>
                </w:p>
              </w:tc>
              <w:tc>
                <w:tcPr>
                  <w:tcW w:w="331" w:type="pct"/>
                  <w:vMerge w:val="restart"/>
                  <w:tcBorders>
                    <w:tl2br w:val="nil"/>
                    <w:tr2bl w:val="nil"/>
                  </w:tcBorders>
                  <w:noWrap w:val="0"/>
                  <w:vAlign w:val="center"/>
                </w:tcPr>
                <w:p>
                  <w:pPr>
                    <w:pStyle w:val="28"/>
                    <w:keepNext w:val="0"/>
                    <w:keepLines w:val="0"/>
                    <w:suppressLineNumbers w:val="0"/>
                    <w:bidi w:val="0"/>
                    <w:spacing w:before="0" w:beforeAutospacing="0" w:after="0" w:afterAutospacing="0"/>
                    <w:ind w:left="0" w:right="0"/>
                    <w:rPr>
                      <w:color w:val="auto"/>
                      <w:lang w:val="en-US" w:eastAsia="zh-CN"/>
                    </w:rPr>
                  </w:pPr>
                  <w:r>
                    <w:rPr>
                      <w:rFonts w:hint="eastAsia"/>
                      <w:color w:val="auto"/>
                      <w:lang w:val="en-US" w:eastAsia="zh-CN"/>
                    </w:rPr>
                    <w:t>重点</w:t>
                  </w:r>
                  <w:r>
                    <w:rPr>
                      <w:color w:val="auto"/>
                      <w:lang w:val="en-US" w:eastAsia="zh-CN"/>
                    </w:rPr>
                    <w:t>管控单元</w:t>
                  </w:r>
                  <w:r>
                    <w:rPr>
                      <w:rFonts w:hint="eastAsia"/>
                      <w:color w:val="auto"/>
                      <w:lang w:val="en-US" w:eastAsia="zh-CN"/>
                    </w:rPr>
                    <w:t>2</w:t>
                  </w:r>
                </w:p>
              </w:tc>
              <w:tc>
                <w:tcPr>
                  <w:tcW w:w="304" w:type="pct"/>
                  <w:vMerge w:val="restart"/>
                  <w:tcBorders>
                    <w:tl2br w:val="nil"/>
                    <w:tr2bl w:val="nil"/>
                  </w:tcBorders>
                  <w:noWrap w:val="0"/>
                  <w:vAlign w:val="center"/>
                </w:tcPr>
                <w:p>
                  <w:pPr>
                    <w:pStyle w:val="28"/>
                    <w:keepNext w:val="0"/>
                    <w:keepLines w:val="0"/>
                    <w:suppressLineNumbers w:val="0"/>
                    <w:bidi w:val="0"/>
                    <w:spacing w:before="0" w:beforeAutospacing="0" w:after="0" w:afterAutospacing="0"/>
                    <w:ind w:left="0" w:right="0"/>
                    <w:rPr>
                      <w:color w:val="auto"/>
                      <w:lang w:val="en-US" w:eastAsia="zh-CN"/>
                    </w:rPr>
                  </w:pPr>
                  <w:r>
                    <w:rPr>
                      <w:rFonts w:hint="eastAsia" w:ascii="Times New Roman" w:hAnsi="Times New Roman" w:eastAsia="宋体" w:cs="Times New Roman"/>
                      <w:color w:val="auto"/>
                      <w:lang w:val="en-US" w:eastAsia="zh-CN"/>
                    </w:rPr>
                    <w:t>卫滨区大气高排放区</w:t>
                  </w:r>
                </w:p>
              </w:tc>
              <w:tc>
                <w:tcPr>
                  <w:tcW w:w="517" w:type="pct"/>
                  <w:vMerge w:val="restart"/>
                  <w:tcBorders>
                    <w:tl2br w:val="nil"/>
                    <w:tr2bl w:val="nil"/>
                  </w:tcBorders>
                  <w:noWrap w:val="0"/>
                  <w:vAlign w:val="center"/>
                </w:tcPr>
                <w:p>
                  <w:pPr>
                    <w:pStyle w:val="28"/>
                    <w:keepNext w:val="0"/>
                    <w:keepLines w:val="0"/>
                    <w:suppressLineNumbers w:val="0"/>
                    <w:bidi w:val="0"/>
                    <w:spacing w:before="0" w:beforeAutospacing="0" w:after="0" w:afterAutospacing="0"/>
                    <w:ind w:left="0" w:right="0"/>
                    <w:rPr>
                      <w:color w:val="auto"/>
                      <w:lang w:val="en-US" w:eastAsia="zh-CN"/>
                    </w:rPr>
                  </w:pPr>
                  <w:r>
                    <w:rPr>
                      <w:rFonts w:hint="eastAsia"/>
                      <w:color w:val="auto"/>
                      <w:lang w:val="en-US" w:eastAsia="zh-CN"/>
                    </w:rPr>
                    <w:t>空间布局约束</w:t>
                  </w:r>
                </w:p>
              </w:tc>
              <w:tc>
                <w:tcPr>
                  <w:tcW w:w="1445" w:type="pct"/>
                  <w:tcBorders>
                    <w:tl2br w:val="nil"/>
                    <w:tr2bl w:val="nil"/>
                  </w:tcBorders>
                  <w:noWrap w:val="0"/>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1、严格控制新建、扩建高排放、高污染项目，包括钢铁、水泥、有色、平板玻璃、建筑陶瓷等行业及其他排放重金属、持久性有机污染物的工业项目等。</w:t>
                  </w:r>
                </w:p>
              </w:tc>
              <w:tc>
                <w:tcPr>
                  <w:tcW w:w="1113" w:type="pct"/>
                  <w:tcBorders>
                    <w:tl2br w:val="nil"/>
                    <w:tr2bl w:val="nil"/>
                  </w:tcBorders>
                  <w:noWrap w:val="0"/>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本项目为</w:t>
                  </w:r>
                  <w:bookmarkStart w:id="46" w:name="OLE_LINK8"/>
                  <w:r>
                    <w:rPr>
                      <w:rFonts w:hint="eastAsia" w:ascii="Times New Roman" w:hAnsi="Times New Roman" w:eastAsia="宋体"/>
                      <w:color w:val="auto"/>
                      <w:lang w:val="en-US" w:eastAsia="zh-CN"/>
                    </w:rPr>
                    <w:t>废铅蓄电池收集贮存项目</w:t>
                  </w:r>
                  <w:bookmarkEnd w:id="46"/>
                  <w:r>
                    <w:rPr>
                      <w:rFonts w:hint="eastAsia" w:ascii="Times New Roman" w:hAnsi="Times New Roman" w:eastAsia="宋体"/>
                      <w:color w:val="auto"/>
                      <w:lang w:val="en-US" w:eastAsia="zh-CN"/>
                    </w:rPr>
                    <w:t>，不属于高排放、高污染项目，不排放重金属、持久性有机污染物。</w:t>
                  </w:r>
                </w:p>
              </w:tc>
              <w:tc>
                <w:tcPr>
                  <w:tcW w:w="543" w:type="pct"/>
                  <w:tcBorders>
                    <w:tl2br w:val="nil"/>
                    <w:tr2bl w:val="nil"/>
                  </w:tcBorders>
                  <w:noWrap w:val="0"/>
                  <w:vAlign w:val="center"/>
                </w:tcPr>
                <w:p>
                  <w:pPr>
                    <w:pStyle w:val="28"/>
                    <w:keepNext w:val="0"/>
                    <w:keepLines w:val="0"/>
                    <w:suppressLineNumbers w:val="0"/>
                    <w:bidi w:val="0"/>
                    <w:spacing w:before="0" w:beforeAutospacing="0" w:after="0" w:afterAutospacing="0"/>
                    <w:ind w:left="0" w:right="0"/>
                    <w:rPr>
                      <w:color w:val="auto"/>
                      <w:lang w:val="en-US" w:eastAsia="zh-CN"/>
                    </w:rPr>
                  </w:pPr>
                  <w:r>
                    <w:rPr>
                      <w:color w:val="auto"/>
                      <w:lang w:val="en-US" w:eastAsia="zh-CN"/>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744" w:type="pct"/>
                  <w:gridSpan w:val="2"/>
                  <w:vMerge w:val="continue"/>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eastAsia"/>
                      <w:color w:val="auto"/>
                      <w:lang w:val="en-US" w:eastAsia="zh-CN"/>
                    </w:rPr>
                  </w:pPr>
                </w:p>
              </w:tc>
              <w:tc>
                <w:tcPr>
                  <w:tcW w:w="331" w:type="pct"/>
                  <w:vMerge w:val="continue"/>
                  <w:tcBorders>
                    <w:tl2br w:val="nil"/>
                    <w:tr2bl w:val="nil"/>
                  </w:tcBorders>
                  <w:noWrap w:val="0"/>
                  <w:vAlign w:val="center"/>
                </w:tcPr>
                <w:p>
                  <w:pPr>
                    <w:pStyle w:val="28"/>
                    <w:keepNext w:val="0"/>
                    <w:keepLines w:val="0"/>
                    <w:suppressLineNumbers w:val="0"/>
                    <w:bidi w:val="0"/>
                    <w:spacing w:before="0" w:beforeAutospacing="0" w:after="0" w:afterAutospacing="0"/>
                    <w:ind w:left="0" w:right="0"/>
                    <w:rPr>
                      <w:color w:val="auto"/>
                      <w:lang w:val="en-US" w:eastAsia="zh-CN"/>
                    </w:rPr>
                  </w:pPr>
                </w:p>
              </w:tc>
              <w:tc>
                <w:tcPr>
                  <w:tcW w:w="304" w:type="pct"/>
                  <w:vMerge w:val="continue"/>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eastAsia"/>
                      <w:color w:val="auto"/>
                      <w:lang w:val="en-US" w:eastAsia="zh-CN"/>
                    </w:rPr>
                  </w:pPr>
                </w:p>
              </w:tc>
              <w:tc>
                <w:tcPr>
                  <w:tcW w:w="517" w:type="pct"/>
                  <w:vMerge w:val="continue"/>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eastAsia"/>
                      <w:color w:val="auto"/>
                      <w:lang w:val="en-US" w:eastAsia="zh-CN"/>
                    </w:rPr>
                  </w:pPr>
                </w:p>
              </w:tc>
              <w:tc>
                <w:tcPr>
                  <w:tcW w:w="1445" w:type="pct"/>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rPr>
                    <w:t>2、严格控制新、改、扩建“两高”项目</w:t>
                  </w:r>
                </w:p>
              </w:tc>
              <w:tc>
                <w:tcPr>
                  <w:tcW w:w="1113" w:type="pct"/>
                  <w:tcBorders>
                    <w:tl2br w:val="nil"/>
                    <w:tr2bl w:val="nil"/>
                  </w:tcBorders>
                  <w:noWrap w:val="0"/>
                  <w:vAlign w:val="center"/>
                </w:tcPr>
                <w:p>
                  <w:pPr>
                    <w:pStyle w:val="28"/>
                    <w:keepNext w:val="0"/>
                    <w:keepLines w:val="0"/>
                    <w:suppressLineNumbers w:val="0"/>
                    <w:bidi w:val="0"/>
                    <w:spacing w:before="0" w:beforeAutospacing="0" w:after="0" w:afterAutospacing="0"/>
                    <w:ind w:left="0" w:right="0"/>
                    <w:jc w:val="both"/>
                    <w:rPr>
                      <w:color w:val="auto"/>
                      <w:lang w:val="en-US" w:eastAsia="zh-CN"/>
                    </w:rPr>
                  </w:pPr>
                  <w:r>
                    <w:rPr>
                      <w:color w:val="auto"/>
                      <w:lang w:val="en-US" w:eastAsia="zh-CN"/>
                    </w:rPr>
                    <w:t>本项目</w:t>
                  </w:r>
                  <w:r>
                    <w:rPr>
                      <w:rFonts w:hint="eastAsia"/>
                      <w:color w:val="auto"/>
                      <w:lang w:val="en-US" w:eastAsia="zh-CN"/>
                    </w:rPr>
                    <w:t>不属于</w:t>
                  </w:r>
                  <w:r>
                    <w:rPr>
                      <w:rFonts w:hint="eastAsia"/>
                      <w:color w:val="auto"/>
                    </w:rPr>
                    <w:t>“两高”项目</w:t>
                  </w:r>
                  <w:r>
                    <w:rPr>
                      <w:rFonts w:hint="eastAsia"/>
                      <w:color w:val="auto"/>
                      <w:lang w:val="en-US" w:eastAsia="zh-CN"/>
                    </w:rPr>
                    <w:t>。</w:t>
                  </w:r>
                </w:p>
              </w:tc>
              <w:tc>
                <w:tcPr>
                  <w:tcW w:w="543" w:type="pct"/>
                  <w:tcBorders>
                    <w:tl2br w:val="nil"/>
                    <w:tr2bl w:val="nil"/>
                  </w:tcBorders>
                  <w:noWrap w:val="0"/>
                  <w:vAlign w:val="center"/>
                </w:tcPr>
                <w:p>
                  <w:pPr>
                    <w:pStyle w:val="28"/>
                    <w:keepNext w:val="0"/>
                    <w:keepLines w:val="0"/>
                    <w:suppressLineNumbers w:val="0"/>
                    <w:bidi w:val="0"/>
                    <w:spacing w:before="0" w:beforeAutospacing="0" w:after="0" w:afterAutospacing="0"/>
                    <w:ind w:left="0" w:right="0"/>
                    <w:rPr>
                      <w:color w:val="auto"/>
                      <w:lang w:val="en-US" w:eastAsia="zh-CN"/>
                    </w:rPr>
                  </w:pPr>
                  <w:r>
                    <w:rPr>
                      <w:color w:val="auto"/>
                      <w:lang w:val="en-US" w:eastAsia="zh-CN"/>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4" w:type="pct"/>
                  <w:gridSpan w:val="2"/>
                  <w:vMerge w:val="continue"/>
                  <w:tcBorders>
                    <w:tl2br w:val="nil"/>
                    <w:tr2bl w:val="nil"/>
                  </w:tcBorders>
                  <w:noWrap w:val="0"/>
                  <w:vAlign w:val="center"/>
                </w:tcPr>
                <w:p>
                  <w:pPr>
                    <w:pStyle w:val="28"/>
                    <w:keepNext w:val="0"/>
                    <w:keepLines w:val="0"/>
                    <w:suppressLineNumbers w:val="0"/>
                    <w:bidi w:val="0"/>
                    <w:spacing w:before="0" w:beforeAutospacing="0" w:after="0" w:afterAutospacing="0"/>
                    <w:ind w:left="0" w:right="0"/>
                    <w:rPr>
                      <w:color w:val="auto"/>
                      <w:lang w:val="en-US" w:eastAsia="zh-CN"/>
                    </w:rPr>
                  </w:pPr>
                </w:p>
              </w:tc>
              <w:tc>
                <w:tcPr>
                  <w:tcW w:w="331" w:type="pct"/>
                  <w:vMerge w:val="continue"/>
                  <w:tcBorders>
                    <w:tl2br w:val="nil"/>
                    <w:tr2bl w:val="nil"/>
                  </w:tcBorders>
                  <w:noWrap w:val="0"/>
                  <w:vAlign w:val="center"/>
                </w:tcPr>
                <w:p>
                  <w:pPr>
                    <w:pStyle w:val="28"/>
                    <w:keepNext w:val="0"/>
                    <w:keepLines w:val="0"/>
                    <w:suppressLineNumbers w:val="0"/>
                    <w:bidi w:val="0"/>
                    <w:spacing w:before="0" w:beforeAutospacing="0" w:after="0" w:afterAutospacing="0"/>
                    <w:ind w:left="0" w:right="0"/>
                    <w:rPr>
                      <w:color w:val="auto"/>
                      <w:lang w:val="en-US" w:eastAsia="zh-CN"/>
                    </w:rPr>
                  </w:pPr>
                </w:p>
              </w:tc>
              <w:tc>
                <w:tcPr>
                  <w:tcW w:w="304" w:type="pct"/>
                  <w:vMerge w:val="continue"/>
                  <w:tcBorders>
                    <w:tl2br w:val="nil"/>
                    <w:tr2bl w:val="nil"/>
                  </w:tcBorders>
                  <w:noWrap w:val="0"/>
                  <w:vAlign w:val="center"/>
                </w:tcPr>
                <w:p>
                  <w:pPr>
                    <w:pStyle w:val="28"/>
                    <w:keepNext w:val="0"/>
                    <w:keepLines w:val="0"/>
                    <w:suppressLineNumbers w:val="0"/>
                    <w:bidi w:val="0"/>
                    <w:spacing w:before="0" w:beforeAutospacing="0" w:after="0" w:afterAutospacing="0"/>
                    <w:ind w:left="0" w:right="0"/>
                    <w:rPr>
                      <w:color w:val="auto"/>
                      <w:lang w:val="en-US" w:eastAsia="zh-CN"/>
                    </w:rPr>
                  </w:pPr>
                </w:p>
              </w:tc>
              <w:tc>
                <w:tcPr>
                  <w:tcW w:w="517" w:type="pct"/>
                  <w:vMerge w:val="restart"/>
                  <w:tcBorders>
                    <w:tl2br w:val="nil"/>
                    <w:tr2bl w:val="nil"/>
                  </w:tcBorders>
                  <w:noWrap w:val="0"/>
                  <w:vAlign w:val="center"/>
                </w:tcPr>
                <w:p>
                  <w:pPr>
                    <w:pStyle w:val="28"/>
                    <w:keepNext w:val="0"/>
                    <w:keepLines w:val="0"/>
                    <w:suppressLineNumbers w:val="0"/>
                    <w:bidi w:val="0"/>
                    <w:spacing w:before="0" w:beforeAutospacing="0" w:after="0" w:afterAutospacing="0"/>
                    <w:ind w:left="0" w:right="0"/>
                    <w:rPr>
                      <w:color w:val="auto"/>
                      <w:lang w:val="en-US" w:eastAsia="zh-CN"/>
                    </w:rPr>
                  </w:pPr>
                  <w:r>
                    <w:rPr>
                      <w:rFonts w:hint="eastAsia"/>
                      <w:color w:val="auto"/>
                      <w:lang w:val="en-US" w:eastAsia="zh-CN"/>
                    </w:rPr>
                    <w:t>污染物排放管控</w:t>
                  </w:r>
                </w:p>
              </w:tc>
              <w:tc>
                <w:tcPr>
                  <w:tcW w:w="1445" w:type="pct"/>
                  <w:tcBorders>
                    <w:tl2br w:val="nil"/>
                    <w:tr2bl w:val="nil"/>
                  </w:tcBorders>
                  <w:noWrap w:val="0"/>
                  <w:vAlign w:val="center"/>
                </w:tcPr>
                <w:p>
                  <w:pPr>
                    <w:pStyle w:val="28"/>
                    <w:keepNext w:val="0"/>
                    <w:keepLines w:val="0"/>
                    <w:suppressLineNumbers w:val="0"/>
                    <w:bidi w:val="0"/>
                    <w:spacing w:before="0" w:beforeAutospacing="0" w:after="0" w:afterAutospacing="0"/>
                    <w:ind w:left="0" w:right="0"/>
                    <w:rPr>
                      <w:color w:val="auto"/>
                      <w:lang w:val="en-US" w:eastAsia="zh-CN"/>
                    </w:rPr>
                  </w:pPr>
                  <w:r>
                    <w:rPr>
                      <w:rFonts w:hint="eastAsia"/>
                      <w:color w:val="auto"/>
                      <w:lang w:val="en-US" w:eastAsia="zh-CN"/>
                    </w:rPr>
                    <w:t>1.</w:t>
                  </w:r>
                  <w:bookmarkStart w:id="47" w:name="OLE_LINK81"/>
                  <w:r>
                    <w:rPr>
                      <w:rFonts w:hint="eastAsia"/>
                      <w:color w:val="auto"/>
                      <w:lang w:val="en-US" w:eastAsia="zh-CN"/>
                    </w:rPr>
                    <w:t>二氧化硫、氮氧化物、颗粒物、VOCs</w:t>
                  </w:r>
                  <w:bookmarkEnd w:id="47"/>
                  <w:r>
                    <w:rPr>
                      <w:rFonts w:hint="eastAsia"/>
                      <w:color w:val="auto"/>
                      <w:lang w:val="en-US" w:eastAsia="zh-CN"/>
                    </w:rPr>
                    <w:t xml:space="preserve"> 全面执行大气污染物特别排放限值。</w:t>
                  </w:r>
                </w:p>
              </w:tc>
              <w:tc>
                <w:tcPr>
                  <w:tcW w:w="1113" w:type="pct"/>
                  <w:tcBorders>
                    <w:tl2br w:val="nil"/>
                    <w:tr2bl w:val="nil"/>
                  </w:tcBorders>
                  <w:noWrap w:val="0"/>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本项目</w:t>
                  </w:r>
                  <w:r>
                    <w:rPr>
                      <w:rFonts w:hint="eastAsia"/>
                      <w:color w:val="auto"/>
                      <w:lang w:val="en-US" w:eastAsia="zh-CN"/>
                    </w:rPr>
                    <w:t>不涉及二氧化硫、氮氧化物、颗粒物、VOCs排放</w:t>
                  </w:r>
                  <w:r>
                    <w:rPr>
                      <w:rFonts w:hint="eastAsia" w:ascii="Times New Roman" w:hAnsi="Times New Roman" w:eastAsia="宋体"/>
                      <w:color w:val="auto"/>
                      <w:lang w:val="en-US" w:eastAsia="zh-CN"/>
                    </w:rPr>
                    <w:t>。</w:t>
                  </w:r>
                </w:p>
              </w:tc>
              <w:tc>
                <w:tcPr>
                  <w:tcW w:w="543" w:type="pct"/>
                  <w:tcBorders>
                    <w:tl2br w:val="nil"/>
                    <w:tr2bl w:val="nil"/>
                  </w:tcBorders>
                  <w:noWrap w:val="0"/>
                  <w:vAlign w:val="center"/>
                </w:tcPr>
                <w:p>
                  <w:pPr>
                    <w:pStyle w:val="28"/>
                    <w:keepNext w:val="0"/>
                    <w:keepLines w:val="0"/>
                    <w:suppressLineNumbers w:val="0"/>
                    <w:bidi w:val="0"/>
                    <w:spacing w:before="0" w:beforeAutospacing="0" w:after="0" w:afterAutospacing="0"/>
                    <w:ind w:left="0" w:right="0"/>
                    <w:rPr>
                      <w:color w:val="auto"/>
                      <w:lang w:val="en-US" w:eastAsia="zh-CN"/>
                    </w:rPr>
                  </w:pPr>
                  <w:bookmarkStart w:id="48" w:name="OLE_LINK7"/>
                  <w:r>
                    <w:rPr>
                      <w:color w:val="auto"/>
                      <w:lang w:val="en-US" w:eastAsia="zh-CN"/>
                    </w:rPr>
                    <w:t>符合</w:t>
                  </w:r>
                  <w:bookmarkEnd w:id="48"/>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4" w:type="pct"/>
                  <w:gridSpan w:val="2"/>
                  <w:vMerge w:val="continue"/>
                  <w:tcBorders>
                    <w:tl2br w:val="nil"/>
                    <w:tr2bl w:val="nil"/>
                  </w:tcBorders>
                  <w:noWrap w:val="0"/>
                  <w:vAlign w:val="center"/>
                </w:tcPr>
                <w:p>
                  <w:pPr>
                    <w:pStyle w:val="28"/>
                    <w:keepNext w:val="0"/>
                    <w:keepLines w:val="0"/>
                    <w:suppressLineNumbers w:val="0"/>
                    <w:bidi w:val="0"/>
                    <w:spacing w:before="0" w:beforeAutospacing="0" w:after="0" w:afterAutospacing="0"/>
                    <w:ind w:left="0" w:right="0"/>
                    <w:rPr>
                      <w:color w:val="auto"/>
                      <w:lang w:val="en-US" w:eastAsia="zh-CN"/>
                    </w:rPr>
                  </w:pPr>
                </w:p>
              </w:tc>
              <w:tc>
                <w:tcPr>
                  <w:tcW w:w="331" w:type="pct"/>
                  <w:vMerge w:val="continue"/>
                  <w:tcBorders>
                    <w:tl2br w:val="nil"/>
                    <w:tr2bl w:val="nil"/>
                  </w:tcBorders>
                  <w:noWrap w:val="0"/>
                  <w:vAlign w:val="center"/>
                </w:tcPr>
                <w:p>
                  <w:pPr>
                    <w:pStyle w:val="28"/>
                    <w:keepNext w:val="0"/>
                    <w:keepLines w:val="0"/>
                    <w:suppressLineNumbers w:val="0"/>
                    <w:bidi w:val="0"/>
                    <w:spacing w:before="0" w:beforeAutospacing="0" w:after="0" w:afterAutospacing="0"/>
                    <w:ind w:left="0" w:right="0"/>
                    <w:rPr>
                      <w:color w:val="auto"/>
                      <w:lang w:val="en-US" w:eastAsia="zh-CN"/>
                    </w:rPr>
                  </w:pPr>
                </w:p>
              </w:tc>
              <w:tc>
                <w:tcPr>
                  <w:tcW w:w="304" w:type="pct"/>
                  <w:vMerge w:val="continue"/>
                  <w:tcBorders>
                    <w:tl2br w:val="nil"/>
                    <w:tr2bl w:val="nil"/>
                  </w:tcBorders>
                  <w:noWrap w:val="0"/>
                  <w:vAlign w:val="center"/>
                </w:tcPr>
                <w:p>
                  <w:pPr>
                    <w:pStyle w:val="28"/>
                    <w:keepNext w:val="0"/>
                    <w:keepLines w:val="0"/>
                    <w:suppressLineNumbers w:val="0"/>
                    <w:bidi w:val="0"/>
                    <w:spacing w:before="0" w:beforeAutospacing="0" w:after="0" w:afterAutospacing="0"/>
                    <w:ind w:left="0" w:right="0"/>
                    <w:rPr>
                      <w:color w:val="auto"/>
                      <w:lang w:val="en-US" w:eastAsia="zh-CN"/>
                    </w:rPr>
                  </w:pPr>
                </w:p>
              </w:tc>
              <w:tc>
                <w:tcPr>
                  <w:tcW w:w="517" w:type="pct"/>
                  <w:vMerge w:val="continue"/>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eastAsia"/>
                      <w:color w:val="auto"/>
                      <w:lang w:val="en-US" w:eastAsia="zh-CN"/>
                    </w:rPr>
                  </w:pPr>
                </w:p>
              </w:tc>
              <w:tc>
                <w:tcPr>
                  <w:tcW w:w="1445" w:type="pct"/>
                  <w:tcBorders>
                    <w:tl2br w:val="nil"/>
                    <w:tr2bl w:val="nil"/>
                  </w:tcBorders>
                  <w:noWrap w:val="0"/>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2.污水处理厂逐步实施技改，出水执行《城镇污水处理厂污染物排放标准》表1 一级A标准及属地管理要求。</w:t>
                  </w:r>
                </w:p>
              </w:tc>
              <w:tc>
                <w:tcPr>
                  <w:tcW w:w="1113" w:type="pct"/>
                  <w:tcBorders>
                    <w:tl2br w:val="nil"/>
                    <w:tr2bl w:val="nil"/>
                  </w:tcBorders>
                  <w:noWrap w:val="0"/>
                  <w:vAlign w:val="center"/>
                </w:tcPr>
                <w:p>
                  <w:pPr>
                    <w:pStyle w:val="28"/>
                    <w:keepNext w:val="0"/>
                    <w:keepLines w:val="0"/>
                    <w:suppressLineNumbers w:val="0"/>
                    <w:bidi w:val="0"/>
                    <w:spacing w:before="0" w:beforeAutospacing="0" w:after="0" w:afterAutospacing="0"/>
                    <w:ind w:left="0" w:right="0"/>
                    <w:jc w:val="both"/>
                    <w:rPr>
                      <w:rFonts w:hint="default" w:ascii="Times New Roman" w:hAnsi="Times New Roman" w:eastAsia="宋体"/>
                      <w:color w:val="auto"/>
                      <w:lang w:val="en-US" w:eastAsia="zh-CN"/>
                    </w:rPr>
                  </w:pPr>
                  <w:r>
                    <w:rPr>
                      <w:rFonts w:hAnsiTheme="minorEastAsia" w:eastAsiaTheme="minorEastAsia"/>
                      <w:color w:val="auto"/>
                      <w:sz w:val="21"/>
                      <w:szCs w:val="21"/>
                    </w:rPr>
                    <w:t>本项目无生产废水，生活污水经化粪池处理后，</w:t>
                  </w:r>
                  <w:r>
                    <w:rPr>
                      <w:rFonts w:hint="eastAsia" w:hAnsiTheme="minorEastAsia" w:eastAsiaTheme="minorEastAsia"/>
                      <w:color w:val="auto"/>
                      <w:sz w:val="21"/>
                      <w:szCs w:val="21"/>
                      <w:lang w:val="en-US" w:eastAsia="zh-CN"/>
                    </w:rPr>
                    <w:t>定期清运。</w:t>
                  </w:r>
                </w:p>
              </w:tc>
              <w:tc>
                <w:tcPr>
                  <w:tcW w:w="543" w:type="pct"/>
                  <w:tcBorders>
                    <w:tl2br w:val="nil"/>
                    <w:tr2bl w:val="nil"/>
                  </w:tcBorders>
                  <w:noWrap w:val="0"/>
                  <w:vAlign w:val="center"/>
                </w:tcPr>
                <w:p>
                  <w:pPr>
                    <w:pStyle w:val="28"/>
                    <w:keepNext w:val="0"/>
                    <w:keepLines w:val="0"/>
                    <w:suppressLineNumbers w:val="0"/>
                    <w:bidi w:val="0"/>
                    <w:spacing w:before="0" w:beforeAutospacing="0" w:after="0" w:afterAutospacing="0"/>
                    <w:ind w:left="0" w:right="0"/>
                    <w:rPr>
                      <w:color w:val="auto"/>
                      <w:lang w:val="en-US" w:eastAsia="zh-CN"/>
                    </w:rPr>
                  </w:pPr>
                  <w:r>
                    <w:rPr>
                      <w:color w:val="auto"/>
                      <w:lang w:val="en-US" w:eastAsia="zh-CN"/>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44" w:type="pct"/>
                  <w:gridSpan w:val="2"/>
                  <w:vMerge w:val="continue"/>
                  <w:tcBorders>
                    <w:tl2br w:val="nil"/>
                    <w:tr2bl w:val="nil"/>
                  </w:tcBorders>
                  <w:noWrap w:val="0"/>
                  <w:vAlign w:val="center"/>
                </w:tcPr>
                <w:p>
                  <w:pPr>
                    <w:pStyle w:val="28"/>
                    <w:keepNext w:val="0"/>
                    <w:keepLines w:val="0"/>
                    <w:suppressLineNumbers w:val="0"/>
                    <w:bidi w:val="0"/>
                    <w:spacing w:before="0" w:beforeAutospacing="0" w:after="0" w:afterAutospacing="0"/>
                    <w:ind w:left="0" w:right="0"/>
                    <w:rPr>
                      <w:color w:val="auto"/>
                      <w:lang w:val="en-US" w:eastAsia="zh-CN"/>
                    </w:rPr>
                  </w:pPr>
                </w:p>
              </w:tc>
              <w:tc>
                <w:tcPr>
                  <w:tcW w:w="331" w:type="pct"/>
                  <w:vMerge w:val="continue"/>
                  <w:tcBorders>
                    <w:tl2br w:val="nil"/>
                    <w:tr2bl w:val="nil"/>
                  </w:tcBorders>
                  <w:noWrap w:val="0"/>
                  <w:vAlign w:val="center"/>
                </w:tcPr>
                <w:p>
                  <w:pPr>
                    <w:pStyle w:val="28"/>
                    <w:keepNext w:val="0"/>
                    <w:keepLines w:val="0"/>
                    <w:suppressLineNumbers w:val="0"/>
                    <w:bidi w:val="0"/>
                    <w:spacing w:before="0" w:beforeAutospacing="0" w:after="0" w:afterAutospacing="0"/>
                    <w:ind w:left="0" w:right="0"/>
                    <w:rPr>
                      <w:color w:val="auto"/>
                      <w:lang w:val="en-US" w:eastAsia="zh-CN"/>
                    </w:rPr>
                  </w:pPr>
                </w:p>
              </w:tc>
              <w:tc>
                <w:tcPr>
                  <w:tcW w:w="304" w:type="pct"/>
                  <w:vMerge w:val="continue"/>
                  <w:tcBorders>
                    <w:tl2br w:val="nil"/>
                    <w:tr2bl w:val="nil"/>
                  </w:tcBorders>
                  <w:noWrap w:val="0"/>
                  <w:vAlign w:val="center"/>
                </w:tcPr>
                <w:p>
                  <w:pPr>
                    <w:pStyle w:val="28"/>
                    <w:keepNext w:val="0"/>
                    <w:keepLines w:val="0"/>
                    <w:suppressLineNumbers w:val="0"/>
                    <w:bidi w:val="0"/>
                    <w:spacing w:before="0" w:beforeAutospacing="0" w:after="0" w:afterAutospacing="0"/>
                    <w:ind w:left="0" w:right="0"/>
                    <w:rPr>
                      <w:color w:val="auto"/>
                      <w:lang w:val="en-US" w:eastAsia="zh-CN"/>
                    </w:rPr>
                  </w:pPr>
                </w:p>
              </w:tc>
              <w:tc>
                <w:tcPr>
                  <w:tcW w:w="517" w:type="pct"/>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环境风险防控</w:t>
                  </w:r>
                </w:p>
              </w:tc>
              <w:tc>
                <w:tcPr>
                  <w:tcW w:w="1445" w:type="pct"/>
                  <w:tcBorders>
                    <w:tl2br w:val="nil"/>
                    <w:tr2bl w:val="nil"/>
                  </w:tcBorders>
                  <w:noWrap w:val="0"/>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建立土壤和地下水污染隐患排查治理制度、风险防控体系和长效监管机制。</w:t>
                  </w:r>
                </w:p>
              </w:tc>
              <w:tc>
                <w:tcPr>
                  <w:tcW w:w="1113" w:type="pct"/>
                  <w:tcBorders>
                    <w:tl2br w:val="nil"/>
                    <w:tr2bl w:val="nil"/>
                  </w:tcBorders>
                  <w:noWrap w:val="0"/>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本项目不涉及。</w:t>
                  </w:r>
                </w:p>
              </w:tc>
              <w:tc>
                <w:tcPr>
                  <w:tcW w:w="543" w:type="pct"/>
                  <w:tcBorders>
                    <w:tl2br w:val="nil"/>
                    <w:tr2bl w:val="nil"/>
                  </w:tcBorders>
                  <w:noWrap w:val="0"/>
                  <w:vAlign w:val="center"/>
                </w:tcPr>
                <w:p>
                  <w:pPr>
                    <w:pStyle w:val="28"/>
                    <w:keepNext w:val="0"/>
                    <w:keepLines w:val="0"/>
                    <w:suppressLineNumbers w:val="0"/>
                    <w:bidi w:val="0"/>
                    <w:spacing w:before="0" w:beforeAutospacing="0" w:after="0" w:afterAutospacing="0"/>
                    <w:ind w:left="0" w:right="0"/>
                    <w:rPr>
                      <w:color w:val="auto"/>
                      <w:lang w:val="en-US" w:eastAsia="zh-CN"/>
                    </w:rPr>
                  </w:pPr>
                  <w:r>
                    <w:rPr>
                      <w:rFonts w:hint="eastAsia"/>
                      <w:color w:val="auto"/>
                      <w:lang w:val="en-US" w:eastAsia="zh-CN"/>
                    </w:rPr>
                    <w:t>不属于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4" w:type="pct"/>
                  <w:gridSpan w:val="2"/>
                  <w:vMerge w:val="continue"/>
                  <w:tcBorders>
                    <w:tl2br w:val="nil"/>
                    <w:tr2bl w:val="nil"/>
                  </w:tcBorders>
                  <w:noWrap w:val="0"/>
                  <w:vAlign w:val="center"/>
                </w:tcPr>
                <w:p>
                  <w:pPr>
                    <w:pStyle w:val="28"/>
                    <w:keepNext w:val="0"/>
                    <w:keepLines w:val="0"/>
                    <w:suppressLineNumbers w:val="0"/>
                    <w:bidi w:val="0"/>
                    <w:spacing w:before="0" w:beforeAutospacing="0" w:after="0" w:afterAutospacing="0"/>
                    <w:ind w:left="0" w:right="0"/>
                    <w:rPr>
                      <w:color w:val="auto"/>
                      <w:lang w:val="en-US" w:eastAsia="zh-CN"/>
                    </w:rPr>
                  </w:pPr>
                </w:p>
              </w:tc>
              <w:tc>
                <w:tcPr>
                  <w:tcW w:w="331" w:type="pct"/>
                  <w:vMerge w:val="continue"/>
                  <w:tcBorders>
                    <w:tl2br w:val="nil"/>
                    <w:tr2bl w:val="nil"/>
                  </w:tcBorders>
                  <w:noWrap w:val="0"/>
                  <w:vAlign w:val="center"/>
                </w:tcPr>
                <w:p>
                  <w:pPr>
                    <w:pStyle w:val="28"/>
                    <w:keepNext w:val="0"/>
                    <w:keepLines w:val="0"/>
                    <w:suppressLineNumbers w:val="0"/>
                    <w:bidi w:val="0"/>
                    <w:spacing w:before="0" w:beforeAutospacing="0" w:after="0" w:afterAutospacing="0"/>
                    <w:ind w:left="0" w:right="0"/>
                    <w:rPr>
                      <w:color w:val="auto"/>
                      <w:lang w:val="en-US" w:eastAsia="zh-CN"/>
                    </w:rPr>
                  </w:pPr>
                </w:p>
              </w:tc>
              <w:tc>
                <w:tcPr>
                  <w:tcW w:w="304" w:type="pct"/>
                  <w:vMerge w:val="continue"/>
                  <w:tcBorders>
                    <w:tl2br w:val="nil"/>
                    <w:tr2bl w:val="nil"/>
                  </w:tcBorders>
                  <w:noWrap w:val="0"/>
                  <w:vAlign w:val="center"/>
                </w:tcPr>
                <w:p>
                  <w:pPr>
                    <w:pStyle w:val="28"/>
                    <w:keepNext w:val="0"/>
                    <w:keepLines w:val="0"/>
                    <w:suppressLineNumbers w:val="0"/>
                    <w:bidi w:val="0"/>
                    <w:spacing w:before="0" w:beforeAutospacing="0" w:after="0" w:afterAutospacing="0"/>
                    <w:ind w:left="0" w:right="0"/>
                    <w:rPr>
                      <w:color w:val="auto"/>
                      <w:lang w:val="en-US" w:eastAsia="zh-CN"/>
                    </w:rPr>
                  </w:pPr>
                </w:p>
              </w:tc>
              <w:tc>
                <w:tcPr>
                  <w:tcW w:w="517" w:type="pct"/>
                  <w:tcBorders>
                    <w:tl2br w:val="nil"/>
                    <w:tr2bl w:val="nil"/>
                  </w:tcBorders>
                  <w:noWrap w:val="0"/>
                  <w:vAlign w:val="center"/>
                </w:tcPr>
                <w:p>
                  <w:pPr>
                    <w:pStyle w:val="28"/>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资源利用效率要求</w:t>
                  </w:r>
                </w:p>
              </w:tc>
              <w:tc>
                <w:tcPr>
                  <w:tcW w:w="1445" w:type="pct"/>
                  <w:tcBorders>
                    <w:tl2br w:val="nil"/>
                    <w:tr2bl w:val="nil"/>
                  </w:tcBorders>
                  <w:noWrap w:val="0"/>
                  <w:vAlign w:val="center"/>
                </w:tcPr>
                <w:p>
                  <w:pPr>
                    <w:pStyle w:val="28"/>
                    <w:keepNext w:val="0"/>
                    <w:keepLines w:val="0"/>
                    <w:suppressLineNumbers w:val="0"/>
                    <w:bidi w:val="0"/>
                    <w:spacing w:before="0" w:beforeAutospacing="0" w:after="0" w:afterAutospacing="0"/>
                    <w:ind w:left="0" w:right="0"/>
                    <w:jc w:val="both"/>
                    <w:rPr>
                      <w:color w:val="auto"/>
                      <w:lang w:val="en-US" w:eastAsia="zh-CN"/>
                    </w:rPr>
                  </w:pPr>
                  <w:r>
                    <w:rPr>
                      <w:color w:val="auto"/>
                    </w:rPr>
                    <w:t>进一步优化能源结构，加快集中供热、供气及配套管网建设。</w:t>
                  </w:r>
                </w:p>
              </w:tc>
              <w:tc>
                <w:tcPr>
                  <w:tcW w:w="1113" w:type="pct"/>
                  <w:tcBorders>
                    <w:tl2br w:val="nil"/>
                    <w:tr2bl w:val="nil"/>
                  </w:tcBorders>
                  <w:noWrap w:val="0"/>
                  <w:vAlign w:val="center"/>
                </w:tcPr>
                <w:p>
                  <w:pPr>
                    <w:pStyle w:val="28"/>
                    <w:keepNext w:val="0"/>
                    <w:keepLines w:val="0"/>
                    <w:suppressLineNumbers w:val="0"/>
                    <w:bidi w:val="0"/>
                    <w:spacing w:before="0" w:beforeAutospacing="0" w:after="0" w:afterAutospacing="0"/>
                    <w:ind w:left="0" w:right="0"/>
                    <w:jc w:val="both"/>
                    <w:rPr>
                      <w:rFonts w:hint="eastAsia" w:eastAsia="宋体"/>
                      <w:color w:val="auto"/>
                      <w:lang w:val="en-US" w:eastAsia="zh-CN"/>
                    </w:rPr>
                  </w:pPr>
                  <w:r>
                    <w:rPr>
                      <w:rFonts w:hint="eastAsia"/>
                      <w:color w:val="auto"/>
                      <w:lang w:val="en-US" w:eastAsia="zh-CN"/>
                    </w:rPr>
                    <w:t>本项目集中供水供电</w:t>
                  </w:r>
                  <w:r>
                    <w:rPr>
                      <w:rFonts w:hint="eastAsia"/>
                      <w:color w:val="auto"/>
                      <w:lang w:eastAsia="zh-CN"/>
                    </w:rPr>
                    <w:t>。</w:t>
                  </w:r>
                </w:p>
              </w:tc>
              <w:tc>
                <w:tcPr>
                  <w:tcW w:w="543" w:type="pct"/>
                  <w:tcBorders>
                    <w:tl2br w:val="nil"/>
                    <w:tr2bl w:val="nil"/>
                  </w:tcBorders>
                  <w:noWrap w:val="0"/>
                  <w:vAlign w:val="center"/>
                </w:tcPr>
                <w:p>
                  <w:pPr>
                    <w:pStyle w:val="28"/>
                    <w:keepNext w:val="0"/>
                    <w:keepLines w:val="0"/>
                    <w:suppressLineNumbers w:val="0"/>
                    <w:bidi w:val="0"/>
                    <w:spacing w:before="0" w:beforeAutospacing="0" w:after="0" w:afterAutospacing="0"/>
                    <w:ind w:left="0" w:right="0"/>
                    <w:rPr>
                      <w:color w:val="auto"/>
                      <w:lang w:val="en-US" w:eastAsia="zh-CN"/>
                    </w:rPr>
                  </w:pPr>
                  <w:r>
                    <w:rPr>
                      <w:rFonts w:hint="eastAsia"/>
                      <w:color w:val="auto"/>
                      <w:lang w:val="en-US" w:eastAsia="zh-CN"/>
                    </w:rPr>
                    <w:t>相符</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由表可知，本项目</w:t>
            </w:r>
            <w:r>
              <w:rPr>
                <w:rFonts w:hint="eastAsia" w:ascii="Times New Roman" w:hAnsi="宋体" w:eastAsia="宋体" w:cs="Times New Roman"/>
                <w:color w:val="auto"/>
                <w:sz w:val="24"/>
              </w:rPr>
              <w:t>符合</w:t>
            </w:r>
            <w:r>
              <w:rPr>
                <w:rFonts w:hint="eastAsia" w:ascii="Times New Roman" w:hAnsi="宋体" w:eastAsia="宋体" w:cs="Times New Roman"/>
                <w:color w:val="auto"/>
                <w:sz w:val="24"/>
                <w:u w:val="none"/>
              </w:rPr>
              <w:t>《新乡市“三线一单”生态环境准入清单》（2023年版）</w:t>
            </w:r>
            <w:r>
              <w:rPr>
                <w:rFonts w:hint="eastAsia" w:ascii="Times New Roman" w:hAnsi="宋体" w:eastAsia="宋体" w:cs="Times New Roman"/>
                <w:color w:val="auto"/>
                <w:sz w:val="24"/>
              </w:rPr>
              <w:t>相关要求。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rPr>
                <w:rFonts w:hint="default" w:ascii="Times New Roman" w:hAnsi="Times New Roman" w:eastAsia="宋体" w:cs="宋体"/>
                <w:b/>
                <w:bCs/>
                <w:color w:val="auto"/>
                <w:kern w:val="0"/>
                <w:sz w:val="24"/>
                <w:szCs w:val="24"/>
                <w:lang w:val="en-US" w:eastAsia="zh-CN" w:bidi="ar"/>
              </w:rPr>
            </w:pPr>
            <w:r>
              <w:rPr>
                <w:rFonts w:hint="eastAsia" w:cs="宋体"/>
                <w:b/>
                <w:bCs/>
                <w:color w:val="auto"/>
                <w:kern w:val="0"/>
                <w:sz w:val="24"/>
                <w:szCs w:val="24"/>
                <w:lang w:val="en-US" w:eastAsia="zh-CN" w:bidi="ar"/>
              </w:rPr>
              <w:t>5.</w:t>
            </w:r>
            <w:r>
              <w:rPr>
                <w:rFonts w:hint="eastAsia" w:ascii="Times New Roman" w:hAnsi="Times New Roman" w:eastAsia="宋体" w:cs="宋体"/>
                <w:b/>
                <w:bCs/>
                <w:color w:val="auto"/>
                <w:kern w:val="0"/>
                <w:sz w:val="24"/>
                <w:szCs w:val="24"/>
                <w:lang w:val="en-US" w:eastAsia="zh-CN" w:bidi="ar"/>
              </w:rPr>
              <w:t>本项目与《新乡市生态环境保护委员会办公室关于印发&lt;新乡市2025年蓝天保卫战实施方案&gt;&lt;新乡市2025年碧水保卫战实施方案&gt;&lt;新乡市2025年净土保卫战实施方案&gt;&lt;新乡市2025年柴油货车污染治理攻坚战实施方案&gt;的通知》（新环委办〔2025〕38号）（以下简称《攻坚战实施方案》）相符性分析如下。</w:t>
            </w:r>
          </w:p>
          <w:p>
            <w:pPr>
              <w:pStyle w:val="12"/>
              <w:keepNext w:val="0"/>
              <w:keepLines w:val="0"/>
              <w:suppressLineNumbers w:val="0"/>
              <w:bidi w:val="0"/>
              <w:spacing w:before="0" w:beforeAutospacing="0" w:after="0" w:afterAutospacing="0"/>
              <w:ind w:left="0" w:right="0"/>
              <w:rPr>
                <w:rFonts w:hint="default"/>
                <w:color w:val="auto"/>
                <w:lang w:val="en-US"/>
              </w:rPr>
            </w:pPr>
            <w:r>
              <w:rPr>
                <w:rFonts w:hint="eastAsia"/>
                <w:color w:val="auto"/>
                <w:highlight w:val="none"/>
                <w:u w:val="none"/>
                <w:lang w:eastAsia="zh-CN"/>
              </w:rPr>
              <w:t>表 1-</w:t>
            </w:r>
            <w:r>
              <w:rPr>
                <w:rFonts w:hint="eastAsia"/>
                <w:color w:val="auto"/>
                <w:highlight w:val="none"/>
                <w:u w:val="none"/>
                <w:lang w:val="en-US" w:eastAsia="zh-CN"/>
              </w:rPr>
              <w:t>6</w:t>
            </w:r>
            <w:r>
              <w:rPr>
                <w:rFonts w:hint="eastAsia"/>
                <w:color w:val="auto"/>
                <w:highlight w:val="none"/>
                <w:u w:val="none"/>
                <w:lang w:eastAsia="zh-CN"/>
              </w:rPr>
              <w:t xml:space="preserve">    与</w:t>
            </w:r>
            <w:r>
              <w:rPr>
                <w:color w:val="auto"/>
                <w:highlight w:val="none"/>
                <w:u w:val="none"/>
              </w:rPr>
              <w:t>《攻坚战实施方案》</w:t>
            </w:r>
            <w:r>
              <w:rPr>
                <w:rFonts w:hint="eastAsia"/>
                <w:color w:val="auto"/>
                <w:highlight w:val="none"/>
                <w:u w:val="none"/>
                <w:lang w:eastAsia="zh-CN"/>
              </w:rPr>
              <w:t>的相符性分析</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2"/>
              <w:gridCol w:w="3748"/>
              <w:gridCol w:w="1855"/>
              <w:gridCol w:w="69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3" w:type="pct"/>
                  <w:vAlign w:val="center"/>
                </w:tcPr>
                <w:p>
                  <w:pPr>
                    <w:pStyle w:val="2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ind w:left="0" w:right="0"/>
                    <w:textAlignment w:val="auto"/>
                    <w:rPr>
                      <w:b/>
                      <w:bCs/>
                      <w:color w:val="auto"/>
                      <w:highlight w:val="none"/>
                      <w:u w:val="none"/>
                    </w:rPr>
                  </w:pPr>
                  <w:r>
                    <w:rPr>
                      <w:b/>
                      <w:bCs/>
                      <w:color w:val="auto"/>
                      <w:highlight w:val="none"/>
                      <w:u w:val="none"/>
                    </w:rPr>
                    <w:t>类别</w:t>
                  </w:r>
                </w:p>
              </w:tc>
              <w:tc>
                <w:tcPr>
                  <w:tcW w:w="2619" w:type="pct"/>
                  <w:vAlign w:val="center"/>
                </w:tcPr>
                <w:p>
                  <w:pPr>
                    <w:pStyle w:val="2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ind w:left="0" w:right="0"/>
                    <w:textAlignment w:val="auto"/>
                    <w:rPr>
                      <w:b/>
                      <w:bCs/>
                      <w:color w:val="auto"/>
                      <w:highlight w:val="none"/>
                      <w:u w:val="none"/>
                    </w:rPr>
                  </w:pPr>
                  <w:r>
                    <w:rPr>
                      <w:b/>
                      <w:bCs/>
                      <w:color w:val="auto"/>
                      <w:highlight w:val="none"/>
                      <w:u w:val="none"/>
                    </w:rPr>
                    <w:t>内容</w:t>
                  </w:r>
                </w:p>
              </w:tc>
              <w:tc>
                <w:tcPr>
                  <w:tcW w:w="1296" w:type="pct"/>
                  <w:vAlign w:val="center"/>
                </w:tcPr>
                <w:p>
                  <w:pPr>
                    <w:pStyle w:val="2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ind w:left="0" w:right="0"/>
                    <w:textAlignment w:val="auto"/>
                    <w:rPr>
                      <w:b/>
                      <w:bCs/>
                      <w:color w:val="auto"/>
                      <w:highlight w:val="none"/>
                      <w:u w:val="none"/>
                    </w:rPr>
                  </w:pPr>
                  <w:r>
                    <w:rPr>
                      <w:b/>
                      <w:bCs/>
                      <w:color w:val="auto"/>
                      <w:highlight w:val="none"/>
                      <w:u w:val="none"/>
                    </w:rPr>
                    <w:t>本项目情况</w:t>
                  </w:r>
                </w:p>
              </w:tc>
              <w:tc>
                <w:tcPr>
                  <w:tcW w:w="481" w:type="pct"/>
                  <w:vAlign w:val="center"/>
                </w:tcPr>
                <w:p>
                  <w:pPr>
                    <w:pStyle w:val="2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ind w:left="0" w:right="0"/>
                    <w:textAlignment w:val="auto"/>
                    <w:rPr>
                      <w:b/>
                      <w:bCs/>
                      <w:color w:val="auto"/>
                      <w:highlight w:val="none"/>
                      <w:u w:val="none"/>
                    </w:rPr>
                  </w:pPr>
                  <w:r>
                    <w:rPr>
                      <w:b/>
                      <w:bCs/>
                      <w:color w:val="auto"/>
                      <w:highlight w:val="none"/>
                      <w:u w:val="none"/>
                    </w:rPr>
                    <w:t>对比结果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vAlign w:val="center"/>
                </w:tcPr>
                <w:p>
                  <w:pPr>
                    <w:pStyle w:val="2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ind w:left="0" w:right="0"/>
                    <w:textAlignment w:val="auto"/>
                    <w:rPr>
                      <w:b/>
                      <w:bCs/>
                      <w:color w:val="auto"/>
                      <w:highlight w:val="none"/>
                      <w:u w:val="none"/>
                    </w:rPr>
                  </w:pPr>
                  <w:r>
                    <w:rPr>
                      <w:rFonts w:hint="eastAsia"/>
                      <w:b/>
                      <w:bCs/>
                      <w:color w:val="auto"/>
                      <w:highlight w:val="none"/>
                      <w:u w:val="none"/>
                    </w:rPr>
                    <w:t>《新乡市 202</w:t>
                  </w:r>
                  <w:r>
                    <w:rPr>
                      <w:rFonts w:hint="eastAsia"/>
                      <w:b/>
                      <w:bCs/>
                      <w:color w:val="auto"/>
                      <w:highlight w:val="none"/>
                      <w:u w:val="none"/>
                      <w:lang w:val="en-US" w:eastAsia="zh-CN"/>
                    </w:rPr>
                    <w:t>5</w:t>
                  </w:r>
                  <w:r>
                    <w:rPr>
                      <w:rFonts w:hint="eastAsia"/>
                      <w:b/>
                      <w:bCs/>
                      <w:color w:val="auto"/>
                      <w:highlight w:val="none"/>
                      <w:u w:val="none"/>
                    </w:rPr>
                    <w:t xml:space="preserve"> 年蓝天保卫战实施方案》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3" w:type="pct"/>
                  <w:vMerge w:val="restart"/>
                  <w:vAlign w:val="center"/>
                </w:tcPr>
                <w:p>
                  <w:pPr>
                    <w:pStyle w:val="28"/>
                    <w:keepNext w:val="0"/>
                    <w:keepLines w:val="0"/>
                    <w:suppressLineNumbers w:val="0"/>
                    <w:bidi w:val="0"/>
                    <w:spacing w:before="0" w:beforeAutospacing="0" w:after="0" w:afterAutospacing="0"/>
                    <w:ind w:left="0" w:right="0" w:firstLine="0" w:firstLineChars="0"/>
                    <w:jc w:val="both"/>
                    <w:rPr>
                      <w:color w:val="auto"/>
                      <w:highlight w:val="none"/>
                    </w:rPr>
                  </w:pPr>
                  <w:r>
                    <w:rPr>
                      <w:color w:val="auto"/>
                      <w:highlight w:val="none"/>
                    </w:rPr>
                    <w:t>（二）结构优化升级专项攻坚</w:t>
                  </w:r>
                </w:p>
              </w:tc>
              <w:tc>
                <w:tcPr>
                  <w:tcW w:w="2619" w:type="pct"/>
                  <w:vAlign w:val="center"/>
                </w:tcPr>
                <w:p>
                  <w:pPr>
                    <w:pStyle w:val="28"/>
                    <w:keepNext w:val="0"/>
                    <w:keepLines w:val="0"/>
                    <w:suppressLineNumbers w:val="0"/>
                    <w:bidi w:val="0"/>
                    <w:spacing w:before="0" w:beforeAutospacing="0" w:after="0" w:afterAutospacing="0"/>
                    <w:ind w:left="0" w:right="0" w:firstLine="0" w:firstLineChars="0"/>
                    <w:jc w:val="both"/>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1.依法依规淘汰落后产能。严格落实《产业结构调整指导目录（</w:t>
                  </w:r>
                  <w:r>
                    <w:rPr>
                      <w:rFonts w:hint="default" w:ascii="Times New Roman" w:hAnsi="Times New Roman" w:eastAsia="宋体" w:cs="Times New Roman"/>
                      <w:color w:val="auto"/>
                      <w:highlight w:val="none"/>
                      <w:lang w:val="en-US" w:eastAsia="zh-CN"/>
                    </w:rPr>
                    <w:t>2024</w:t>
                  </w:r>
                  <w:r>
                    <w:rPr>
                      <w:rFonts w:hint="eastAsia" w:ascii="Times New Roman" w:hAnsi="Times New Roman" w:eastAsia="宋体" w:cs="Times New Roman"/>
                      <w:color w:val="auto"/>
                      <w:highlight w:val="none"/>
                      <w:lang w:val="en-US" w:eastAsia="zh-CN"/>
                    </w:rPr>
                    <w:t>年本）》《河南省淘汰落后产能综合标准体系（</w:t>
                  </w:r>
                  <w:r>
                    <w:rPr>
                      <w:rFonts w:hint="default" w:ascii="Times New Roman" w:hAnsi="Times New Roman" w:eastAsia="宋体" w:cs="Times New Roman"/>
                      <w:color w:val="auto"/>
                      <w:highlight w:val="none"/>
                      <w:lang w:val="en-US" w:eastAsia="zh-CN"/>
                    </w:rPr>
                    <w:t>2023</w:t>
                  </w:r>
                  <w:r>
                    <w:rPr>
                      <w:rFonts w:hint="eastAsia" w:ascii="Times New Roman" w:hAnsi="Times New Roman" w:eastAsia="宋体" w:cs="Times New Roman"/>
                      <w:color w:val="auto"/>
                      <w:highlight w:val="none"/>
                      <w:lang w:val="en-US" w:eastAsia="zh-CN"/>
                    </w:rPr>
                    <w:t>年本）》《国家污染防治技术指导目录（</w:t>
                  </w:r>
                  <w:r>
                    <w:rPr>
                      <w:rFonts w:hint="default" w:ascii="Times New Roman" w:hAnsi="Times New Roman" w:eastAsia="宋体" w:cs="Times New Roman"/>
                      <w:color w:val="auto"/>
                      <w:highlight w:val="none"/>
                      <w:lang w:val="en-US" w:eastAsia="zh-CN"/>
                    </w:rPr>
                    <w:t>2024</w:t>
                  </w:r>
                  <w:r>
                    <w:rPr>
                      <w:rFonts w:hint="eastAsia" w:ascii="Times New Roman" w:hAnsi="Times New Roman" w:eastAsia="宋体" w:cs="Times New Roman"/>
                      <w:color w:val="auto"/>
                      <w:highlight w:val="none"/>
                      <w:lang w:val="en-US" w:eastAsia="zh-CN"/>
                    </w:rPr>
                    <w:t>年，限制类和淘汰类）》要求，加快落后生产工艺装备和过剩产能淘汰退出，列入</w:t>
                  </w:r>
                  <w:r>
                    <w:rPr>
                      <w:rFonts w:hint="default" w:ascii="Times New Roman" w:hAnsi="Times New Roman" w:eastAsia="宋体" w:cs="Times New Roman"/>
                      <w:color w:val="auto"/>
                      <w:highlight w:val="none"/>
                      <w:lang w:val="en-US" w:eastAsia="zh-CN"/>
                    </w:rPr>
                    <w:t>2025</w:t>
                  </w:r>
                  <w:r>
                    <w:rPr>
                      <w:rFonts w:hint="eastAsia" w:ascii="Times New Roman" w:hAnsi="Times New Roman" w:eastAsia="宋体" w:cs="Times New Roman"/>
                      <w:color w:val="auto"/>
                      <w:highlight w:val="none"/>
                      <w:lang w:val="en-US" w:eastAsia="zh-CN"/>
                    </w:rPr>
                    <w:t>年去产能计划的生产设施</w:t>
                  </w:r>
                  <w:r>
                    <w:rPr>
                      <w:rFonts w:hint="default" w:ascii="Times New Roman" w:hAnsi="Times New Roman" w:eastAsia="宋体" w:cs="Times New Roman"/>
                      <w:color w:val="auto"/>
                      <w:highlight w:val="none"/>
                      <w:lang w:val="en-US" w:eastAsia="zh-CN"/>
                    </w:rPr>
                    <w:t>9</w:t>
                  </w:r>
                  <w:r>
                    <w:rPr>
                      <w:rFonts w:hint="eastAsia" w:ascii="Times New Roman" w:hAnsi="Times New Roman" w:eastAsia="宋体" w:cs="Times New Roman"/>
                      <w:color w:val="auto"/>
                      <w:highlight w:val="none"/>
                      <w:lang w:val="en-US" w:eastAsia="zh-CN"/>
                    </w:rPr>
                    <w:t>月底前停止排污。按照省环委办要求，全市严禁新改扩建烧结砖瓦项目，加快退出</w:t>
                  </w:r>
                  <w:r>
                    <w:rPr>
                      <w:rFonts w:hint="default" w:ascii="Times New Roman" w:hAnsi="Times New Roman" w:eastAsia="宋体" w:cs="Times New Roman"/>
                      <w:color w:val="auto"/>
                      <w:highlight w:val="none"/>
                      <w:lang w:val="en-US" w:eastAsia="zh-CN"/>
                    </w:rPr>
                    <w:t>6000</w:t>
                  </w:r>
                  <w:r>
                    <w:rPr>
                      <w:rFonts w:hint="eastAsia" w:ascii="Times New Roman" w:hAnsi="Times New Roman" w:eastAsia="宋体" w:cs="Times New Roman"/>
                      <w:color w:val="auto"/>
                      <w:highlight w:val="none"/>
                      <w:lang w:val="en-US" w:eastAsia="zh-CN"/>
                    </w:rPr>
                    <w:t>万标砖</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年以下、城市规划区内的烧结砖及烧结空心砌块生产线，根据</w:t>
                  </w:r>
                  <w:r>
                    <w:rPr>
                      <w:rFonts w:hint="default" w:ascii="Times New Roman" w:hAnsi="Times New Roman" w:eastAsia="宋体" w:cs="Times New Roman"/>
                      <w:color w:val="auto"/>
                      <w:highlight w:val="none"/>
                      <w:lang w:val="en-US" w:eastAsia="zh-CN"/>
                    </w:rPr>
                    <w:t>2025</w:t>
                  </w:r>
                  <w:r>
                    <w:rPr>
                      <w:rFonts w:hint="eastAsia" w:ascii="Times New Roman" w:hAnsi="Times New Roman" w:eastAsia="宋体" w:cs="Times New Roman"/>
                      <w:color w:val="auto"/>
                      <w:highlight w:val="none"/>
                      <w:lang w:val="en-US" w:eastAsia="zh-CN"/>
                    </w:rPr>
                    <w:t>年</w:t>
                  </w:r>
                  <w:r>
                    <w:rPr>
                      <w:rFonts w:hint="default" w:ascii="Times New Roman" w:hAnsi="Times New Roman" w:eastAsia="宋体" w:cs="Times New Roman"/>
                      <w:color w:val="auto"/>
                      <w:highlight w:val="none"/>
                      <w:lang w:val="en-US" w:eastAsia="zh-CN"/>
                    </w:rPr>
                    <w:t>4</w:t>
                  </w:r>
                  <w:r>
                    <w:rPr>
                      <w:rFonts w:hint="eastAsia" w:ascii="Times New Roman" w:hAnsi="Times New Roman" w:eastAsia="宋体" w:cs="Times New Roman"/>
                      <w:color w:val="auto"/>
                      <w:highlight w:val="none"/>
                      <w:lang w:val="en-US" w:eastAsia="zh-CN"/>
                    </w:rPr>
                    <w:t>月组织开展烧结砖瓦行业专项整治“回头看”结果，对达不到</w:t>
                  </w:r>
                  <w:r>
                    <w:rPr>
                      <w:rFonts w:hint="default" w:ascii="Times New Roman" w:hAnsi="Times New Roman" w:eastAsia="宋体" w:cs="Times New Roman"/>
                      <w:color w:val="auto"/>
                      <w:highlight w:val="none"/>
                      <w:lang w:val="en-US" w:eastAsia="zh-CN"/>
                    </w:rPr>
                    <w:t>B</w:t>
                  </w:r>
                  <w:r>
                    <w:rPr>
                      <w:rFonts w:hint="eastAsia" w:ascii="Times New Roman" w:hAnsi="Times New Roman" w:eastAsia="宋体" w:cs="Times New Roman"/>
                      <w:color w:val="auto"/>
                      <w:highlight w:val="none"/>
                      <w:lang w:val="en-US" w:eastAsia="zh-CN"/>
                    </w:rPr>
                    <w:t>级及以上绩效水平的烧结砖瓦企业实施停产整治；持续推动生物质小锅炉关停整合。制定年度落后产能淘汰退出工作方案，</w:t>
                  </w:r>
                  <w:r>
                    <w:rPr>
                      <w:rFonts w:hint="default" w:ascii="Times New Roman" w:hAnsi="Times New Roman" w:eastAsia="宋体" w:cs="Times New Roman"/>
                      <w:color w:val="auto"/>
                      <w:highlight w:val="none"/>
                      <w:lang w:val="en-US" w:eastAsia="zh-CN"/>
                    </w:rPr>
                    <w:t>2025</w:t>
                  </w:r>
                  <w:r>
                    <w:rPr>
                      <w:rFonts w:hint="eastAsia" w:ascii="Times New Roman" w:hAnsi="Times New Roman" w:eastAsia="宋体" w:cs="Times New Roman"/>
                      <w:color w:val="auto"/>
                      <w:highlight w:val="none"/>
                      <w:lang w:val="en-US" w:eastAsia="zh-CN"/>
                    </w:rPr>
                    <w:t>年</w:t>
                  </w:r>
                  <w:r>
                    <w:rPr>
                      <w:rFonts w:hint="default" w:ascii="Times New Roman" w:hAnsi="Times New Roman" w:eastAsia="宋体" w:cs="Times New Roman"/>
                      <w:color w:val="auto"/>
                      <w:highlight w:val="none"/>
                      <w:lang w:val="en-US" w:eastAsia="zh-CN"/>
                    </w:rPr>
                    <w:t>5</w:t>
                  </w:r>
                  <w:r>
                    <w:rPr>
                      <w:rFonts w:hint="eastAsia" w:ascii="Times New Roman" w:hAnsi="Times New Roman" w:eastAsia="宋体" w:cs="Times New Roman"/>
                      <w:color w:val="auto"/>
                      <w:highlight w:val="none"/>
                      <w:lang w:val="en-US" w:eastAsia="zh-CN"/>
                    </w:rPr>
                    <w:t>月底前排查建立淘汰退出任务清单；</w:t>
                  </w:r>
                  <w:r>
                    <w:rPr>
                      <w:rFonts w:hint="default" w:ascii="Times New Roman" w:hAnsi="Times New Roman" w:eastAsia="宋体" w:cs="Times New Roman"/>
                      <w:color w:val="auto"/>
                      <w:highlight w:val="none"/>
                      <w:lang w:val="en-US" w:eastAsia="zh-CN"/>
                    </w:rPr>
                    <w:t>2025</w:t>
                  </w:r>
                  <w:r>
                    <w:rPr>
                      <w:rFonts w:hint="eastAsia" w:ascii="Times New Roman" w:hAnsi="Times New Roman" w:eastAsia="宋体" w:cs="Times New Roman"/>
                      <w:color w:val="auto"/>
                      <w:highlight w:val="none"/>
                      <w:lang w:val="en-US" w:eastAsia="zh-CN"/>
                    </w:rPr>
                    <w:t>年</w:t>
                  </w:r>
                  <w:r>
                    <w:rPr>
                      <w:rFonts w:hint="default" w:ascii="Times New Roman" w:hAnsi="Times New Roman" w:eastAsia="宋体" w:cs="Times New Roman"/>
                      <w:color w:val="auto"/>
                      <w:highlight w:val="none"/>
                      <w:lang w:val="en-US" w:eastAsia="zh-CN"/>
                    </w:rPr>
                    <w:t>9</w:t>
                  </w:r>
                  <w:r>
                    <w:rPr>
                      <w:rFonts w:hint="eastAsia" w:ascii="Times New Roman" w:hAnsi="Times New Roman" w:eastAsia="宋体" w:cs="Times New Roman"/>
                      <w:color w:val="auto"/>
                      <w:highlight w:val="none"/>
                      <w:lang w:val="en-US" w:eastAsia="zh-CN"/>
                    </w:rPr>
                    <w:t>月底前，淘汰整合现有的</w:t>
                  </w:r>
                  <w:r>
                    <w:rPr>
                      <w:rFonts w:hint="default" w:ascii="Times New Roman" w:hAnsi="Times New Roman" w:eastAsia="宋体" w:cs="Times New Roman"/>
                      <w:color w:val="auto"/>
                      <w:highlight w:val="none"/>
                      <w:lang w:val="en-US" w:eastAsia="zh-CN"/>
                    </w:rPr>
                    <w:t>8</w:t>
                  </w:r>
                  <w:r>
                    <w:rPr>
                      <w:rFonts w:hint="eastAsia" w:ascii="Times New Roman" w:hAnsi="Times New Roman" w:eastAsia="宋体" w:cs="Times New Roman"/>
                      <w:color w:val="auto"/>
                      <w:highlight w:val="none"/>
                      <w:lang w:val="en-US" w:eastAsia="zh-CN"/>
                    </w:rPr>
                    <w:t>台生物质锅炉（燃烧器）。</w:t>
                  </w:r>
                </w:p>
              </w:tc>
              <w:tc>
                <w:tcPr>
                  <w:tcW w:w="1296" w:type="pct"/>
                  <w:vAlign w:val="center"/>
                </w:tcPr>
                <w:p>
                  <w:pPr>
                    <w:pStyle w:val="28"/>
                    <w:keepNext w:val="0"/>
                    <w:keepLines w:val="0"/>
                    <w:suppressLineNumbers w:val="0"/>
                    <w:bidi w:val="0"/>
                    <w:spacing w:before="0" w:beforeAutospacing="0" w:after="0" w:afterAutospacing="0"/>
                    <w:ind w:left="0" w:right="0" w:firstLine="0" w:firstLineChars="0"/>
                    <w:jc w:val="both"/>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bCs/>
                      <w:color w:val="auto"/>
                      <w:kern w:val="2"/>
                      <w:sz w:val="21"/>
                      <w:szCs w:val="21"/>
                      <w:highlight w:val="none"/>
                      <w:lang w:val="en-US" w:eastAsia="zh-CN" w:bidi="ar-SA"/>
                    </w:rPr>
                    <w:t>本项目为</w:t>
                  </w:r>
                  <w:bookmarkStart w:id="49" w:name="OLE_LINK85"/>
                  <w:r>
                    <w:rPr>
                      <w:rFonts w:hint="eastAsia" w:ascii="Times New Roman" w:hAnsi="Times New Roman" w:eastAsia="宋体"/>
                      <w:color w:val="auto"/>
                      <w:lang w:val="en-US" w:eastAsia="zh-CN"/>
                    </w:rPr>
                    <w:t>废铅蓄电池收集贮存项目</w:t>
                  </w:r>
                  <w:bookmarkEnd w:id="49"/>
                  <w:r>
                    <w:rPr>
                      <w:rFonts w:hint="eastAsia" w:ascii="Times New Roman" w:hAnsi="Times New Roman" w:eastAsiaTheme="minorEastAsia"/>
                      <w:color w:val="auto"/>
                      <w:kern w:val="2"/>
                      <w:sz w:val="21"/>
                      <w:szCs w:val="21"/>
                      <w:highlight w:val="none"/>
                      <w:lang w:val="en-US" w:eastAsia="zh-CN"/>
                    </w:rPr>
                    <w:t>。</w:t>
                  </w:r>
                  <w:r>
                    <w:rPr>
                      <w:rFonts w:hint="eastAsia" w:ascii="Times New Roman" w:hAnsi="Times New Roman" w:eastAsiaTheme="minorEastAsia"/>
                      <w:color w:val="auto"/>
                      <w:kern w:val="2"/>
                      <w:sz w:val="21"/>
                      <w:szCs w:val="21"/>
                      <w:highlight w:val="none"/>
                      <w:lang w:eastAsia="zh-CN"/>
                    </w:rPr>
                    <w:t>本项目</w:t>
                  </w:r>
                  <w:r>
                    <w:rPr>
                      <w:rFonts w:hint="default" w:ascii="Times New Roman" w:hAnsi="Times New Roman" w:eastAsia="宋体"/>
                      <w:color w:val="auto"/>
                    </w:rPr>
                    <w:t>属于《产业结构调整指导目录（2024年本）》</w:t>
                  </w:r>
                  <w:r>
                    <w:rPr>
                      <w:rFonts w:hint="eastAsia"/>
                      <w:color w:val="auto"/>
                      <w:lang w:val="en-US" w:eastAsia="zh-CN"/>
                    </w:rPr>
                    <w:t>鼓励</w:t>
                  </w:r>
                  <w:r>
                    <w:rPr>
                      <w:rFonts w:hint="eastAsia" w:ascii="Times New Roman" w:hAnsi="Times New Roman" w:eastAsia="宋体"/>
                      <w:color w:val="auto"/>
                      <w:lang w:val="en-US" w:eastAsia="zh-CN"/>
                    </w:rPr>
                    <w:t>类</w:t>
                  </w:r>
                  <w:r>
                    <w:rPr>
                      <w:rFonts w:hint="default" w:ascii="Times New Roman" w:hAnsi="Times New Roman" w:eastAsia="宋体"/>
                      <w:color w:val="auto"/>
                    </w:rPr>
                    <w:t>项目</w:t>
                  </w:r>
                  <w:r>
                    <w:rPr>
                      <w:rFonts w:hint="eastAsia" w:ascii="Times New Roman" w:hAnsi="Times New Roman" w:eastAsia="宋体"/>
                      <w:color w:val="auto"/>
                      <w:lang w:eastAsia="zh-CN"/>
                    </w:rPr>
                    <w:t>，</w:t>
                  </w:r>
                  <w:r>
                    <w:rPr>
                      <w:rFonts w:hint="eastAsia"/>
                      <w:color w:val="auto"/>
                    </w:rPr>
                    <w:t>本项目</w:t>
                  </w:r>
                  <w:r>
                    <w:rPr>
                      <w:rFonts w:hint="eastAsia"/>
                      <w:color w:val="auto"/>
                      <w:highlight w:val="none"/>
                      <w:lang w:val="en-US" w:eastAsia="zh-CN"/>
                    </w:rPr>
                    <w:t>不属于</w:t>
                  </w:r>
                  <w:r>
                    <w:rPr>
                      <w:rFonts w:hint="default" w:ascii="Times New Roman" w:hAnsi="Times New Roman" w:cs="Times New Roman" w:eastAsiaTheme="minorEastAsia"/>
                      <w:color w:val="auto"/>
                      <w:sz w:val="21"/>
                      <w:szCs w:val="21"/>
                      <w:highlight w:val="none"/>
                    </w:rPr>
                    <w:t>国家、省绩效分级重点行业</w:t>
                  </w:r>
                  <w:r>
                    <w:rPr>
                      <w:rFonts w:hint="eastAsia" w:ascii="Times New Roman" w:hAnsi="Times New Roman" w:eastAsia="宋体"/>
                      <w:color w:val="auto"/>
                      <w:lang w:eastAsia="zh-CN"/>
                    </w:rPr>
                    <w:t>。</w:t>
                  </w:r>
                </w:p>
              </w:tc>
              <w:tc>
                <w:tcPr>
                  <w:tcW w:w="481" w:type="pct"/>
                  <w:vAlign w:val="center"/>
                </w:tcPr>
                <w:p>
                  <w:pPr>
                    <w:pStyle w:val="2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ind w:left="0" w:right="0"/>
                    <w:textAlignment w:val="auto"/>
                    <w:rPr>
                      <w:color w:val="auto"/>
                      <w:highlight w:val="none"/>
                      <w:u w:val="none"/>
                    </w:rPr>
                  </w:pPr>
                  <w:r>
                    <w:rPr>
                      <w:rFonts w:hint="eastAsia"/>
                      <w:color w:val="auto"/>
                      <w:highlight w:val="none"/>
                      <w:lang w:val="en-US" w:eastAsia="zh-CN"/>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3" w:type="pct"/>
                  <w:vMerge w:val="continue"/>
                  <w:vAlign w:val="center"/>
                </w:tcPr>
                <w:p>
                  <w:pPr>
                    <w:pStyle w:val="28"/>
                    <w:keepNext w:val="0"/>
                    <w:keepLines w:val="0"/>
                    <w:suppressLineNumbers w:val="0"/>
                    <w:bidi w:val="0"/>
                    <w:spacing w:before="0" w:beforeAutospacing="0" w:after="0" w:afterAutospacing="0"/>
                    <w:ind w:left="0" w:right="0" w:firstLine="0" w:firstLineChars="0"/>
                    <w:jc w:val="both"/>
                    <w:rPr>
                      <w:color w:val="auto"/>
                      <w:highlight w:val="none"/>
                    </w:rPr>
                  </w:pPr>
                </w:p>
              </w:tc>
              <w:tc>
                <w:tcPr>
                  <w:tcW w:w="2619" w:type="pct"/>
                  <w:vAlign w:val="center"/>
                </w:tcPr>
                <w:p>
                  <w:pPr>
                    <w:pStyle w:val="28"/>
                    <w:keepNext w:val="0"/>
                    <w:keepLines w:val="0"/>
                    <w:suppressLineNumbers w:val="0"/>
                    <w:bidi w:val="0"/>
                    <w:spacing w:before="0" w:beforeAutospacing="0" w:after="0" w:afterAutospacing="0"/>
                    <w:ind w:left="0" w:right="0" w:firstLine="0" w:firstLineChars="0"/>
                    <w:jc w:val="both"/>
                    <w:rPr>
                      <w:rFonts w:hint="eastAsia" w:ascii="Times New Roman" w:hAnsi="Times New Roman" w:eastAsia="宋体" w:cs="Times New Roman"/>
                      <w:color w:val="auto"/>
                      <w:highlight w:val="none"/>
                      <w:lang w:val="en-US" w:eastAsia="zh-CN"/>
                    </w:rPr>
                  </w:pPr>
                  <w:r>
                    <w:rPr>
                      <w:rFonts w:ascii="Times New Roman" w:hAnsi="Times New Roman" w:eastAsia="宋体" w:cs="Times New Roman"/>
                      <w:color w:val="auto"/>
                      <w:highlight w:val="none"/>
                    </w:rPr>
                    <w:t>2.严管严控“两高”项目。严格落实国家和我省“两高”项目相关要求。严格执行有关行业产能置换政策，被置换产能及其配套设施关停后，新建项目方可投产。国家、省绩效分级重点行业以及涉及锅炉炉窑的其他行业，新改扩建项目原则上达到环境绩效A级和国内清洁生产先进水平。</w:t>
                  </w:r>
                </w:p>
              </w:tc>
              <w:tc>
                <w:tcPr>
                  <w:tcW w:w="1296" w:type="pct"/>
                  <w:vAlign w:val="center"/>
                </w:tcPr>
                <w:p>
                  <w:pPr>
                    <w:pStyle w:val="28"/>
                    <w:keepNext w:val="0"/>
                    <w:keepLines w:val="0"/>
                    <w:suppressLineNumbers w:val="0"/>
                    <w:bidi w:val="0"/>
                    <w:spacing w:before="0" w:beforeAutospacing="0" w:after="0" w:afterAutospacing="0"/>
                    <w:ind w:left="0" w:right="0" w:firstLine="0" w:firstLineChars="0"/>
                    <w:jc w:val="both"/>
                    <w:rPr>
                      <w:rFonts w:hint="eastAsia" w:ascii="Times New Roman" w:hAnsi="Times New Roman" w:eastAsia="宋体" w:cs="Times New Roman"/>
                      <w:color w:val="auto"/>
                      <w:highlight w:val="none"/>
                      <w:lang w:val="en-US" w:eastAsia="zh-CN"/>
                    </w:rPr>
                  </w:pPr>
                  <w:r>
                    <w:rPr>
                      <w:rFonts w:hint="eastAsia" w:ascii="Times New Roman" w:hAnsi="宋体" w:eastAsia="宋体" w:cs="Times New Roman"/>
                      <w:color w:val="auto"/>
                      <w:kern w:val="2"/>
                      <w:sz w:val="21"/>
                      <w:szCs w:val="21"/>
                      <w:highlight w:val="none"/>
                      <w:lang w:val="en-US" w:eastAsia="zh-CN" w:bidi="ar-SA"/>
                    </w:rPr>
                    <w:t>本项目不属于“两高”项目，不涉及</w:t>
                  </w:r>
                  <w:r>
                    <w:rPr>
                      <w:rFonts w:ascii="Times New Roman" w:hAnsi="Times New Roman" w:eastAsia="宋体" w:cs="Times New Roman"/>
                      <w:color w:val="auto"/>
                      <w:highlight w:val="none"/>
                    </w:rPr>
                    <w:t>产能置换</w:t>
                  </w:r>
                  <w:r>
                    <w:rPr>
                      <w:rFonts w:hint="eastAsia" w:ascii="Times New Roman" w:hAnsi="Times New Roman" w:eastAsia="宋体" w:cs="Times New Roman"/>
                      <w:color w:val="auto"/>
                      <w:highlight w:val="none"/>
                      <w:lang w:eastAsia="zh-CN"/>
                    </w:rPr>
                    <w:t>；</w:t>
                  </w:r>
                  <w:r>
                    <w:rPr>
                      <w:color w:val="auto"/>
                      <w:szCs w:val="21"/>
                    </w:rPr>
                    <w:t>本项目为</w:t>
                  </w:r>
                  <w:r>
                    <w:rPr>
                      <w:rFonts w:hint="eastAsia"/>
                      <w:color w:val="auto"/>
                      <w:szCs w:val="21"/>
                      <w:lang w:val="en-US" w:eastAsia="zh-CN"/>
                    </w:rPr>
                    <w:t>新</w:t>
                  </w:r>
                  <w:r>
                    <w:rPr>
                      <w:color w:val="auto"/>
                      <w:szCs w:val="21"/>
                    </w:rPr>
                    <w:t>建项目，</w:t>
                  </w:r>
                  <w:bookmarkStart w:id="50" w:name="OLE_LINK54"/>
                  <w:r>
                    <w:rPr>
                      <w:rFonts w:hint="eastAsia"/>
                      <w:color w:val="auto"/>
                    </w:rPr>
                    <w:t>本项目</w:t>
                  </w:r>
                  <w:r>
                    <w:rPr>
                      <w:rFonts w:hint="eastAsia"/>
                      <w:color w:val="auto"/>
                      <w:highlight w:val="none"/>
                      <w:lang w:val="en-US" w:eastAsia="zh-CN"/>
                    </w:rPr>
                    <w:t>不属于</w:t>
                  </w:r>
                  <w:r>
                    <w:rPr>
                      <w:rFonts w:hint="default" w:ascii="Times New Roman" w:hAnsi="Times New Roman" w:cs="Times New Roman" w:eastAsiaTheme="minorEastAsia"/>
                      <w:color w:val="auto"/>
                      <w:sz w:val="21"/>
                      <w:szCs w:val="21"/>
                      <w:highlight w:val="none"/>
                    </w:rPr>
                    <w:t>国家、省绩效分级重点行业</w:t>
                  </w:r>
                  <w:r>
                    <w:rPr>
                      <w:rFonts w:hint="eastAsia" w:ascii="Times New Roman" w:hAnsi="Times New Roman" w:cs="Times New Roman" w:eastAsiaTheme="minorEastAsia"/>
                      <w:color w:val="auto"/>
                      <w:sz w:val="21"/>
                      <w:szCs w:val="21"/>
                      <w:highlight w:val="none"/>
                      <w:lang w:eastAsia="zh-CN"/>
                    </w:rPr>
                    <w:t>。</w:t>
                  </w:r>
                  <w:bookmarkEnd w:id="50"/>
                </w:p>
              </w:tc>
              <w:tc>
                <w:tcPr>
                  <w:tcW w:w="481" w:type="pct"/>
                  <w:vAlign w:val="center"/>
                </w:tcPr>
                <w:p>
                  <w:pPr>
                    <w:pStyle w:val="2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3" w:type="pct"/>
                  <w:vAlign w:val="center"/>
                </w:tcPr>
                <w:p>
                  <w:pPr>
                    <w:pStyle w:val="28"/>
                    <w:keepNext w:val="0"/>
                    <w:keepLines w:val="0"/>
                    <w:suppressLineNumbers w:val="0"/>
                    <w:bidi w:val="0"/>
                    <w:spacing w:before="0" w:beforeAutospacing="0" w:after="0" w:afterAutospacing="0"/>
                    <w:ind w:left="0" w:right="0" w:firstLine="0" w:firstLineChars="0"/>
                    <w:jc w:val="both"/>
                    <w:rPr>
                      <w:rFonts w:ascii="Times New Roman" w:hAnsi="Times New Roman" w:eastAsia="宋体" w:cs="Times New Roman"/>
                      <w:color w:val="auto"/>
                      <w:highlight w:val="none"/>
                    </w:rPr>
                  </w:pPr>
                  <w:r>
                    <w:rPr>
                      <w:rFonts w:ascii="Times New Roman" w:hAnsi="Times New Roman" w:eastAsia="宋体" w:cs="Times New Roman"/>
                      <w:color w:val="auto"/>
                      <w:highlight w:val="none"/>
                    </w:rPr>
                    <w:t>（二）工业企业提标治理专项攻坚</w:t>
                  </w:r>
                </w:p>
              </w:tc>
              <w:tc>
                <w:tcPr>
                  <w:tcW w:w="2619" w:type="pct"/>
                  <w:vAlign w:val="center"/>
                </w:tcPr>
                <w:p>
                  <w:pPr>
                    <w:pStyle w:val="28"/>
                    <w:keepNext w:val="0"/>
                    <w:keepLines w:val="0"/>
                    <w:suppressLineNumbers w:val="0"/>
                    <w:bidi w:val="0"/>
                    <w:spacing w:before="0" w:beforeAutospacing="0" w:after="0" w:afterAutospacing="0"/>
                    <w:ind w:left="0" w:right="0" w:firstLine="0" w:firstLineChars="0"/>
                    <w:jc w:val="both"/>
                    <w:rPr>
                      <w:rFonts w:ascii="Times New Roman" w:hAnsi="Times New Roman" w:eastAsia="宋体" w:cs="Times New Roman"/>
                      <w:color w:val="auto"/>
                      <w:highlight w:val="none"/>
                    </w:rPr>
                  </w:pPr>
                  <w:r>
                    <w:rPr>
                      <w:rFonts w:ascii="Times New Roman" w:hAnsi="Times New Roman" w:eastAsia="宋体" w:cs="Times New Roman"/>
                      <w:color w:val="auto"/>
                      <w:highlight w:val="none"/>
                    </w:rPr>
                    <w:t>11.扎实推动涉气主要污染物减排。对照年度减排目标，深挖减排潜力，谋划推动一批减排项目，尽快形成减排效益；加强减排档案规范化管理，确保圆满完成年度减排目标，有力支撑空气质量持续改善。</w:t>
                  </w:r>
                </w:p>
              </w:tc>
              <w:tc>
                <w:tcPr>
                  <w:tcW w:w="1296" w:type="pct"/>
                  <w:vAlign w:val="center"/>
                </w:tcPr>
                <w:p>
                  <w:pPr>
                    <w:pStyle w:val="28"/>
                    <w:keepNext w:val="0"/>
                    <w:keepLines w:val="0"/>
                    <w:suppressLineNumbers w:val="0"/>
                    <w:bidi w:val="0"/>
                    <w:spacing w:before="0" w:beforeAutospacing="0" w:after="0" w:afterAutospacing="0"/>
                    <w:ind w:left="0" w:right="0" w:firstLine="0" w:firstLineChars="0"/>
                    <w:jc w:val="both"/>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本项</w:t>
                  </w:r>
                  <w:r>
                    <w:rPr>
                      <w:rFonts w:hint="eastAsia" w:ascii="Times New Roman" w:hAnsi="Times New Roman" w:eastAsia="宋体"/>
                      <w:color w:val="auto"/>
                      <w:highlight w:val="none"/>
                      <w:lang w:val="en-US" w:eastAsia="zh-CN"/>
                    </w:rPr>
                    <w:t>目为新建项目，废气不涉及总量控制指标。</w:t>
                  </w:r>
                </w:p>
              </w:tc>
              <w:tc>
                <w:tcPr>
                  <w:tcW w:w="481" w:type="pct"/>
                  <w:vAlign w:val="center"/>
                </w:tcPr>
                <w:p>
                  <w:pPr>
                    <w:pStyle w:val="2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3" w:type="pct"/>
                  <w:vAlign w:val="center"/>
                </w:tcPr>
                <w:p>
                  <w:pPr>
                    <w:pStyle w:val="28"/>
                    <w:keepNext w:val="0"/>
                    <w:keepLines w:val="0"/>
                    <w:suppressLineNumbers w:val="0"/>
                    <w:bidi w:val="0"/>
                    <w:spacing w:before="0" w:beforeAutospacing="0" w:after="0" w:afterAutospacing="0"/>
                    <w:ind w:left="0" w:right="0" w:firstLine="0" w:firstLineChars="0"/>
                    <w:jc w:val="both"/>
                    <w:rPr>
                      <w:color w:val="auto"/>
                      <w:highlight w:val="none"/>
                    </w:rPr>
                  </w:pPr>
                  <w:r>
                    <w:rPr>
                      <w:rFonts w:ascii="Times New Roman" w:hAnsi="Times New Roman" w:eastAsia="宋体" w:cs="Times New Roman"/>
                      <w:color w:val="auto"/>
                      <w:highlight w:val="none"/>
                    </w:rPr>
                    <w:t>（四）面源污染防控专项攻坚</w:t>
                  </w:r>
                </w:p>
              </w:tc>
              <w:tc>
                <w:tcPr>
                  <w:tcW w:w="2619" w:type="pct"/>
                  <w:vAlign w:val="center"/>
                </w:tcPr>
                <w:p>
                  <w:pPr>
                    <w:pStyle w:val="28"/>
                    <w:keepNext w:val="0"/>
                    <w:keepLines w:val="0"/>
                    <w:suppressLineNumbers w:val="0"/>
                    <w:bidi w:val="0"/>
                    <w:spacing w:before="0" w:beforeAutospacing="0" w:after="0" w:afterAutospacing="0"/>
                    <w:ind w:left="0" w:right="0" w:firstLine="0" w:firstLineChars="0"/>
                    <w:jc w:val="both"/>
                    <w:rPr>
                      <w:rFonts w:ascii="Times New Roman" w:hAnsi="Times New Roman" w:eastAsia="宋体" w:cs="Times New Roman"/>
                      <w:color w:val="auto"/>
                      <w:highlight w:val="none"/>
                    </w:rPr>
                  </w:pPr>
                  <w:r>
                    <w:rPr>
                      <w:rFonts w:ascii="Times New Roman" w:hAnsi="Times New Roman" w:eastAsia="宋体" w:cs="Times New Roman"/>
                      <w:color w:val="auto"/>
                      <w:highlight w:val="none"/>
                    </w:rPr>
                    <w:t>24.开展环境绩效等级提升行动。持续开展重点行业绩效分级“创A晋B减C清D”行动，分行业分类别建立绩效提升企业清单，全力帮扶重点行业企业对照行业先进水平实施生产和治理工艺装备提升改造，不断提升环境绩效等级。加强企业绩效监管，落实“有进有出”动态调整机制，对已评定A级、B级和绩效引领性企业开展“回头看”，对实际绩效水平达不到评定等级要求，或存在严重环境违法违规行为的企业，严格实施降级处理。鼓励指导企业通过设备更新、技术改造、治理升级等措施，不断提升环境绩效等级，2025年全市新增A级、B级企业及绩效引领性企业30家以上。</w:t>
                  </w:r>
                </w:p>
              </w:tc>
              <w:tc>
                <w:tcPr>
                  <w:tcW w:w="1296" w:type="pct"/>
                  <w:vAlign w:val="center"/>
                </w:tcPr>
                <w:p>
                  <w:pPr>
                    <w:pStyle w:val="28"/>
                    <w:keepNext w:val="0"/>
                    <w:keepLines w:val="0"/>
                    <w:suppressLineNumbers w:val="0"/>
                    <w:bidi w:val="0"/>
                    <w:spacing w:before="0" w:beforeAutospacing="0" w:after="0" w:afterAutospacing="0"/>
                    <w:ind w:left="0" w:right="0" w:firstLine="0" w:firstLineChars="0"/>
                    <w:jc w:val="both"/>
                    <w:rPr>
                      <w:rFonts w:hint="eastAsia" w:ascii="Times New Roman" w:hAnsi="Times New Roman" w:eastAsia="宋体" w:cs="Times New Roman"/>
                      <w:color w:val="auto"/>
                      <w:highlight w:val="none"/>
                      <w:lang w:val="en-US" w:eastAsia="zh-CN"/>
                    </w:rPr>
                  </w:pPr>
                  <w:r>
                    <w:rPr>
                      <w:color w:val="auto"/>
                      <w:szCs w:val="21"/>
                    </w:rPr>
                    <w:t>本项目为</w:t>
                  </w:r>
                  <w:r>
                    <w:rPr>
                      <w:rFonts w:hint="eastAsia"/>
                      <w:color w:val="auto"/>
                      <w:szCs w:val="21"/>
                      <w:lang w:val="en-US" w:eastAsia="zh-CN"/>
                    </w:rPr>
                    <w:t>新</w:t>
                  </w:r>
                  <w:r>
                    <w:rPr>
                      <w:color w:val="auto"/>
                      <w:szCs w:val="21"/>
                    </w:rPr>
                    <w:t>建项目，</w:t>
                  </w:r>
                  <w:r>
                    <w:rPr>
                      <w:rFonts w:hint="eastAsia"/>
                      <w:color w:val="auto"/>
                    </w:rPr>
                    <w:t>本项目</w:t>
                  </w:r>
                  <w:r>
                    <w:rPr>
                      <w:rFonts w:hint="eastAsia"/>
                      <w:color w:val="auto"/>
                      <w:highlight w:val="none"/>
                      <w:lang w:val="en-US" w:eastAsia="zh-CN"/>
                    </w:rPr>
                    <w:t>不属于</w:t>
                  </w:r>
                  <w:r>
                    <w:rPr>
                      <w:rFonts w:hint="default" w:ascii="Times New Roman" w:hAnsi="Times New Roman" w:cs="Times New Roman" w:eastAsiaTheme="minorEastAsia"/>
                      <w:color w:val="auto"/>
                      <w:sz w:val="21"/>
                      <w:szCs w:val="21"/>
                      <w:highlight w:val="none"/>
                    </w:rPr>
                    <w:t>国家、省绩效分级重点行业</w:t>
                  </w:r>
                  <w:r>
                    <w:rPr>
                      <w:rFonts w:hint="default"/>
                      <w:color w:val="auto"/>
                      <w:lang w:val="en-US" w:eastAsia="zh-CN"/>
                    </w:rPr>
                    <w:t>。</w:t>
                  </w:r>
                </w:p>
              </w:tc>
              <w:tc>
                <w:tcPr>
                  <w:tcW w:w="481" w:type="pct"/>
                  <w:vAlign w:val="center"/>
                </w:tcPr>
                <w:p>
                  <w:pPr>
                    <w:pStyle w:val="2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ind w:left="0" w:right="0"/>
                    <w:textAlignment w:val="auto"/>
                    <w:rPr>
                      <w:rFonts w:hint="eastAsia"/>
                      <w:color w:val="auto"/>
                      <w:highlight w:val="none"/>
                      <w:lang w:val="en-US" w:eastAsia="zh-CN"/>
                    </w:rPr>
                  </w:pPr>
                  <w:r>
                    <w:rPr>
                      <w:rFonts w:hint="eastAsia"/>
                      <w:color w:val="auto"/>
                      <w:highlight w:val="none"/>
                      <w:lang w:val="en-US" w:eastAsia="zh-CN"/>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vAlign w:val="center"/>
                </w:tcPr>
                <w:p>
                  <w:pPr>
                    <w:pStyle w:val="2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ind w:left="0" w:right="0"/>
                    <w:textAlignment w:val="auto"/>
                    <w:rPr>
                      <w:color w:val="auto"/>
                      <w:highlight w:val="none"/>
                      <w:u w:val="none"/>
                    </w:rPr>
                  </w:pPr>
                  <w:r>
                    <w:rPr>
                      <w:rFonts w:hint="eastAsia"/>
                      <w:b/>
                      <w:bCs/>
                      <w:color w:val="auto"/>
                      <w:highlight w:val="none"/>
                      <w:u w:val="none"/>
                    </w:rPr>
                    <w:t>《新乡市202</w:t>
                  </w:r>
                  <w:r>
                    <w:rPr>
                      <w:rFonts w:hint="eastAsia"/>
                      <w:b/>
                      <w:bCs/>
                      <w:color w:val="auto"/>
                      <w:highlight w:val="none"/>
                      <w:u w:val="none"/>
                      <w:lang w:val="en-US" w:eastAsia="zh-CN"/>
                    </w:rPr>
                    <w:t>5</w:t>
                  </w:r>
                  <w:r>
                    <w:rPr>
                      <w:rFonts w:hint="eastAsia"/>
                      <w:b/>
                      <w:bCs/>
                      <w:color w:val="auto"/>
                      <w:highlight w:val="none"/>
                      <w:u w:val="none"/>
                    </w:rPr>
                    <w:t>年碧水保卫战实施方案》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3" w:type="pct"/>
                  <w:vAlign w:val="center"/>
                </w:tcPr>
                <w:p>
                  <w:pPr>
                    <w:pStyle w:val="28"/>
                    <w:keepNext w:val="0"/>
                    <w:keepLines w:val="0"/>
                    <w:suppressLineNumbers w:val="0"/>
                    <w:bidi w:val="0"/>
                    <w:spacing w:before="0" w:beforeAutospacing="0" w:after="0" w:afterAutospacing="0"/>
                    <w:ind w:left="0" w:right="0" w:firstLine="0" w:firstLineChars="0"/>
                    <w:jc w:val="both"/>
                    <w:rPr>
                      <w:rFonts w:hint="default" w:ascii="Times New Roman" w:hAnsi="Times New Roman" w:eastAsia="宋体" w:cs="Times New Roman"/>
                      <w:color w:val="auto"/>
                      <w:highlight w:val="none"/>
                      <w:lang w:val="en-US" w:eastAsia="zh-CN"/>
                    </w:rPr>
                  </w:pPr>
                  <w:r>
                    <w:rPr>
                      <w:rFonts w:ascii="Times New Roman" w:hAnsi="Times New Roman" w:eastAsia="宋体" w:cs="Times New Roman"/>
                      <w:color w:val="auto"/>
                      <w:highlight w:val="none"/>
                    </w:rPr>
                    <w:t>（五）持续提升污水资源化利用水平</w:t>
                  </w:r>
                </w:p>
              </w:tc>
              <w:tc>
                <w:tcPr>
                  <w:tcW w:w="2619" w:type="pct"/>
                  <w:vAlign w:val="center"/>
                </w:tcPr>
                <w:p>
                  <w:pPr>
                    <w:pStyle w:val="28"/>
                    <w:keepNext w:val="0"/>
                    <w:keepLines w:val="0"/>
                    <w:suppressLineNumbers w:val="0"/>
                    <w:bidi w:val="0"/>
                    <w:spacing w:before="0" w:beforeAutospacing="0" w:after="0" w:afterAutospacing="0"/>
                    <w:ind w:left="0" w:right="0" w:firstLine="0" w:firstLineChars="0"/>
                    <w:jc w:val="both"/>
                    <w:rPr>
                      <w:rFonts w:ascii="Times New Roman" w:hAnsi="Times New Roman" w:eastAsia="宋体" w:cs="Times New Roman"/>
                      <w:color w:val="auto"/>
                      <w:highlight w:val="none"/>
                    </w:rPr>
                  </w:pPr>
                  <w:r>
                    <w:rPr>
                      <w:rFonts w:ascii="Times New Roman" w:hAnsi="Times New Roman" w:eastAsia="宋体" w:cs="Times New Roman"/>
                      <w:color w:val="auto"/>
                      <w:highlight w:val="none"/>
                    </w:rPr>
                    <w:t>13.推动企业绿色转型发展。坚决遏制“两高一低”项目盲目发展，严把新建项目准入关；严格落实生态环境分区管控，加快推进工业企业绿色转型发展；培育壮大节能、节水、环保和资源综合利用产业，提高能源资源利用效率；对有色金属、化工、电镀、制革、造纸、印染、农副食品加工等行业，全面推进清洁生产改造或清洁化改造。2025年全面实施27家重点行业企业强制性清洁生产审核。</w:t>
                  </w:r>
                </w:p>
              </w:tc>
              <w:tc>
                <w:tcPr>
                  <w:tcW w:w="1296" w:type="pct"/>
                  <w:vAlign w:val="center"/>
                </w:tcPr>
                <w:p>
                  <w:pPr>
                    <w:pStyle w:val="28"/>
                    <w:keepNext w:val="0"/>
                    <w:keepLines w:val="0"/>
                    <w:suppressLineNumbers w:val="0"/>
                    <w:bidi w:val="0"/>
                    <w:spacing w:before="0" w:beforeAutospacing="0" w:after="0" w:afterAutospacing="0"/>
                    <w:ind w:left="0" w:right="0" w:firstLine="0" w:firstLineChars="0"/>
                    <w:jc w:val="both"/>
                    <w:rPr>
                      <w:rFonts w:hint="default" w:ascii="Times New Roman" w:hAnsi="Times New Roman" w:eastAsia="宋体" w:cs="Times New Roman"/>
                      <w:color w:val="auto"/>
                      <w:kern w:val="0"/>
                      <w:szCs w:val="24"/>
                      <w:highlight w:val="none"/>
                      <w:lang w:val="en-US" w:eastAsia="zh-CN"/>
                    </w:rPr>
                  </w:pPr>
                  <w:r>
                    <w:rPr>
                      <w:rFonts w:hint="default" w:ascii="Times New Roman" w:hAnsi="Times New Roman" w:eastAsia="宋体" w:cs="Times New Roman"/>
                      <w:color w:val="auto"/>
                      <w:kern w:val="0"/>
                      <w:szCs w:val="24"/>
                      <w:highlight w:val="none"/>
                      <w:lang w:val="en-US" w:eastAsia="zh-CN"/>
                    </w:rPr>
                    <w:t>本项目不属于</w:t>
                  </w:r>
                  <w:r>
                    <w:rPr>
                      <w:rFonts w:hint="eastAsia" w:ascii="Times New Roman" w:hAnsi="Times New Roman" w:eastAsia="宋体" w:cs="Times New Roman"/>
                      <w:color w:val="auto"/>
                      <w:kern w:val="0"/>
                      <w:szCs w:val="24"/>
                      <w:highlight w:val="none"/>
                      <w:lang w:val="en-US" w:eastAsia="zh-CN"/>
                    </w:rPr>
                    <w:t>“</w:t>
                  </w:r>
                  <w:r>
                    <w:rPr>
                      <w:rFonts w:hint="default" w:ascii="Times New Roman" w:hAnsi="Times New Roman" w:eastAsia="宋体" w:cs="Times New Roman"/>
                      <w:color w:val="auto"/>
                      <w:kern w:val="0"/>
                      <w:szCs w:val="24"/>
                      <w:highlight w:val="none"/>
                      <w:lang w:val="en-US" w:eastAsia="zh-CN"/>
                    </w:rPr>
                    <w:t>两高一低</w:t>
                  </w:r>
                  <w:r>
                    <w:rPr>
                      <w:rFonts w:hint="eastAsia" w:ascii="Times New Roman" w:hAnsi="Times New Roman" w:eastAsia="宋体" w:cs="Times New Roman"/>
                      <w:color w:val="auto"/>
                      <w:kern w:val="0"/>
                      <w:szCs w:val="24"/>
                      <w:highlight w:val="none"/>
                      <w:lang w:val="en-US" w:eastAsia="zh-CN"/>
                    </w:rPr>
                    <w:t>”</w:t>
                  </w:r>
                  <w:r>
                    <w:rPr>
                      <w:rFonts w:hint="default" w:ascii="Times New Roman" w:hAnsi="Times New Roman" w:eastAsia="宋体" w:cs="Times New Roman"/>
                      <w:color w:val="auto"/>
                      <w:kern w:val="0"/>
                      <w:szCs w:val="24"/>
                      <w:highlight w:val="none"/>
                      <w:lang w:val="en-US" w:eastAsia="zh-CN"/>
                    </w:rPr>
                    <w:t>项目。</w:t>
                  </w:r>
                </w:p>
              </w:tc>
              <w:tc>
                <w:tcPr>
                  <w:tcW w:w="481" w:type="pct"/>
                  <w:vAlign w:val="center"/>
                </w:tcPr>
                <w:p>
                  <w:pPr>
                    <w:pStyle w:val="28"/>
                    <w:keepNext w:val="0"/>
                    <w:keepLines w:val="0"/>
                    <w:suppressLineNumbers w:val="0"/>
                    <w:bidi w:val="0"/>
                    <w:spacing w:before="0" w:beforeAutospacing="0" w:after="0" w:afterAutospacing="0"/>
                    <w:ind w:left="0" w:right="0" w:firstLine="0" w:firstLineChars="0"/>
                    <w:jc w:val="both"/>
                    <w:rPr>
                      <w:rFonts w:hint="eastAsia" w:ascii="Times New Roman" w:hAnsi="Times New Roman" w:eastAsia="宋体" w:cs="Times New Roman"/>
                      <w:color w:val="auto"/>
                      <w:kern w:val="0"/>
                      <w:szCs w:val="24"/>
                      <w:highlight w:val="none"/>
                      <w:lang w:val="en-US" w:eastAsia="zh-CN"/>
                    </w:rPr>
                  </w:pPr>
                  <w:r>
                    <w:rPr>
                      <w:rFonts w:hint="eastAsia" w:ascii="Times New Roman" w:hAnsi="Times New Roman" w:eastAsia="宋体" w:cs="Times New Roman"/>
                      <w:color w:val="auto"/>
                      <w:kern w:val="0"/>
                      <w:szCs w:val="24"/>
                      <w:highlight w:val="none"/>
                      <w:lang w:val="en-US" w:eastAsia="zh-CN"/>
                    </w:rPr>
                    <w:t>符合要求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vAlign w:val="center"/>
                </w:tcPr>
                <w:p>
                  <w:pPr>
                    <w:pStyle w:val="2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ind w:left="0" w:right="0"/>
                    <w:textAlignment w:val="auto"/>
                    <w:rPr>
                      <w:color w:val="auto"/>
                      <w:highlight w:val="none"/>
                      <w:u w:val="none"/>
                    </w:rPr>
                  </w:pPr>
                  <w:r>
                    <w:rPr>
                      <w:rFonts w:hint="eastAsia"/>
                      <w:b/>
                      <w:bCs/>
                      <w:color w:val="auto"/>
                      <w:highlight w:val="none"/>
                      <w:u w:val="none"/>
                    </w:rPr>
                    <w:t>《新乡市202</w:t>
                  </w:r>
                  <w:r>
                    <w:rPr>
                      <w:rFonts w:hint="eastAsia"/>
                      <w:b/>
                      <w:bCs/>
                      <w:color w:val="auto"/>
                      <w:highlight w:val="none"/>
                      <w:u w:val="none"/>
                      <w:lang w:val="en-US" w:eastAsia="zh-CN"/>
                    </w:rPr>
                    <w:t>5</w:t>
                  </w:r>
                  <w:r>
                    <w:rPr>
                      <w:rFonts w:hint="eastAsia"/>
                      <w:b/>
                      <w:bCs/>
                      <w:color w:val="auto"/>
                      <w:highlight w:val="none"/>
                      <w:u w:val="none"/>
                    </w:rPr>
                    <w:t>年净土保卫战实施方案》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3" w:type="pct"/>
                  <w:vAlign w:val="center"/>
                </w:tcPr>
                <w:p>
                  <w:pPr>
                    <w:pStyle w:val="28"/>
                    <w:keepNext w:val="0"/>
                    <w:keepLines w:val="0"/>
                    <w:suppressLineNumbers w:val="0"/>
                    <w:bidi w:val="0"/>
                    <w:spacing w:before="0" w:beforeAutospacing="0" w:after="0" w:afterAutospacing="0"/>
                    <w:ind w:left="0" w:right="0" w:firstLine="0" w:firstLineChars="0"/>
                    <w:jc w:val="both"/>
                    <w:rPr>
                      <w:rFonts w:ascii="Times New Roman" w:hAnsi="Times New Roman" w:eastAsia="宋体" w:cs="Times New Roman"/>
                      <w:color w:val="auto"/>
                      <w:highlight w:val="none"/>
                    </w:rPr>
                  </w:pPr>
                  <w:r>
                    <w:rPr>
                      <w:rFonts w:ascii="Times New Roman" w:hAnsi="Times New Roman" w:eastAsia="宋体" w:cs="Times New Roman"/>
                      <w:color w:val="auto"/>
                      <w:highlight w:val="none"/>
                    </w:rPr>
                    <w:t>（一）加强土壤污染防控</w:t>
                  </w:r>
                </w:p>
              </w:tc>
              <w:tc>
                <w:tcPr>
                  <w:tcW w:w="2619" w:type="pct"/>
                  <w:vAlign w:val="center"/>
                </w:tcPr>
                <w:p>
                  <w:pPr>
                    <w:pStyle w:val="28"/>
                    <w:keepNext w:val="0"/>
                    <w:keepLines w:val="0"/>
                    <w:suppressLineNumbers w:val="0"/>
                    <w:bidi w:val="0"/>
                    <w:spacing w:before="0" w:beforeAutospacing="0" w:after="0" w:afterAutospacing="0"/>
                    <w:ind w:left="0" w:right="0" w:firstLine="0" w:firstLineChars="0"/>
                    <w:jc w:val="both"/>
                    <w:rPr>
                      <w:rFonts w:ascii="Times New Roman" w:hAnsi="Times New Roman" w:eastAsia="宋体" w:cs="Times New Roman"/>
                      <w:color w:val="auto"/>
                      <w:highlight w:val="none"/>
                    </w:rPr>
                  </w:pPr>
                  <w:r>
                    <w:rPr>
                      <w:rFonts w:ascii="Times New Roman" w:hAnsi="Times New Roman" w:eastAsia="宋体" w:cs="Times New Roman"/>
                      <w:color w:val="auto"/>
                      <w:highlight w:val="none"/>
                    </w:rPr>
                    <w:t>8.有效推动土壤污染源头防控实施。加强源头预防，推动污染防治关口前移，制定《新乡市土壤污染源头防控行动实施方案》。持续动态更新涉镉等重金属行业企业清单并完成整治任务，依法对涉镉等重金属的大气、水环境重点排污单位排放口和周边环境进行定期监测，评估对周边农用地土壤重金属累积性风险，对存在风险采取有效防控措施。</w:t>
                  </w:r>
                </w:p>
              </w:tc>
              <w:tc>
                <w:tcPr>
                  <w:tcW w:w="1296" w:type="pct"/>
                  <w:vAlign w:val="center"/>
                </w:tcPr>
                <w:p>
                  <w:pPr>
                    <w:pStyle w:val="28"/>
                    <w:keepNext w:val="0"/>
                    <w:keepLines w:val="0"/>
                    <w:suppressLineNumbers w:val="0"/>
                    <w:bidi w:val="0"/>
                    <w:spacing w:before="0" w:beforeAutospacing="0" w:after="0" w:afterAutospacing="0"/>
                    <w:ind w:left="0" w:right="0" w:firstLine="0" w:firstLineChars="0"/>
                    <w:jc w:val="both"/>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本项目产生的</w:t>
                  </w:r>
                  <w:r>
                    <w:rPr>
                      <w:rFonts w:hint="eastAsia" w:ascii="Times New Roman" w:hAnsi="Times New Roman" w:eastAsia="宋体" w:cs="Times New Roman"/>
                      <w:color w:val="auto"/>
                      <w:highlight w:val="none"/>
                      <w:lang w:val="en-US" w:eastAsia="zh-CN"/>
                    </w:rPr>
                    <w:t>危险废物为</w:t>
                  </w:r>
                  <w:r>
                    <w:rPr>
                      <w:rFonts w:hint="eastAsia" w:ascii="Times New Roman" w:hAnsi="Times New Roman" w:eastAsia="宋体" w:cs="Times New Roman"/>
                      <w:color w:val="auto"/>
                      <w:highlight w:val="none"/>
                      <w:lang w:eastAsia="zh-CN"/>
                    </w:rPr>
                    <w:t>废劳保用品、</w:t>
                  </w:r>
                  <w:r>
                    <w:rPr>
                      <w:rFonts w:ascii="Times New Roman" w:hAnsi="Times New Roman" w:eastAsia="宋体" w:cs="Times New Roman"/>
                      <w:color w:val="auto"/>
                      <w:highlight w:val="none"/>
                    </w:rPr>
                    <w:t>废电解液</w:t>
                  </w:r>
                  <w:r>
                    <w:rPr>
                      <w:rFonts w:hint="eastAsia" w:ascii="Times New Roman" w:hAnsi="Times New Roman" w:eastAsia="宋体" w:cs="Times New Roman"/>
                      <w:color w:val="auto"/>
                      <w:highlight w:val="none"/>
                      <w:lang w:val="en-US" w:eastAsia="zh-CN"/>
                    </w:rPr>
                    <w:t>和</w:t>
                  </w:r>
                  <w:r>
                    <w:rPr>
                      <w:rFonts w:ascii="Times New Roman" w:hAnsi="Times New Roman" w:eastAsia="宋体" w:cs="Times New Roman"/>
                      <w:color w:val="auto"/>
                      <w:highlight w:val="none"/>
                    </w:rPr>
                    <w:t>废吸收液</w:t>
                  </w:r>
                  <w:r>
                    <w:rPr>
                      <w:rFonts w:hint="eastAsia" w:ascii="Times New Roman" w:hAnsi="Times New Roman" w:eastAsia="宋体" w:cs="Times New Roman"/>
                      <w:color w:val="auto"/>
                      <w:highlight w:val="none"/>
                      <w:lang w:eastAsia="zh-CN"/>
                    </w:rPr>
                    <w:t>，</w:t>
                  </w:r>
                  <w:r>
                    <w:rPr>
                      <w:rFonts w:ascii="Times New Roman" w:hAnsi="Times New Roman" w:eastAsia="宋体" w:cs="Times New Roman"/>
                      <w:color w:val="auto"/>
                      <w:highlight w:val="none"/>
                    </w:rPr>
                    <w:t>密闭桶装后，</w:t>
                  </w:r>
                  <w:r>
                    <w:rPr>
                      <w:rFonts w:hint="eastAsia" w:ascii="Times New Roman" w:hAnsi="Times New Roman" w:eastAsia="宋体" w:cs="Times New Roman"/>
                      <w:color w:val="auto"/>
                      <w:highlight w:val="none"/>
                      <w:lang w:val="en-US" w:eastAsia="zh-CN"/>
                    </w:rPr>
                    <w:t>暂存于危废暂存间</w:t>
                  </w:r>
                  <w:r>
                    <w:rPr>
                      <w:rFonts w:ascii="Times New Roman" w:hAnsi="Times New Roman" w:eastAsia="宋体" w:cs="Times New Roman"/>
                      <w:color w:val="auto"/>
                      <w:highlight w:val="none"/>
                    </w:rPr>
                    <w:t>，定期委托有资质单位处理</w:t>
                  </w:r>
                  <w:r>
                    <w:rPr>
                      <w:rFonts w:hint="eastAsia" w:ascii="Times New Roman" w:hAnsi="Times New Roman" w:eastAsia="宋体" w:cs="Times New Roman"/>
                      <w:color w:val="auto"/>
                      <w:highlight w:val="none"/>
                      <w:lang w:eastAsia="zh-CN"/>
                    </w:rPr>
                    <w:t>。</w:t>
                  </w:r>
                </w:p>
              </w:tc>
              <w:tc>
                <w:tcPr>
                  <w:tcW w:w="481" w:type="pct"/>
                  <w:vAlign w:val="center"/>
                </w:tcPr>
                <w:p>
                  <w:pPr>
                    <w:pStyle w:val="2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ind w:left="0" w:right="0"/>
                    <w:textAlignment w:val="auto"/>
                    <w:rPr>
                      <w:color w:val="auto"/>
                      <w:highlight w:val="none"/>
                      <w:u w:val="none"/>
                    </w:rPr>
                  </w:pPr>
                  <w:r>
                    <w:rPr>
                      <w:rFonts w:hint="eastAsia"/>
                      <w:color w:val="auto"/>
                      <w:highlight w:val="none"/>
                      <w:u w:val="none"/>
                    </w:rPr>
                    <w:t>符合要求</w:t>
                  </w:r>
                </w:p>
              </w:tc>
            </w:tr>
          </w:tbl>
          <w:p>
            <w:pPr>
              <w:keepNext w:val="0"/>
              <w:keepLines w:val="0"/>
              <w:suppressLineNumbers w:val="0"/>
              <w:bidi w:val="0"/>
              <w:spacing w:before="0" w:beforeAutospacing="0" w:after="0" w:afterAutospacing="0"/>
              <w:ind w:left="0" w:right="0"/>
              <w:rPr>
                <w:color w:val="auto"/>
                <w:highlight w:val="none"/>
                <w:u w:val="none"/>
              </w:rPr>
            </w:pPr>
            <w:r>
              <w:rPr>
                <w:color w:val="auto"/>
                <w:highlight w:val="none"/>
                <w:u w:val="none"/>
              </w:rPr>
              <w:t>由上表可知，本项目符合《攻坚战实施方案》相关要求。</w:t>
            </w:r>
          </w:p>
          <w:p>
            <w:pPr>
              <w:keepNext w:val="0"/>
              <w:keepLines w:val="0"/>
              <w:suppressLineNumbers w:val="0"/>
              <w:bidi w:val="0"/>
              <w:spacing w:before="0" w:beforeAutospacing="0" w:after="0" w:afterAutospacing="0"/>
              <w:ind w:left="0" w:right="0"/>
              <w:rPr>
                <w:b/>
                <w:bCs/>
                <w:color w:val="auto"/>
              </w:rPr>
            </w:pPr>
            <w:r>
              <w:rPr>
                <w:rFonts w:hint="eastAsia"/>
                <w:b/>
                <w:bCs/>
                <w:color w:val="auto"/>
                <w:lang w:val="en-US" w:eastAsia="zh-CN"/>
              </w:rPr>
              <w:t>6.本</w:t>
            </w:r>
            <w:r>
              <w:rPr>
                <w:b/>
                <w:bCs/>
                <w:color w:val="auto"/>
              </w:rPr>
              <w:t>项目与国家危险废物政策符合性分析</w:t>
            </w:r>
          </w:p>
          <w:p>
            <w:pPr>
              <w:keepNext w:val="0"/>
              <w:keepLines w:val="0"/>
              <w:suppressLineNumbers w:val="0"/>
              <w:bidi w:val="0"/>
              <w:spacing w:before="0" w:beforeAutospacing="0" w:after="0" w:afterAutospacing="0"/>
              <w:ind w:left="0" w:right="0"/>
              <w:rPr>
                <w:color w:val="auto"/>
              </w:rPr>
            </w:pPr>
            <w:r>
              <w:rPr>
                <w:color w:val="auto"/>
              </w:rPr>
              <w:t>本项目为</w:t>
            </w:r>
            <w:bookmarkStart w:id="51" w:name="OLE_LINK88"/>
            <w:r>
              <w:rPr>
                <w:rFonts w:hint="eastAsia"/>
                <w:color w:val="auto"/>
                <w:lang w:val="en-US" w:eastAsia="zh-CN"/>
              </w:rPr>
              <w:t>废铅蓄电池收集贮存项目</w:t>
            </w:r>
            <w:bookmarkEnd w:id="51"/>
            <w:r>
              <w:rPr>
                <w:color w:val="auto"/>
              </w:rPr>
              <w:t>，回收的废铅蓄电池属《</w:t>
            </w:r>
            <w:bookmarkStart w:id="52" w:name="OLE_LINK86"/>
            <w:r>
              <w:rPr>
                <w:color w:val="auto"/>
              </w:rPr>
              <w:t>国家危险废物名录</w:t>
            </w:r>
            <w:bookmarkEnd w:id="52"/>
            <w:r>
              <w:rPr>
                <w:color w:val="auto"/>
              </w:rPr>
              <w:t>（202</w:t>
            </w:r>
            <w:r>
              <w:rPr>
                <w:rFonts w:hint="eastAsia"/>
                <w:color w:val="auto"/>
                <w:lang w:val="en-US" w:eastAsia="zh-CN"/>
              </w:rPr>
              <w:t>5</w:t>
            </w:r>
            <w:r>
              <w:rPr>
                <w:color w:val="auto"/>
              </w:rPr>
              <w:t>年版）》中</w:t>
            </w:r>
            <w:bookmarkStart w:id="53" w:name="OLE_LINK87"/>
            <w:r>
              <w:rPr>
                <w:color w:val="auto"/>
              </w:rPr>
              <w:t>HW31</w:t>
            </w:r>
            <w:bookmarkEnd w:id="53"/>
            <w:r>
              <w:rPr>
                <w:color w:val="auto"/>
              </w:rPr>
              <w:t>（</w:t>
            </w:r>
            <w:r>
              <w:rPr>
                <w:rFonts w:hint="eastAsia"/>
                <w:color w:val="auto"/>
                <w:lang w:val="en-US" w:eastAsia="zh-CN"/>
              </w:rPr>
              <w:t>非特定行业</w:t>
            </w:r>
            <w:r>
              <w:rPr>
                <w:color w:val="auto"/>
              </w:rPr>
              <w:t>900-052-31），危废的收集、</w:t>
            </w:r>
            <w:r>
              <w:rPr>
                <w:rFonts w:hint="eastAsia"/>
                <w:color w:val="auto"/>
                <w:lang w:val="en-US" w:eastAsia="zh-CN"/>
              </w:rPr>
              <w:t>运输、</w:t>
            </w:r>
            <w:r>
              <w:rPr>
                <w:color w:val="auto"/>
              </w:rPr>
              <w:t>贮存必须按照《危险废物贮存污染控制标准》（GB18597-2023）、</w:t>
            </w:r>
            <w:bookmarkStart w:id="54" w:name="OLE_LINK120"/>
            <w:r>
              <w:rPr>
                <w:color w:val="auto"/>
              </w:rPr>
              <w:t>《危险废物收集</w:t>
            </w:r>
            <w:r>
              <w:rPr>
                <w:rFonts w:hint="eastAsia"/>
                <w:color w:val="auto"/>
                <w:lang w:val="en-US" w:eastAsia="zh-CN"/>
              </w:rPr>
              <w:t xml:space="preserve"> </w:t>
            </w:r>
            <w:r>
              <w:rPr>
                <w:color w:val="auto"/>
              </w:rPr>
              <w:t>贮存</w:t>
            </w:r>
            <w:r>
              <w:rPr>
                <w:rFonts w:hint="eastAsia"/>
                <w:color w:val="auto"/>
                <w:lang w:val="en-US" w:eastAsia="zh-CN"/>
              </w:rPr>
              <w:t xml:space="preserve"> </w:t>
            </w:r>
            <w:r>
              <w:rPr>
                <w:color w:val="auto"/>
              </w:rPr>
              <w:t>运输技术规范》</w:t>
            </w:r>
            <w:bookmarkEnd w:id="54"/>
            <w:r>
              <w:rPr>
                <w:color w:val="auto"/>
              </w:rPr>
              <w:t>（HJ2025-2012）、《废铅蓄电池处理污染控制技术规范》（HJ519-2020）、《</w:t>
            </w:r>
            <w:bookmarkStart w:id="55" w:name="OLE_LINK121"/>
            <w:r>
              <w:rPr>
                <w:color w:val="auto"/>
              </w:rPr>
              <w:t>废电池污染防治技术政策</w:t>
            </w:r>
            <w:bookmarkEnd w:id="55"/>
            <w:r>
              <w:rPr>
                <w:color w:val="auto"/>
              </w:rPr>
              <w:t>》（公告2016年第82号）、《废铅酸蓄电池回收技术规范》（GB/T37281-2019）和《新乡市生态环境局新乡市交通运输局关于开展铅蓄电池集中收集和跨区域转运试点工作的通知》（新环〔2021〕110号）要求，本次环评分别列表进行分析如下：</w:t>
            </w:r>
          </w:p>
          <w:p>
            <w:pPr>
              <w:keepNext w:val="0"/>
              <w:keepLines w:val="0"/>
              <w:numPr>
                <w:ilvl w:val="0"/>
                <w:numId w:val="0"/>
              </w:numPr>
              <w:suppressLineNumbers w:val="0"/>
              <w:bidi w:val="0"/>
              <w:spacing w:before="0" w:beforeAutospacing="0" w:after="0" w:afterAutospacing="0"/>
              <w:ind w:left="0" w:leftChars="0" w:right="0" w:rightChars="0" w:firstLine="482" w:firstLineChars="200"/>
              <w:rPr>
                <w:b/>
                <w:bCs/>
                <w:color w:val="auto"/>
              </w:rPr>
            </w:pPr>
            <w:r>
              <w:rPr>
                <w:rFonts w:ascii="Times New Roman" w:hAnsi="Times New Roman" w:eastAsia="宋体" w:cs="Times New Roman"/>
                <w:b/>
                <w:bCs/>
                <w:color w:val="auto"/>
                <w:kern w:val="2"/>
                <w:sz w:val="24"/>
                <w:szCs w:val="24"/>
                <w:lang w:val="en-US" w:eastAsia="zh-CN" w:bidi="ar-SA"/>
              </w:rPr>
              <w:t>（1）</w:t>
            </w:r>
            <w:r>
              <w:rPr>
                <w:b/>
                <w:bCs/>
                <w:color w:val="auto"/>
              </w:rPr>
              <w:t>与《危险废物贮存污染控制标准》（GB18597-2023）符合性分析</w:t>
            </w:r>
          </w:p>
          <w:p>
            <w:pPr>
              <w:keepNext w:val="0"/>
              <w:keepLines w:val="0"/>
              <w:suppressLineNumbers w:val="0"/>
              <w:bidi w:val="0"/>
              <w:spacing w:before="0" w:beforeAutospacing="0" w:after="0" w:afterAutospacing="0"/>
              <w:ind w:left="0" w:right="0"/>
              <w:rPr>
                <w:color w:val="auto"/>
              </w:rPr>
            </w:pPr>
          </w:p>
          <w:p>
            <w:pPr>
              <w:pStyle w:val="12"/>
              <w:keepNext w:val="0"/>
              <w:keepLines w:val="0"/>
              <w:suppressLineNumbers w:val="0"/>
              <w:bidi w:val="0"/>
              <w:spacing w:before="0" w:beforeAutospacing="0" w:after="0" w:afterAutospacing="0"/>
              <w:ind w:left="0" w:right="0"/>
              <w:rPr>
                <w:color w:val="auto"/>
              </w:rPr>
            </w:pPr>
            <w:r>
              <w:rPr>
                <w:color w:val="auto"/>
              </w:rPr>
              <w:t>表</w:t>
            </w:r>
            <w:r>
              <w:rPr>
                <w:rFonts w:hint="eastAsia"/>
                <w:color w:val="auto"/>
                <w:lang w:val="en-US" w:eastAsia="zh-CN"/>
              </w:rPr>
              <w:t xml:space="preserve"> 1-7</w:t>
            </w:r>
            <w:r>
              <w:rPr>
                <w:rFonts w:hint="eastAsia"/>
                <w:color w:val="auto"/>
              </w:rPr>
              <w:t xml:space="preserve">  </w:t>
            </w:r>
            <w:r>
              <w:rPr>
                <w:rFonts w:hint="eastAsia"/>
                <w:color w:val="auto"/>
                <w:lang w:val="en-US" w:eastAsia="zh-CN"/>
              </w:rPr>
              <w:t xml:space="preserve"> </w:t>
            </w:r>
            <w:r>
              <w:rPr>
                <w:rFonts w:hint="eastAsia"/>
                <w:color w:val="auto"/>
              </w:rPr>
              <w:t xml:space="preserve"> </w:t>
            </w:r>
            <w:r>
              <w:rPr>
                <w:color w:val="auto"/>
              </w:rPr>
              <w:t>与《</w:t>
            </w:r>
            <w:bookmarkStart w:id="56" w:name="OLE_LINK127"/>
            <w:bookmarkStart w:id="57" w:name="OLE_LINK122"/>
            <w:r>
              <w:rPr>
                <w:color w:val="auto"/>
              </w:rPr>
              <w:t>危险废物贮存</w:t>
            </w:r>
            <w:bookmarkEnd w:id="56"/>
            <w:r>
              <w:rPr>
                <w:color w:val="auto"/>
              </w:rPr>
              <w:t>污染控制标准</w:t>
            </w:r>
            <w:bookmarkEnd w:id="57"/>
            <w:r>
              <w:rPr>
                <w:color w:val="auto"/>
              </w:rPr>
              <w:t>》符合性分析</w:t>
            </w:r>
          </w:p>
          <w:tbl>
            <w:tblPr>
              <w:tblStyle w:val="22"/>
              <w:tblW w:w="494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97"/>
              <w:gridCol w:w="480"/>
              <w:gridCol w:w="2614"/>
              <w:gridCol w:w="2753"/>
              <w:gridCol w:w="63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要求项目</w:t>
                  </w:r>
                </w:p>
              </w:tc>
              <w:tc>
                <w:tcPr>
                  <w:tcW w:w="3094" w:type="dxa"/>
                  <w:gridSpan w:val="2"/>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内容</w:t>
                  </w:r>
                </w:p>
              </w:tc>
              <w:tc>
                <w:tcPr>
                  <w:tcW w:w="2753"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本项目</w:t>
                  </w:r>
                </w:p>
              </w:tc>
              <w:tc>
                <w:tcPr>
                  <w:tcW w:w="638"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dxa"/>
                  <w:vMerge w:val="restart"/>
                  <w:tcBorders>
                    <w:top w:val="single" w:color="auto" w:sz="8" w:space="0"/>
                    <w:bottom w:val="single" w:color="auto" w:sz="4" w:space="0"/>
                  </w:tcBorders>
                  <w:vAlign w:val="center"/>
                </w:tcPr>
                <w:p>
                  <w:pPr>
                    <w:pStyle w:val="28"/>
                    <w:keepNext w:val="0"/>
                    <w:keepLines w:val="0"/>
                    <w:suppressLineNumbers w:val="0"/>
                    <w:bidi w:val="0"/>
                    <w:spacing w:before="0" w:beforeAutospacing="0" w:after="0" w:afterAutospacing="0"/>
                    <w:ind w:left="0" w:right="0"/>
                    <w:rPr>
                      <w:rFonts w:hint="eastAsia" w:eastAsia="宋体"/>
                      <w:color w:val="auto"/>
                      <w:lang w:eastAsia="zh-CN"/>
                    </w:rPr>
                  </w:pPr>
                  <w:r>
                    <w:rPr>
                      <w:rFonts w:hint="eastAsia"/>
                      <w:color w:val="auto"/>
                      <w:lang w:val="en-US" w:eastAsia="zh-CN"/>
                    </w:rPr>
                    <w:t>总体要求</w:t>
                  </w:r>
                </w:p>
              </w:tc>
              <w:tc>
                <w:tcPr>
                  <w:tcW w:w="3094" w:type="dxa"/>
                  <w:gridSpan w:val="2"/>
                  <w:tcBorders>
                    <w:top w:val="single" w:color="auto" w:sz="8"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产生、收集、贮存、利用、处置危险废物的单位应建造危险废物贮存设施或设置贮存场所，并根据需要选择贮存设施类型。</w:t>
                  </w:r>
                </w:p>
              </w:tc>
              <w:tc>
                <w:tcPr>
                  <w:tcW w:w="2753" w:type="dxa"/>
                  <w:tcBorders>
                    <w:top w:val="single" w:color="auto" w:sz="8"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hint="eastAsia" w:ascii="Times New Roman" w:hAnsi="Times New Roman" w:eastAsia="宋体"/>
                      <w:color w:val="auto"/>
                      <w:lang w:eastAsia="zh-CN"/>
                    </w:rPr>
                    <w:t>本</w:t>
                  </w:r>
                  <w:r>
                    <w:rPr>
                      <w:rFonts w:ascii="Times New Roman" w:hAnsi="Times New Roman" w:eastAsia="宋体"/>
                      <w:color w:val="auto"/>
                    </w:rPr>
                    <w:t>项目主要为废铅蓄电池的收集、贮存，</w:t>
                  </w:r>
                  <w:r>
                    <w:rPr>
                      <w:rFonts w:hint="eastAsia"/>
                      <w:color w:val="auto"/>
                      <w:lang w:val="en-US" w:eastAsia="zh-CN"/>
                    </w:rPr>
                    <w:t>属于</w:t>
                  </w:r>
                  <w:r>
                    <w:rPr>
                      <w:rFonts w:ascii="Times New Roman" w:hAnsi="Times New Roman" w:eastAsia="宋体"/>
                      <w:color w:val="auto"/>
                    </w:rPr>
                    <w:t>新建废铅蓄电池暂存点。</w:t>
                  </w:r>
                </w:p>
              </w:tc>
              <w:tc>
                <w:tcPr>
                  <w:tcW w:w="638" w:type="dxa"/>
                  <w:tcBorders>
                    <w:top w:val="single" w:color="auto" w:sz="8"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dxa"/>
                  <w:vMerge w:val="continue"/>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p>
              </w:tc>
              <w:tc>
                <w:tcPr>
                  <w:tcW w:w="3094" w:type="dxa"/>
                  <w:gridSpan w:val="2"/>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贮存危险废物应根据危险废物的类别、数量、形态、物理化学性质和环境风险等因素，确定贮存设施或场所类型和规模。</w:t>
                  </w:r>
                </w:p>
              </w:tc>
              <w:tc>
                <w:tcPr>
                  <w:tcW w:w="2753"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ascii="Times New Roman" w:hAnsi="Times New Roman" w:eastAsia="宋体"/>
                      <w:color w:val="auto"/>
                    </w:rPr>
                    <w:t>本项目属于“暂存点”，废铅蓄电池最大收贮量为</w:t>
                  </w:r>
                  <w:r>
                    <w:rPr>
                      <w:rFonts w:hint="eastAsia"/>
                      <w:color w:val="auto"/>
                      <w:lang w:val="en-US" w:eastAsia="zh-CN"/>
                    </w:rPr>
                    <w:t>3</w:t>
                  </w:r>
                  <w:r>
                    <w:rPr>
                      <w:rFonts w:hint="eastAsia" w:ascii="Times New Roman" w:hAnsi="Times New Roman" w:eastAsia="宋体"/>
                      <w:color w:val="auto"/>
                      <w:lang w:val="en-US" w:eastAsia="zh-CN"/>
                    </w:rPr>
                    <w:t>0</w:t>
                  </w:r>
                  <w:r>
                    <w:rPr>
                      <w:rFonts w:ascii="Times New Roman" w:hAnsi="Times New Roman" w:eastAsia="宋体"/>
                      <w:color w:val="auto"/>
                    </w:rPr>
                    <w:t>t，年周转量为</w:t>
                  </w:r>
                  <w:r>
                    <w:rPr>
                      <w:rFonts w:hint="eastAsia"/>
                      <w:color w:val="auto"/>
                      <w:lang w:val="en-US" w:eastAsia="zh-CN"/>
                    </w:rPr>
                    <w:t>3</w:t>
                  </w:r>
                  <w:r>
                    <w:rPr>
                      <w:rFonts w:hint="eastAsia" w:ascii="Times New Roman" w:hAnsi="Times New Roman" w:eastAsia="宋体"/>
                      <w:color w:val="auto"/>
                      <w:lang w:val="en-US" w:eastAsia="zh-CN"/>
                    </w:rPr>
                    <w:t>000</w:t>
                  </w:r>
                  <w:r>
                    <w:rPr>
                      <w:rFonts w:ascii="Times New Roman" w:hAnsi="Times New Roman" w:eastAsia="宋体"/>
                      <w:color w:val="auto"/>
                    </w:rPr>
                    <w:t>t。</w:t>
                  </w:r>
                </w:p>
              </w:tc>
              <w:tc>
                <w:tcPr>
                  <w:tcW w:w="638"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dxa"/>
                  <w:vMerge w:val="continue"/>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p>
              </w:tc>
              <w:tc>
                <w:tcPr>
                  <w:tcW w:w="3094" w:type="dxa"/>
                  <w:gridSpan w:val="2"/>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贮存危险废物应根据危险废物的类别、形态、物理化学性质和污染防治要求进行分类贮存，且应避免危险废物与不相容的物质或材料接触。</w:t>
                  </w:r>
                </w:p>
              </w:tc>
              <w:tc>
                <w:tcPr>
                  <w:tcW w:w="2753"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ascii="Times New Roman" w:hAnsi="Times New Roman" w:eastAsia="宋体"/>
                      <w:color w:val="auto"/>
                    </w:rPr>
                    <w:t>各危险废物分区贮存，设置不同的暂存分区。危险废物不与不相容的物质或材料接触。</w:t>
                  </w:r>
                </w:p>
              </w:tc>
              <w:tc>
                <w:tcPr>
                  <w:tcW w:w="638"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dxa"/>
                  <w:vMerge w:val="continue"/>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p>
              </w:tc>
              <w:tc>
                <w:tcPr>
                  <w:tcW w:w="3094" w:type="dxa"/>
                  <w:gridSpan w:val="2"/>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贮存危险废物应根据危险废物的形态、物理化学性质、包装形式和污染物迁移途径，采取措施减少渗滤液及其衍生废物、渗漏的液态废物（简称渗漏液）、粉尘、VOCs、酸雾、有毒有害大气污染物和刺激性气味气体等污染物的产生，防止其污染环境。</w:t>
                  </w:r>
                </w:p>
              </w:tc>
              <w:tc>
                <w:tcPr>
                  <w:tcW w:w="2753"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hAnsiTheme="minorEastAsia" w:eastAsiaTheme="minorEastAsia"/>
                      <w:color w:val="auto"/>
                      <w:sz w:val="21"/>
                      <w:szCs w:val="21"/>
                      <w:highlight w:val="none"/>
                      <w:lang w:val="en-US" w:eastAsia="zh-CN"/>
                    </w:rPr>
                    <w:t>储存</w:t>
                  </w:r>
                  <w:r>
                    <w:rPr>
                      <w:rFonts w:hAnsiTheme="minorEastAsia" w:eastAsiaTheme="minorEastAsia"/>
                      <w:color w:val="auto"/>
                      <w:sz w:val="21"/>
                      <w:szCs w:val="21"/>
                      <w:highlight w:val="none"/>
                    </w:rPr>
                    <w:t>区、导流</w:t>
                  </w:r>
                  <w:r>
                    <w:rPr>
                      <w:rFonts w:hint="eastAsia" w:hAnsiTheme="minorEastAsia" w:eastAsiaTheme="minorEastAsia"/>
                      <w:color w:val="auto"/>
                      <w:sz w:val="21"/>
                      <w:szCs w:val="21"/>
                      <w:highlight w:val="none"/>
                      <w:lang w:val="en-US" w:eastAsia="zh-CN"/>
                    </w:rPr>
                    <w:t>槽</w:t>
                  </w:r>
                  <w:r>
                    <w:rPr>
                      <w:rFonts w:hAnsiTheme="minorEastAsia" w:eastAsiaTheme="minorEastAsia"/>
                      <w:color w:val="auto"/>
                      <w:sz w:val="21"/>
                      <w:szCs w:val="21"/>
                      <w:highlight w:val="none"/>
                    </w:rPr>
                    <w:t>、废液收集池、应急事故池等重点防渗</w:t>
                  </w:r>
                  <w:r>
                    <w:rPr>
                      <w:rFonts w:hint="eastAsia" w:hAnsiTheme="minorEastAsia" w:eastAsiaTheme="minorEastAsia"/>
                      <w:color w:val="auto"/>
                      <w:sz w:val="21"/>
                      <w:szCs w:val="21"/>
                      <w:highlight w:val="none"/>
                      <w:lang w:val="en-US" w:eastAsia="zh-CN"/>
                    </w:rPr>
                    <w:t>区</w:t>
                  </w:r>
                  <w:r>
                    <w:rPr>
                      <w:rFonts w:ascii="Times New Roman" w:hAnsi="Times New Roman" w:eastAsia="宋体"/>
                      <w:color w:val="auto"/>
                    </w:rPr>
                    <w:t>采取了防漏、防渗、防腐等环境污染防治措施，可有效减少污染物的产生。</w:t>
                  </w:r>
                </w:p>
              </w:tc>
              <w:tc>
                <w:tcPr>
                  <w:tcW w:w="638"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rFonts w:ascii="Times New Roman" w:hAnsi="Times New Roman" w:eastAsia="宋体"/>
                      <w:color w:val="auto"/>
                    </w:rPr>
                  </w:pPr>
                  <w:r>
                    <w:rPr>
                      <w:rFonts w:ascii="Times New Roman" w:hAnsi="Times New Roman" w:eastAsia="宋体"/>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dxa"/>
                  <w:vMerge w:val="continue"/>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p>
              </w:tc>
              <w:tc>
                <w:tcPr>
                  <w:tcW w:w="3094" w:type="dxa"/>
                  <w:gridSpan w:val="2"/>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危险废物贮存过程产生的液态废物和固态废物应分类收集，按其环境管理要求妥善处理。</w:t>
                  </w:r>
                </w:p>
              </w:tc>
              <w:tc>
                <w:tcPr>
                  <w:tcW w:w="2753"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color w:val="auto"/>
                      <w:lang w:val="en-US" w:eastAsia="zh-CN"/>
                    </w:rPr>
                    <w:t>本项目废铅蓄电池储存</w:t>
                  </w:r>
                  <w:r>
                    <w:rPr>
                      <w:rFonts w:ascii="Times New Roman" w:hAnsi="Times New Roman" w:eastAsia="宋体"/>
                      <w:color w:val="auto"/>
                    </w:rPr>
                    <w:t>过程产生的危险废物分类收集，委托有危废处置资质单位处置。</w:t>
                  </w:r>
                </w:p>
              </w:tc>
              <w:tc>
                <w:tcPr>
                  <w:tcW w:w="638"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rFonts w:ascii="Times New Roman" w:hAnsi="Times New Roman" w:eastAsia="宋体"/>
                      <w:color w:val="auto"/>
                    </w:rPr>
                  </w:pPr>
                  <w:r>
                    <w:rPr>
                      <w:rFonts w:ascii="Times New Roman" w:hAnsi="Times New Roman" w:eastAsia="宋体"/>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dxa"/>
                  <w:vMerge w:val="continue"/>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p>
              </w:tc>
              <w:tc>
                <w:tcPr>
                  <w:tcW w:w="3094" w:type="dxa"/>
                  <w:gridSpan w:val="2"/>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贮存设施或场所、容器和包装物应按HJ1276要求设置危险废物贮存设施或场所标志、危险废物贮存分区标志和危险废物标签等危险废物识别标志。</w:t>
                  </w:r>
                </w:p>
              </w:tc>
              <w:tc>
                <w:tcPr>
                  <w:tcW w:w="2753"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hint="eastAsia"/>
                      <w:color w:val="auto"/>
                      <w:lang w:val="en-US" w:eastAsia="zh-CN"/>
                    </w:rPr>
                    <w:t>本项目</w:t>
                  </w:r>
                  <w:r>
                    <w:rPr>
                      <w:rFonts w:ascii="Times New Roman" w:hAnsi="Times New Roman" w:eastAsia="宋体"/>
                      <w:color w:val="auto"/>
                    </w:rPr>
                    <w:t>按HJ1276要求设危险废物贮存设施标志、危险废物贮存分区标志和危险废物标签。</w:t>
                  </w:r>
                </w:p>
              </w:tc>
              <w:tc>
                <w:tcPr>
                  <w:tcW w:w="638"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rFonts w:ascii="Times New Roman" w:hAnsi="Times New Roman" w:eastAsia="宋体"/>
                      <w:color w:val="auto"/>
                    </w:rPr>
                  </w:pPr>
                  <w:r>
                    <w:rPr>
                      <w:rFonts w:ascii="Times New Roman" w:hAnsi="Times New Roman" w:eastAsia="宋体"/>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dxa"/>
                  <w:vMerge w:val="continue"/>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p>
              </w:tc>
              <w:tc>
                <w:tcPr>
                  <w:tcW w:w="3094" w:type="dxa"/>
                  <w:gridSpan w:val="2"/>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bookmarkStart w:id="58" w:name="OLE_LINK225"/>
                  <w:r>
                    <w:rPr>
                      <w:rFonts w:ascii="Times New Roman" w:hAnsi="Times New Roman" w:eastAsia="宋体"/>
                      <w:color w:val="auto"/>
                    </w:rPr>
                    <w:t>HJ1259</w:t>
                  </w:r>
                  <w:bookmarkEnd w:id="58"/>
                  <w:r>
                    <w:rPr>
                      <w:rFonts w:ascii="Times New Roman" w:hAnsi="Times New Roman" w:eastAsia="宋体"/>
                      <w:color w:val="auto"/>
                    </w:rPr>
                    <w:t>规定的危险废物环境重点监管单位，应采用电子地磅、电子标签、电子管理台账等技术手段对危险废物贮存过程进行信息化管理，确保数据完整、真实、准确；采用视频监控的应确保监控画面清晰，视频记录保存时间至少为3个月。</w:t>
                  </w:r>
                </w:p>
              </w:tc>
              <w:tc>
                <w:tcPr>
                  <w:tcW w:w="2753"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hint="eastAsia"/>
                      <w:color w:val="auto"/>
                      <w:lang w:val="en-US" w:eastAsia="zh-CN"/>
                    </w:rPr>
                    <w:t>本项目</w:t>
                  </w:r>
                  <w:r>
                    <w:rPr>
                      <w:rFonts w:ascii="Times New Roman" w:hAnsi="Times New Roman" w:eastAsia="宋体"/>
                      <w:color w:val="auto"/>
                    </w:rPr>
                    <w:t>按HJ1259要求设置，对废铅蓄电池信息化管理，设置视频监控系统，视频记录保存时间至少为3个月。</w:t>
                  </w:r>
                </w:p>
              </w:tc>
              <w:tc>
                <w:tcPr>
                  <w:tcW w:w="638"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rFonts w:ascii="Times New Roman" w:hAnsi="Times New Roman" w:eastAsia="宋体"/>
                      <w:color w:val="auto"/>
                    </w:rPr>
                  </w:pPr>
                  <w:r>
                    <w:rPr>
                      <w:rFonts w:ascii="Times New Roman" w:hAnsi="Times New Roman" w:eastAsia="宋体"/>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dxa"/>
                  <w:vMerge w:val="continue"/>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p>
              </w:tc>
              <w:tc>
                <w:tcPr>
                  <w:tcW w:w="3094" w:type="dxa"/>
                  <w:gridSpan w:val="2"/>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贮存设施退役时，所有者或运营者应依法履行环境保护责任，退役前应妥善处理处置贮存设施内 剩余的危险废物，并对贮存设施进行清理，消除污染；还应依据土壤污染防治相关法律法规履行场地环 境风险防控责任。</w:t>
                  </w:r>
                </w:p>
              </w:tc>
              <w:tc>
                <w:tcPr>
                  <w:tcW w:w="2753"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hint="eastAsia"/>
                      <w:color w:val="auto"/>
                      <w:lang w:val="en-US" w:eastAsia="zh-CN"/>
                    </w:rPr>
                    <w:t>本项目储存厂房</w:t>
                  </w:r>
                  <w:r>
                    <w:rPr>
                      <w:rFonts w:ascii="Times New Roman" w:hAnsi="Times New Roman" w:eastAsia="宋体"/>
                      <w:color w:val="auto"/>
                    </w:rPr>
                    <w:t>退役后运营者将按要求履行环保责任。</w:t>
                  </w:r>
                </w:p>
              </w:tc>
              <w:tc>
                <w:tcPr>
                  <w:tcW w:w="638"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rFonts w:ascii="Times New Roman" w:hAnsi="Times New Roman" w:eastAsia="宋体"/>
                      <w:color w:val="auto"/>
                    </w:rPr>
                  </w:pPr>
                  <w:r>
                    <w:rPr>
                      <w:rFonts w:ascii="Times New Roman" w:hAnsi="Times New Roman" w:eastAsia="宋体"/>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dxa"/>
                  <w:vMerge w:val="continue"/>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p>
              </w:tc>
              <w:tc>
                <w:tcPr>
                  <w:tcW w:w="3094" w:type="dxa"/>
                  <w:gridSpan w:val="2"/>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危险废物贮存除应满足环境保护相关要求外，还应执行国家安全生产、职业健康、交通运输、消防等法律法规和标准的相关要求。</w:t>
                  </w:r>
                </w:p>
              </w:tc>
              <w:tc>
                <w:tcPr>
                  <w:tcW w:w="2753"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color w:val="auto"/>
                      <w:lang w:val="en-US" w:eastAsia="zh-CN"/>
                    </w:rPr>
                    <w:t>本项目</w:t>
                  </w:r>
                  <w:r>
                    <w:rPr>
                      <w:rFonts w:ascii="Times New Roman" w:hAnsi="Times New Roman" w:eastAsia="宋体"/>
                      <w:color w:val="auto"/>
                    </w:rPr>
                    <w:t>危险废物贮存执行相关法律法规和标准要求。</w:t>
                  </w:r>
                </w:p>
              </w:tc>
              <w:tc>
                <w:tcPr>
                  <w:tcW w:w="638"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rFonts w:ascii="Times New Roman" w:hAnsi="Times New Roman" w:eastAsia="宋体"/>
                      <w:color w:val="auto"/>
                    </w:rPr>
                  </w:pPr>
                  <w:r>
                    <w:rPr>
                      <w:rFonts w:ascii="Times New Roman" w:hAnsi="Times New Roman" w:eastAsia="宋体"/>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dxa"/>
                  <w:vMerge w:val="restart"/>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rFonts w:hint="eastAsia" w:ascii="Times New Roman" w:hAnsi="Times New Roman" w:eastAsia="宋体"/>
                      <w:color w:val="auto"/>
                      <w:lang w:val="en-US" w:eastAsia="zh-CN"/>
                    </w:rPr>
                    <w:t>贮存设施选址要求</w:t>
                  </w:r>
                </w:p>
              </w:tc>
              <w:tc>
                <w:tcPr>
                  <w:tcW w:w="3094" w:type="dxa"/>
                  <w:gridSpan w:val="2"/>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贮存设施选址应</w:t>
                  </w:r>
                  <w:bookmarkStart w:id="59" w:name="OLE_LINK226"/>
                  <w:r>
                    <w:rPr>
                      <w:rFonts w:ascii="Times New Roman" w:hAnsi="Times New Roman" w:eastAsia="宋体"/>
                      <w:color w:val="auto"/>
                    </w:rPr>
                    <w:t>满足生态环境保护法律法规、规划和“三线一单”生态环境分区管控的要求，</w:t>
                  </w:r>
                  <w:bookmarkEnd w:id="59"/>
                  <w:r>
                    <w:rPr>
                      <w:rFonts w:ascii="Times New Roman" w:hAnsi="Times New Roman" w:eastAsia="宋体"/>
                      <w:color w:val="auto"/>
                    </w:rPr>
                    <w:t>建设项目应依法进行环境影响评价。</w:t>
                  </w:r>
                </w:p>
              </w:tc>
              <w:tc>
                <w:tcPr>
                  <w:tcW w:w="2753"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color w:val="auto"/>
                      <w:lang w:val="en-US" w:eastAsia="zh-CN"/>
                    </w:rPr>
                    <w:t>本项目</w:t>
                  </w:r>
                  <w:r>
                    <w:rPr>
                      <w:rFonts w:ascii="Times New Roman" w:hAnsi="Times New Roman" w:eastAsia="宋体"/>
                      <w:color w:val="auto"/>
                    </w:rPr>
                    <w:t>选址满足生态环境保护法律法规、规划和“三线一单”生态环境分区管控的要求，并依法进行环境影响评价。</w:t>
                  </w:r>
                </w:p>
              </w:tc>
              <w:tc>
                <w:tcPr>
                  <w:tcW w:w="638"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dxa"/>
                  <w:vMerge w:val="continue"/>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p>
              </w:tc>
              <w:tc>
                <w:tcPr>
                  <w:tcW w:w="3094" w:type="dxa"/>
                  <w:gridSpan w:val="2"/>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集中贮存设施不应选在</w:t>
                  </w:r>
                  <w:bookmarkStart w:id="60" w:name="OLE_LINK142"/>
                  <w:r>
                    <w:rPr>
                      <w:rFonts w:ascii="Times New Roman" w:hAnsi="Times New Roman" w:eastAsia="宋体"/>
                      <w:color w:val="auto"/>
                    </w:rPr>
                    <w:t>生态保护红线区域、永久基本农田和其他需要特别保护的区域内</w:t>
                  </w:r>
                  <w:bookmarkEnd w:id="60"/>
                  <w:r>
                    <w:rPr>
                      <w:rFonts w:ascii="Times New Roman" w:hAnsi="Times New Roman" w:eastAsia="宋体"/>
                      <w:color w:val="auto"/>
                    </w:rPr>
                    <w:t>，不应建在溶洞区或易遭受洪水、滑坡、泥石流、潮汐等严重自然灾害影响的地区。</w:t>
                  </w:r>
                </w:p>
              </w:tc>
              <w:tc>
                <w:tcPr>
                  <w:tcW w:w="2753"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ascii="Times New Roman" w:hAnsi="Times New Roman" w:eastAsia="宋体"/>
                      <w:color w:val="auto"/>
                    </w:rPr>
                    <w:t>项目位于</w:t>
                  </w:r>
                  <w:r>
                    <w:rPr>
                      <w:rFonts w:hint="eastAsia" w:ascii="Times New Roman" w:hAnsi="Times New Roman" w:eastAsia="宋体"/>
                      <w:color w:val="auto"/>
                      <w:lang w:eastAsia="zh-CN"/>
                    </w:rPr>
                    <w:t>河南省新乡市卫滨区人民路西环路交叉口向西300米路南</w:t>
                  </w:r>
                  <w:r>
                    <w:rPr>
                      <w:rFonts w:ascii="Times New Roman" w:hAnsi="Times New Roman" w:eastAsia="宋体"/>
                      <w:color w:val="auto"/>
                    </w:rPr>
                    <w:t>，不属于生态保护红线区域、永久基本农田和其他需要特别保护的区域内</w:t>
                  </w:r>
                  <w:r>
                    <w:rPr>
                      <w:rFonts w:hint="eastAsia"/>
                      <w:color w:val="auto"/>
                      <w:lang w:val="en-US" w:eastAsia="zh-CN"/>
                    </w:rPr>
                    <w:t>等</w:t>
                  </w:r>
                  <w:r>
                    <w:rPr>
                      <w:rFonts w:ascii="Times New Roman" w:hAnsi="Times New Roman" w:eastAsia="宋体"/>
                      <w:color w:val="auto"/>
                    </w:rPr>
                    <w:t>地区。</w:t>
                  </w:r>
                </w:p>
              </w:tc>
              <w:tc>
                <w:tcPr>
                  <w:tcW w:w="638"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dxa"/>
                  <w:vMerge w:val="continue"/>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p>
              </w:tc>
              <w:tc>
                <w:tcPr>
                  <w:tcW w:w="3094" w:type="dxa"/>
                  <w:gridSpan w:val="2"/>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贮存设施不应选在江河、湖泊、运河、渠道、水库及其最高水位线以下的滩地和岸坡，以及法律法规规定禁止贮存危险废物的其他地点。</w:t>
                  </w:r>
                </w:p>
              </w:tc>
              <w:tc>
                <w:tcPr>
                  <w:tcW w:w="2753"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default" w:ascii="Times New Roman" w:hAnsi="Times New Roman" w:eastAsia="宋体"/>
                      <w:color w:val="auto"/>
                      <w:lang w:val="en-US" w:eastAsia="zh-CN"/>
                    </w:rPr>
                  </w:pPr>
                  <w:r>
                    <w:rPr>
                      <w:rFonts w:hint="eastAsia"/>
                      <w:color w:val="auto"/>
                      <w:lang w:val="en-US" w:eastAsia="zh-CN"/>
                    </w:rPr>
                    <w:t>本项目</w:t>
                  </w:r>
                  <w:r>
                    <w:rPr>
                      <w:rFonts w:hint="eastAsia" w:ascii="Times New Roman" w:hAnsi="Times New Roman" w:eastAsia="宋体"/>
                      <w:color w:val="auto"/>
                      <w:lang w:eastAsia="zh-CN"/>
                    </w:rPr>
                    <w:t>不在法律法规规定禁止贮存危险废物的其他地点。</w:t>
                  </w:r>
                </w:p>
              </w:tc>
              <w:tc>
                <w:tcPr>
                  <w:tcW w:w="638"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dxa"/>
                  <w:vMerge w:val="restart"/>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rFonts w:ascii="Times New Roman" w:hAnsi="Times New Roman" w:eastAsia="宋体"/>
                      <w:color w:val="auto"/>
                    </w:rPr>
                  </w:pPr>
                  <w:bookmarkStart w:id="61" w:name="OLE_LINK125" w:colFirst="2" w:colLast="2"/>
                  <w:r>
                    <w:rPr>
                      <w:rFonts w:ascii="Times New Roman" w:hAnsi="Times New Roman" w:eastAsia="宋体"/>
                      <w:color w:val="auto"/>
                    </w:rPr>
                    <w:t>贮存设施污染控制要求</w:t>
                  </w:r>
                </w:p>
              </w:tc>
              <w:tc>
                <w:tcPr>
                  <w:tcW w:w="480" w:type="dxa"/>
                  <w:vMerge w:val="restart"/>
                  <w:tcBorders>
                    <w:top w:val="single" w:color="auto" w:sz="4" w:space="0"/>
                  </w:tcBorders>
                  <w:vAlign w:val="center"/>
                </w:tcPr>
                <w:p>
                  <w:pPr>
                    <w:pStyle w:val="28"/>
                    <w:keepNext w:val="0"/>
                    <w:keepLines w:val="0"/>
                    <w:suppressLineNumbers w:val="0"/>
                    <w:bidi w:val="0"/>
                    <w:spacing w:before="0" w:beforeAutospacing="0" w:after="0" w:afterAutospacing="0"/>
                    <w:ind w:left="0" w:right="0"/>
                    <w:rPr>
                      <w:rFonts w:ascii="Times New Roman" w:hAnsi="Times New Roman" w:eastAsia="宋体"/>
                      <w:color w:val="auto"/>
                    </w:rPr>
                  </w:pPr>
                  <w:r>
                    <w:rPr>
                      <w:rFonts w:ascii="Times New Roman" w:hAnsi="Times New Roman" w:eastAsia="宋体"/>
                      <w:color w:val="auto"/>
                    </w:rPr>
                    <w:t>一般规定</w:t>
                  </w:r>
                </w:p>
              </w:tc>
              <w:tc>
                <w:tcPr>
                  <w:tcW w:w="2614"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贮存设施应根据危险废物的形态、物理化学性质、包装形式和污染物迁移途径，采取必要的防风、防晒、防雨、防漏、防渗、防腐以及其他环境污染防治措施，不应露天堆放危险废物。</w:t>
                  </w:r>
                </w:p>
              </w:tc>
              <w:tc>
                <w:tcPr>
                  <w:tcW w:w="2753"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color w:val="auto"/>
                      <w:lang w:val="en-US" w:eastAsia="zh-CN"/>
                    </w:rPr>
                    <w:t>本项目</w:t>
                  </w:r>
                  <w:bookmarkStart w:id="62" w:name="OLE_LINK230"/>
                  <w:r>
                    <w:rPr>
                      <w:rFonts w:hint="eastAsia"/>
                      <w:color w:val="auto"/>
                      <w:lang w:val="en-US" w:eastAsia="zh-CN"/>
                    </w:rPr>
                    <w:t>储存厂房</w:t>
                  </w:r>
                  <w:bookmarkEnd w:id="62"/>
                  <w:r>
                    <w:rPr>
                      <w:rFonts w:hint="eastAsia"/>
                      <w:color w:val="auto"/>
                      <w:lang w:val="en-US" w:eastAsia="zh-CN"/>
                    </w:rPr>
                    <w:t>满足</w:t>
                  </w:r>
                  <w:r>
                    <w:rPr>
                      <w:rFonts w:hint="eastAsia" w:ascii="Times New Roman" w:hAnsi="Times New Roman" w:eastAsia="宋体"/>
                      <w:color w:val="auto"/>
                      <w:lang w:eastAsia="zh-CN"/>
                    </w:rPr>
                    <w:t>防风、防晒、防雨、防漏、防渗、防腐等环境污染防治措施</w:t>
                  </w:r>
                  <w:r>
                    <w:rPr>
                      <w:rFonts w:hint="eastAsia"/>
                      <w:color w:val="auto"/>
                      <w:lang w:val="en-US" w:eastAsia="zh-CN"/>
                    </w:rPr>
                    <w:t>要求</w:t>
                  </w:r>
                  <w:r>
                    <w:rPr>
                      <w:rFonts w:hint="eastAsia" w:ascii="Times New Roman" w:hAnsi="Times New Roman" w:eastAsia="宋体"/>
                      <w:color w:val="auto"/>
                      <w:lang w:eastAsia="zh-CN"/>
                    </w:rPr>
                    <w:t>，不露</w:t>
                  </w:r>
                  <w:r>
                    <w:rPr>
                      <w:rFonts w:hint="eastAsia" w:ascii="Times New Roman" w:hAnsi="Times New Roman" w:eastAsia="宋体"/>
                      <w:color w:val="auto"/>
                      <w:lang w:val="en-US" w:eastAsia="zh-CN"/>
                    </w:rPr>
                    <w:t>天</w:t>
                  </w:r>
                  <w:r>
                    <w:rPr>
                      <w:rFonts w:hint="eastAsia" w:ascii="Times New Roman" w:hAnsi="Times New Roman" w:eastAsia="宋体"/>
                      <w:color w:val="auto"/>
                      <w:lang w:eastAsia="zh-CN"/>
                    </w:rPr>
                    <w:t>堆放危险废物。</w:t>
                  </w:r>
                </w:p>
              </w:tc>
              <w:tc>
                <w:tcPr>
                  <w:tcW w:w="638"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597" w:type="dxa"/>
                  <w:vMerge w:val="continue"/>
                  <w:vAlign w:val="center"/>
                </w:tcPr>
                <w:p>
                  <w:pPr>
                    <w:pStyle w:val="28"/>
                    <w:keepNext w:val="0"/>
                    <w:keepLines w:val="0"/>
                    <w:suppressLineNumbers w:val="0"/>
                    <w:bidi w:val="0"/>
                    <w:spacing w:before="0" w:beforeAutospacing="0" w:after="0" w:afterAutospacing="0"/>
                    <w:ind w:left="0" w:right="0"/>
                    <w:rPr>
                      <w:rFonts w:ascii="Times New Roman" w:hAnsi="Times New Roman" w:eastAsia="宋体"/>
                      <w:color w:val="auto"/>
                    </w:rPr>
                  </w:pPr>
                </w:p>
              </w:tc>
              <w:tc>
                <w:tcPr>
                  <w:tcW w:w="480" w:type="dxa"/>
                  <w:vMerge w:val="continue"/>
                  <w:vAlign w:val="center"/>
                </w:tcPr>
                <w:p>
                  <w:pPr>
                    <w:pStyle w:val="28"/>
                    <w:keepNext w:val="0"/>
                    <w:keepLines w:val="0"/>
                    <w:suppressLineNumbers w:val="0"/>
                    <w:bidi w:val="0"/>
                    <w:spacing w:before="0" w:beforeAutospacing="0" w:after="0" w:afterAutospacing="0"/>
                    <w:ind w:left="0" w:right="0"/>
                    <w:rPr>
                      <w:rFonts w:ascii="Times New Roman" w:hAnsi="Times New Roman" w:eastAsia="宋体"/>
                      <w:color w:val="auto"/>
                    </w:rPr>
                  </w:pPr>
                </w:p>
              </w:tc>
              <w:tc>
                <w:tcPr>
                  <w:tcW w:w="2614"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贮存设施应根据危险废物的类别、数量、形态、物理化学性质和污染防治等要求设置必要的贮存分区，避免不相容的危险废物接触、混合。</w:t>
                  </w:r>
                </w:p>
              </w:tc>
              <w:tc>
                <w:tcPr>
                  <w:tcW w:w="2753"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color w:val="auto"/>
                      <w:lang w:val="en-US" w:eastAsia="zh-CN"/>
                    </w:rPr>
                    <w:t>本项目</w:t>
                  </w:r>
                  <w:r>
                    <w:rPr>
                      <w:rFonts w:hint="eastAsia" w:ascii="Times New Roman" w:hAnsi="Times New Roman" w:eastAsia="宋体"/>
                      <w:color w:val="auto"/>
                      <w:lang w:eastAsia="zh-CN"/>
                    </w:rPr>
                    <w:t>设置了</w:t>
                  </w:r>
                  <w:r>
                    <w:rPr>
                      <w:rFonts w:hint="eastAsia" w:hAnsiTheme="minorEastAsia" w:eastAsiaTheme="minorEastAsia"/>
                      <w:color w:val="auto"/>
                      <w:sz w:val="21"/>
                      <w:szCs w:val="21"/>
                      <w:lang w:val="en-US" w:eastAsia="zh-CN"/>
                    </w:rPr>
                    <w:t>完整电池存储区、破损电池存储区等</w:t>
                  </w:r>
                  <w:r>
                    <w:rPr>
                      <w:rFonts w:hint="eastAsia" w:ascii="Times New Roman" w:hAnsi="Times New Roman" w:eastAsia="宋体"/>
                      <w:color w:val="auto"/>
                      <w:lang w:eastAsia="zh-CN"/>
                    </w:rPr>
                    <w:t>分区</w:t>
                  </w:r>
                  <w:r>
                    <w:rPr>
                      <w:rFonts w:hint="eastAsia"/>
                      <w:color w:val="auto"/>
                      <w:lang w:val="en-US" w:eastAsia="zh-CN"/>
                    </w:rPr>
                    <w:t>储存</w:t>
                  </w:r>
                  <w:r>
                    <w:rPr>
                      <w:rFonts w:hint="eastAsia" w:ascii="Times New Roman" w:hAnsi="Times New Roman" w:eastAsia="宋体"/>
                      <w:color w:val="auto"/>
                      <w:lang w:eastAsia="zh-CN"/>
                    </w:rPr>
                    <w:t>，</w:t>
                  </w:r>
                  <w:bookmarkStart w:id="63" w:name="OLE_LINK229"/>
                  <w:r>
                    <w:rPr>
                      <w:rFonts w:hint="eastAsia" w:ascii="Times New Roman" w:hAnsi="Times New Roman" w:eastAsia="宋体"/>
                      <w:color w:val="auto"/>
                      <w:lang w:eastAsia="zh-CN"/>
                    </w:rPr>
                    <w:t>不相容的危险废物不接触、不混合</w:t>
                  </w:r>
                  <w:bookmarkEnd w:id="63"/>
                  <w:r>
                    <w:rPr>
                      <w:rFonts w:hint="eastAsia" w:ascii="Times New Roman" w:hAnsi="Times New Roman" w:eastAsia="宋体"/>
                      <w:color w:val="auto"/>
                      <w:lang w:eastAsia="zh-CN"/>
                    </w:rPr>
                    <w:t>。</w:t>
                  </w:r>
                </w:p>
              </w:tc>
              <w:tc>
                <w:tcPr>
                  <w:tcW w:w="638"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leftChars="0" w:right="0" w:rightChars="0" w:firstLine="0" w:firstLineChars="0"/>
                    <w:rPr>
                      <w:color w:val="auto"/>
                    </w:rPr>
                  </w:pPr>
                  <w:r>
                    <w:rPr>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597" w:type="dxa"/>
                  <w:vMerge w:val="continue"/>
                  <w:vAlign w:val="center"/>
                </w:tcPr>
                <w:p>
                  <w:pPr>
                    <w:pStyle w:val="28"/>
                    <w:keepNext w:val="0"/>
                    <w:keepLines w:val="0"/>
                    <w:suppressLineNumbers w:val="0"/>
                    <w:bidi w:val="0"/>
                    <w:spacing w:before="0" w:beforeAutospacing="0" w:after="0" w:afterAutospacing="0"/>
                    <w:ind w:left="0" w:right="0"/>
                    <w:rPr>
                      <w:color w:val="auto"/>
                    </w:rPr>
                  </w:pPr>
                </w:p>
              </w:tc>
              <w:tc>
                <w:tcPr>
                  <w:tcW w:w="480" w:type="dxa"/>
                  <w:vMerge w:val="continue"/>
                  <w:vAlign w:val="center"/>
                </w:tcPr>
                <w:p>
                  <w:pPr>
                    <w:pStyle w:val="28"/>
                    <w:keepNext w:val="0"/>
                    <w:keepLines w:val="0"/>
                    <w:suppressLineNumbers w:val="0"/>
                    <w:bidi w:val="0"/>
                    <w:spacing w:before="0" w:beforeAutospacing="0" w:after="0" w:afterAutospacing="0"/>
                    <w:ind w:left="0" w:right="0"/>
                    <w:rPr>
                      <w:color w:val="auto"/>
                    </w:rPr>
                  </w:pPr>
                </w:p>
              </w:tc>
              <w:tc>
                <w:tcPr>
                  <w:tcW w:w="2614"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贮存设施或贮存分区内地面、墙面裙脚、堵截泄漏的围堰、接触危险废物的隔板和墙体等应采 用坚固的材料建造，表面无裂缝。</w:t>
                  </w:r>
                </w:p>
              </w:tc>
              <w:tc>
                <w:tcPr>
                  <w:tcW w:w="2753"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本项目</w:t>
                  </w:r>
                  <w:r>
                    <w:rPr>
                      <w:rFonts w:hint="eastAsia"/>
                      <w:color w:val="auto"/>
                      <w:lang w:val="en-US" w:eastAsia="zh-CN"/>
                    </w:rPr>
                    <w:t>储存厂房</w:t>
                  </w:r>
                  <w:r>
                    <w:rPr>
                      <w:rFonts w:hint="eastAsia" w:ascii="Times New Roman" w:hAnsi="Times New Roman" w:eastAsia="宋体"/>
                      <w:color w:val="auto"/>
                      <w:lang w:eastAsia="zh-CN"/>
                    </w:rPr>
                    <w:t>地面及墙面裙脚采用防渗、防腐材料，表面无裂缝，满足要求。</w:t>
                  </w:r>
                </w:p>
              </w:tc>
              <w:tc>
                <w:tcPr>
                  <w:tcW w:w="638"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leftChars="0" w:right="0" w:rightChars="0" w:firstLine="0" w:firstLineChars="0"/>
                    <w:rPr>
                      <w:color w:val="auto"/>
                    </w:rPr>
                  </w:pPr>
                  <w:r>
                    <w:rPr>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597" w:type="dxa"/>
                  <w:vMerge w:val="continue"/>
                  <w:vAlign w:val="center"/>
                </w:tcPr>
                <w:p>
                  <w:pPr>
                    <w:pStyle w:val="28"/>
                    <w:keepNext w:val="0"/>
                    <w:keepLines w:val="0"/>
                    <w:suppressLineNumbers w:val="0"/>
                    <w:bidi w:val="0"/>
                    <w:spacing w:before="0" w:beforeAutospacing="0" w:after="0" w:afterAutospacing="0"/>
                    <w:ind w:left="0" w:right="0"/>
                    <w:rPr>
                      <w:color w:val="auto"/>
                    </w:rPr>
                  </w:pPr>
                </w:p>
              </w:tc>
              <w:tc>
                <w:tcPr>
                  <w:tcW w:w="480" w:type="dxa"/>
                  <w:vMerge w:val="continue"/>
                  <w:vAlign w:val="center"/>
                </w:tcPr>
                <w:p>
                  <w:pPr>
                    <w:pStyle w:val="28"/>
                    <w:keepNext w:val="0"/>
                    <w:keepLines w:val="0"/>
                    <w:suppressLineNumbers w:val="0"/>
                    <w:bidi w:val="0"/>
                    <w:spacing w:before="0" w:beforeAutospacing="0" w:after="0" w:afterAutospacing="0"/>
                    <w:ind w:left="0" w:right="0"/>
                    <w:rPr>
                      <w:color w:val="auto"/>
                    </w:rPr>
                  </w:pPr>
                </w:p>
              </w:tc>
              <w:tc>
                <w:tcPr>
                  <w:tcW w:w="2614"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ascii="Times New Roman" w:hAnsi="Times New Roman" w:eastAsia="宋体"/>
                      <w:color w:val="auto"/>
                      <w:vertAlign w:val="superscript"/>
                      <w:lang w:eastAsia="zh-CN"/>
                    </w:rPr>
                    <w:t>-7</w:t>
                  </w:r>
                  <w:r>
                    <w:rPr>
                      <w:rFonts w:hint="eastAsia" w:ascii="Times New Roman" w:hAnsi="Times New Roman" w:eastAsia="宋体"/>
                      <w:color w:val="auto"/>
                      <w:lang w:eastAsia="zh-CN"/>
                    </w:rPr>
                    <w:t>cm/s），或至少2mm厚高密度聚乙烯膜等人工防渗材料（渗透系数不大于10</w:t>
                  </w:r>
                  <w:r>
                    <w:rPr>
                      <w:rFonts w:hint="eastAsia" w:ascii="Times New Roman" w:hAnsi="Times New Roman" w:eastAsia="宋体"/>
                      <w:color w:val="auto"/>
                      <w:vertAlign w:val="superscript"/>
                      <w:lang w:eastAsia="zh-CN"/>
                    </w:rPr>
                    <w:t>-10</w:t>
                  </w:r>
                  <w:r>
                    <w:rPr>
                      <w:rFonts w:hint="eastAsia" w:ascii="Times New Roman" w:hAnsi="Times New Roman" w:eastAsia="宋体"/>
                      <w:color w:val="auto"/>
                      <w:lang w:eastAsia="zh-CN"/>
                    </w:rPr>
                    <w:t>cm/s），或其他防渗性能等效的材料。</w:t>
                  </w:r>
                </w:p>
              </w:tc>
              <w:tc>
                <w:tcPr>
                  <w:tcW w:w="2753"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本项目</w:t>
                  </w:r>
                  <w:r>
                    <w:rPr>
                      <w:rFonts w:hint="eastAsia"/>
                      <w:color w:val="auto"/>
                      <w:lang w:val="en-US" w:eastAsia="zh-CN"/>
                    </w:rPr>
                    <w:t>储存</w:t>
                  </w:r>
                  <w:r>
                    <w:rPr>
                      <w:rFonts w:hint="eastAsia" w:ascii="Times New Roman" w:hAnsi="Times New Roman" w:eastAsia="宋体"/>
                      <w:color w:val="auto"/>
                      <w:lang w:eastAsia="zh-CN"/>
                    </w:rPr>
                    <w:t>的</w:t>
                  </w:r>
                  <w:r>
                    <w:rPr>
                      <w:rFonts w:hint="eastAsia"/>
                      <w:color w:val="auto"/>
                      <w:lang w:val="en-US" w:eastAsia="zh-CN"/>
                    </w:rPr>
                    <w:t>废铅蓄电池、泄漏电解液等</w:t>
                  </w:r>
                  <w:r>
                    <w:rPr>
                      <w:rFonts w:hint="eastAsia" w:ascii="Times New Roman" w:hAnsi="Times New Roman" w:eastAsia="宋体"/>
                      <w:color w:val="auto"/>
                      <w:lang w:eastAsia="zh-CN"/>
                    </w:rPr>
                    <w:t>危险废物</w:t>
                  </w:r>
                  <w:r>
                    <w:rPr>
                      <w:rFonts w:hint="eastAsia"/>
                      <w:color w:val="auto"/>
                      <w:lang w:eastAsia="zh-CN"/>
                    </w:rPr>
                    <w:t>，</w:t>
                  </w:r>
                  <w:r>
                    <w:rPr>
                      <w:rFonts w:hint="eastAsia"/>
                      <w:color w:val="auto"/>
                      <w:lang w:val="en-US" w:eastAsia="zh-CN"/>
                    </w:rPr>
                    <w:t>均</w:t>
                  </w:r>
                  <w:r>
                    <w:rPr>
                      <w:rFonts w:hint="eastAsia" w:ascii="Times New Roman" w:hAnsi="Times New Roman" w:eastAsia="宋体"/>
                      <w:color w:val="auto"/>
                      <w:lang w:eastAsia="zh-CN"/>
                    </w:rPr>
                    <w:t>不直接接触地面。</w:t>
                  </w:r>
                  <w:bookmarkStart w:id="64" w:name="OLE_LINK233"/>
                  <w:r>
                    <w:rPr>
                      <w:rFonts w:hint="eastAsia"/>
                      <w:color w:val="auto"/>
                      <w:lang w:val="en-US" w:eastAsia="zh-CN"/>
                    </w:rPr>
                    <w:t>储存厂房</w:t>
                  </w:r>
                  <w:bookmarkEnd w:id="64"/>
                  <w:r>
                    <w:rPr>
                      <w:rFonts w:hint="eastAsia" w:ascii="Times New Roman" w:hAnsi="Times New Roman" w:eastAsia="宋体"/>
                      <w:color w:val="auto"/>
                      <w:lang w:eastAsia="zh-CN"/>
                    </w:rPr>
                    <w:t>内地面与裙脚铺贴2mm厚高密度聚乙烯膜，与所接触的物料相容。</w:t>
                  </w:r>
                  <w:r>
                    <w:rPr>
                      <w:rFonts w:hint="eastAsia"/>
                      <w:color w:val="auto"/>
                      <w:lang w:val="en-US" w:eastAsia="zh-CN"/>
                    </w:rPr>
                    <w:t>完整电池先用塑料薄膜包装后再装入</w:t>
                  </w:r>
                  <w:r>
                    <w:rPr>
                      <w:color w:val="auto"/>
                      <w:highlight w:val="none"/>
                    </w:rPr>
                    <w:t>塑料托盘</w:t>
                  </w:r>
                  <w:r>
                    <w:rPr>
                      <w:rFonts w:hint="eastAsia"/>
                      <w:color w:val="auto"/>
                      <w:highlight w:val="none"/>
                      <w:lang w:val="en-US" w:eastAsia="zh-CN"/>
                    </w:rPr>
                    <w:t>中储存</w:t>
                  </w:r>
                  <w:r>
                    <w:rPr>
                      <w:rFonts w:hint="eastAsia"/>
                      <w:color w:val="auto"/>
                    </w:rPr>
                    <w:t>；破损的废铅蓄电池放入</w:t>
                  </w:r>
                  <w:r>
                    <w:rPr>
                      <w:color w:val="auto"/>
                    </w:rPr>
                    <w:t>破损电池储存</w:t>
                  </w:r>
                  <w:r>
                    <w:rPr>
                      <w:rFonts w:hint="eastAsia"/>
                      <w:color w:val="auto"/>
                    </w:rPr>
                    <w:t>箱内</w:t>
                  </w:r>
                  <w:r>
                    <w:rPr>
                      <w:rFonts w:hint="eastAsia"/>
                      <w:color w:val="auto"/>
                      <w:lang w:eastAsia="zh-CN"/>
                    </w:rPr>
                    <w:t>，</w:t>
                  </w:r>
                  <w:r>
                    <w:rPr>
                      <w:rFonts w:hint="eastAsia"/>
                      <w:color w:val="auto"/>
                      <w:highlight w:val="none"/>
                      <w:lang w:val="en-US" w:eastAsia="zh-CN"/>
                    </w:rPr>
                    <w:t>泄漏</w:t>
                  </w:r>
                  <w:r>
                    <w:rPr>
                      <w:color w:val="auto"/>
                      <w:highlight w:val="none"/>
                    </w:rPr>
                    <w:t>电解液</w:t>
                  </w:r>
                  <w:r>
                    <w:rPr>
                      <w:rFonts w:hint="eastAsia"/>
                      <w:color w:val="auto"/>
                      <w:highlight w:val="none"/>
                      <w:lang w:val="en-US" w:eastAsia="zh-CN"/>
                    </w:rPr>
                    <w:t>采用</w:t>
                  </w:r>
                  <w:r>
                    <w:rPr>
                      <w:color w:val="auto"/>
                    </w:rPr>
                    <w:t>PVC桶</w:t>
                  </w:r>
                  <w:r>
                    <w:rPr>
                      <w:rFonts w:hint="eastAsia"/>
                      <w:color w:val="auto"/>
                      <w:lang w:val="en-US" w:eastAsia="zh-CN"/>
                    </w:rPr>
                    <w:t>收集。</w:t>
                  </w:r>
                  <w:r>
                    <w:rPr>
                      <w:rFonts w:hint="eastAsia" w:ascii="Times New Roman" w:hAnsi="Times New Roman" w:eastAsia="宋体"/>
                      <w:color w:val="auto"/>
                      <w:lang w:eastAsia="zh-CN"/>
                    </w:rPr>
                    <w:t>不直接接触地面。</w:t>
                  </w:r>
                </w:p>
              </w:tc>
              <w:tc>
                <w:tcPr>
                  <w:tcW w:w="638"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leftChars="0" w:right="0" w:rightChars="0" w:firstLine="0" w:firstLineChars="0"/>
                    <w:rPr>
                      <w:color w:val="auto"/>
                    </w:rPr>
                  </w:pPr>
                  <w:r>
                    <w:rPr>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dxa"/>
                  <w:vMerge w:val="continue"/>
                  <w:vAlign w:val="center"/>
                </w:tcPr>
                <w:p>
                  <w:pPr>
                    <w:pStyle w:val="28"/>
                    <w:keepNext w:val="0"/>
                    <w:keepLines w:val="0"/>
                    <w:suppressLineNumbers w:val="0"/>
                    <w:bidi w:val="0"/>
                    <w:spacing w:before="0" w:beforeAutospacing="0" w:after="0" w:afterAutospacing="0"/>
                    <w:ind w:left="0" w:right="0"/>
                    <w:rPr>
                      <w:rFonts w:ascii="Times New Roman" w:hAnsi="Times New Roman" w:eastAsia="宋体"/>
                      <w:color w:val="auto"/>
                    </w:rPr>
                  </w:pPr>
                </w:p>
              </w:tc>
              <w:tc>
                <w:tcPr>
                  <w:tcW w:w="480" w:type="dxa"/>
                  <w:vMerge w:val="continue"/>
                  <w:vAlign w:val="center"/>
                </w:tcPr>
                <w:p>
                  <w:pPr>
                    <w:pStyle w:val="28"/>
                    <w:keepNext w:val="0"/>
                    <w:keepLines w:val="0"/>
                    <w:suppressLineNumbers w:val="0"/>
                    <w:bidi w:val="0"/>
                    <w:spacing w:before="0" w:beforeAutospacing="0" w:after="0" w:afterAutospacing="0"/>
                    <w:ind w:left="0" w:right="0"/>
                    <w:rPr>
                      <w:rFonts w:ascii="Times New Roman" w:hAnsi="Times New Roman" w:eastAsia="宋体"/>
                      <w:color w:val="auto"/>
                    </w:rPr>
                  </w:pPr>
                </w:p>
              </w:tc>
              <w:tc>
                <w:tcPr>
                  <w:tcW w:w="2614"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同一贮存设施宜采用相同的防渗、防腐工艺（包括防渗、防腐结构或材料），防渗、防腐材料应覆盖所有可能与废物及其渗滤液、渗漏液等接触的构筑物表面；采用不同防渗、防腐工艺应分别建设贮存分区。</w:t>
                  </w:r>
                </w:p>
              </w:tc>
              <w:tc>
                <w:tcPr>
                  <w:tcW w:w="2753"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color w:val="auto"/>
                      <w:lang w:val="en-US" w:eastAsia="zh-CN"/>
                    </w:rPr>
                    <w:t>本项目储存厂房</w:t>
                  </w:r>
                  <w:r>
                    <w:rPr>
                      <w:rFonts w:hint="eastAsia" w:ascii="Times New Roman" w:hAnsi="Times New Roman" w:eastAsia="宋体"/>
                      <w:color w:val="auto"/>
                      <w:lang w:eastAsia="zh-CN"/>
                    </w:rPr>
                    <w:t>采用相同的防渗、防腐工艺，防渗、防腐材料覆盖整个</w:t>
                  </w:r>
                  <w:r>
                    <w:rPr>
                      <w:rFonts w:hint="eastAsia"/>
                      <w:color w:val="auto"/>
                      <w:lang w:val="en-US" w:eastAsia="zh-CN"/>
                    </w:rPr>
                    <w:t>储存厂房。</w:t>
                  </w:r>
                </w:p>
              </w:tc>
              <w:tc>
                <w:tcPr>
                  <w:tcW w:w="638"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leftChars="0" w:right="0" w:rightChars="0" w:firstLine="0" w:firstLineChars="0"/>
                    <w:rPr>
                      <w:color w:val="auto"/>
                    </w:rPr>
                  </w:pPr>
                  <w:r>
                    <w:rPr>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dxa"/>
                  <w:vMerge w:val="continue"/>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rFonts w:ascii="Times New Roman" w:hAnsi="Times New Roman" w:eastAsia="宋体"/>
                      <w:color w:val="auto"/>
                    </w:rPr>
                  </w:pPr>
                  <w:bookmarkStart w:id="65" w:name="OLE_LINK126" w:colFirst="4" w:colLast="4"/>
                </w:p>
              </w:tc>
              <w:tc>
                <w:tcPr>
                  <w:tcW w:w="480" w:type="dxa"/>
                  <w:vMerge w:val="continue"/>
                  <w:tcBorders>
                    <w:bottom w:val="single" w:color="auto" w:sz="4" w:space="0"/>
                  </w:tcBorders>
                  <w:vAlign w:val="center"/>
                </w:tcPr>
                <w:p>
                  <w:pPr>
                    <w:pStyle w:val="28"/>
                    <w:keepNext w:val="0"/>
                    <w:keepLines w:val="0"/>
                    <w:suppressLineNumbers w:val="0"/>
                    <w:bidi w:val="0"/>
                    <w:spacing w:before="0" w:beforeAutospacing="0" w:after="0" w:afterAutospacing="0"/>
                    <w:ind w:left="0" w:right="0"/>
                    <w:rPr>
                      <w:rFonts w:ascii="Times New Roman" w:hAnsi="Times New Roman" w:eastAsia="宋体"/>
                      <w:color w:val="auto"/>
                    </w:rPr>
                  </w:pPr>
                </w:p>
              </w:tc>
              <w:tc>
                <w:tcPr>
                  <w:tcW w:w="2614"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贮存设施应采取技术和管理措施防止无关人员进入。</w:t>
                  </w:r>
                </w:p>
              </w:tc>
              <w:tc>
                <w:tcPr>
                  <w:tcW w:w="2753"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bookmarkStart w:id="66" w:name="OLE_LINK234"/>
                  <w:r>
                    <w:rPr>
                      <w:rFonts w:hint="eastAsia" w:ascii="Times New Roman" w:hAnsi="Times New Roman" w:eastAsia="宋体"/>
                      <w:color w:val="auto"/>
                      <w:lang w:eastAsia="zh-CN"/>
                    </w:rPr>
                    <w:t>本项目</w:t>
                  </w:r>
                  <w:r>
                    <w:rPr>
                      <w:rFonts w:hint="eastAsia"/>
                      <w:color w:val="auto"/>
                      <w:lang w:val="en-US" w:eastAsia="zh-CN"/>
                    </w:rPr>
                    <w:t>储存</w:t>
                  </w:r>
                  <w:r>
                    <w:rPr>
                      <w:rFonts w:hint="eastAsia" w:ascii="Times New Roman" w:hAnsi="Times New Roman" w:eastAsia="宋体"/>
                      <w:color w:val="auto"/>
                      <w:lang w:eastAsia="zh-CN"/>
                    </w:rPr>
                    <w:t>区</w:t>
                  </w:r>
                  <w:bookmarkEnd w:id="66"/>
                  <w:r>
                    <w:rPr>
                      <w:rFonts w:hint="eastAsia" w:ascii="Times New Roman" w:hAnsi="Times New Roman" w:eastAsia="宋体"/>
                      <w:color w:val="auto"/>
                      <w:lang w:eastAsia="zh-CN"/>
                    </w:rPr>
                    <w:t>严格管理，禁止无关人员进入。</w:t>
                  </w:r>
                </w:p>
              </w:tc>
              <w:tc>
                <w:tcPr>
                  <w:tcW w:w="638"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dxa"/>
                  <w:vMerge w:val="continue"/>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rFonts w:ascii="Times New Roman" w:hAnsi="Times New Roman" w:eastAsia="宋体"/>
                      <w:color w:val="auto"/>
                    </w:rPr>
                  </w:pPr>
                </w:p>
              </w:tc>
              <w:tc>
                <w:tcPr>
                  <w:tcW w:w="480" w:type="dxa"/>
                  <w:vMerge w:val="restart"/>
                  <w:tcBorders>
                    <w:top w:val="single" w:color="auto" w:sz="4" w:space="0"/>
                  </w:tcBorders>
                  <w:vAlign w:val="center"/>
                </w:tcPr>
                <w:p>
                  <w:pPr>
                    <w:pStyle w:val="28"/>
                    <w:keepNext w:val="0"/>
                    <w:keepLines w:val="0"/>
                    <w:suppressLineNumbers w:val="0"/>
                    <w:bidi w:val="0"/>
                    <w:spacing w:before="0" w:beforeAutospacing="0" w:after="0" w:afterAutospacing="0"/>
                    <w:ind w:left="0" w:right="0"/>
                    <w:rPr>
                      <w:rFonts w:ascii="Times New Roman" w:hAnsi="Times New Roman" w:eastAsia="宋体"/>
                      <w:color w:val="auto"/>
                    </w:rPr>
                  </w:pPr>
                  <w:r>
                    <w:rPr>
                      <w:rFonts w:ascii="Times New Roman" w:hAnsi="Times New Roman" w:eastAsia="宋体"/>
                      <w:color w:val="auto"/>
                    </w:rPr>
                    <w:t>贮存库</w:t>
                  </w:r>
                </w:p>
              </w:tc>
              <w:tc>
                <w:tcPr>
                  <w:tcW w:w="2614"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贮存库内不同贮存分区之间应采取隔离措施。隔离措施可根据危险废物特性采用过道、隔板或 隔墙等方式。</w:t>
                  </w:r>
                </w:p>
              </w:tc>
              <w:tc>
                <w:tcPr>
                  <w:tcW w:w="2753"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本项目</w:t>
                  </w:r>
                  <w:r>
                    <w:rPr>
                      <w:rFonts w:hint="eastAsia"/>
                      <w:color w:val="auto"/>
                      <w:lang w:val="en-US" w:eastAsia="zh-CN"/>
                    </w:rPr>
                    <w:t>储存</w:t>
                  </w:r>
                  <w:r>
                    <w:rPr>
                      <w:rFonts w:hint="eastAsia" w:ascii="Times New Roman" w:hAnsi="Times New Roman" w:eastAsia="宋体"/>
                      <w:color w:val="auto"/>
                      <w:lang w:eastAsia="zh-CN"/>
                    </w:rPr>
                    <w:t>区使用墙体对完整和破损废铅蓄电池进行隔离。</w:t>
                  </w:r>
                </w:p>
              </w:tc>
              <w:tc>
                <w:tcPr>
                  <w:tcW w:w="638"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bookmarkEnd w:id="65"/>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dxa"/>
                  <w:vMerge w:val="continue"/>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rFonts w:ascii="Times New Roman" w:hAnsi="Times New Roman" w:eastAsia="宋体"/>
                      <w:color w:val="auto"/>
                    </w:rPr>
                  </w:pPr>
                </w:p>
              </w:tc>
              <w:tc>
                <w:tcPr>
                  <w:tcW w:w="480" w:type="dxa"/>
                  <w:vMerge w:val="continue"/>
                  <w:vAlign w:val="center"/>
                </w:tcPr>
                <w:p>
                  <w:pPr>
                    <w:pStyle w:val="28"/>
                    <w:keepNext w:val="0"/>
                    <w:keepLines w:val="0"/>
                    <w:suppressLineNumbers w:val="0"/>
                    <w:bidi w:val="0"/>
                    <w:spacing w:before="0" w:beforeAutospacing="0" w:after="0" w:afterAutospacing="0"/>
                    <w:ind w:left="0" w:right="0"/>
                    <w:rPr>
                      <w:rFonts w:ascii="Times New Roman" w:hAnsi="Times New Roman" w:eastAsia="宋体"/>
                      <w:color w:val="auto"/>
                    </w:rPr>
                  </w:pPr>
                </w:p>
              </w:tc>
              <w:tc>
                <w:tcPr>
                  <w:tcW w:w="2614"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在贮存库内或通过贮存分区方式贮存液态危险废物的，应具有液体泄漏堵截设施，堵截设施最 小容积不应低于对应贮存区域最大液态废物容器容积或液态废物总储量1/10（二者取较大者）；用于贮 存可能产生渗滤液的危险废物的贮存库或贮存分区应设计渗滤液收集设施，收集设施容积应满足渗滤液 的收集要求。</w:t>
                  </w:r>
                </w:p>
              </w:tc>
              <w:tc>
                <w:tcPr>
                  <w:tcW w:w="2753"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bookmarkStart w:id="67" w:name="OLE_LINK251"/>
                  <w:r>
                    <w:rPr>
                      <w:rFonts w:hint="eastAsia" w:ascii="Times New Roman" w:hAnsi="Times New Roman" w:eastAsia="宋体"/>
                      <w:color w:val="auto"/>
                      <w:lang w:eastAsia="zh-CN"/>
                    </w:rPr>
                    <w:t>暂存场所地面设置</w:t>
                  </w:r>
                  <w:bookmarkStart w:id="68" w:name="OLE_LINK250"/>
                  <w:r>
                    <w:rPr>
                      <w:rFonts w:hint="eastAsia" w:ascii="Times New Roman" w:hAnsi="Times New Roman" w:eastAsia="宋体"/>
                      <w:color w:val="auto"/>
                      <w:lang w:eastAsia="zh-CN"/>
                    </w:rPr>
                    <w:t>导流槽、堵截泄漏的围堰，</w:t>
                  </w:r>
                  <w:r>
                    <w:rPr>
                      <w:rFonts w:hint="eastAsia" w:ascii="Times New Roman" w:hAnsi="Times New Roman" w:eastAsia="宋体"/>
                      <w:color w:val="auto"/>
                      <w:lang w:val="en-US" w:eastAsia="zh-CN"/>
                    </w:rPr>
                    <w:t>配备</w:t>
                  </w:r>
                  <w:r>
                    <w:rPr>
                      <w:rFonts w:hAnsiTheme="minorEastAsia" w:eastAsiaTheme="minorEastAsia"/>
                      <w:color w:val="auto"/>
                      <w:sz w:val="21"/>
                      <w:szCs w:val="21"/>
                    </w:rPr>
                    <w:t>废液收集池（</w:t>
                  </w:r>
                  <w:r>
                    <w:rPr>
                      <w:rFonts w:eastAsiaTheme="minorEastAsia"/>
                      <w:color w:val="auto"/>
                      <w:sz w:val="21"/>
                      <w:szCs w:val="21"/>
                    </w:rPr>
                    <w:t>0.5</w:t>
                  </w:r>
                  <w:r>
                    <w:rPr>
                      <w:rFonts w:hint="eastAsia" w:eastAsiaTheme="minorEastAsia"/>
                      <w:color w:val="auto"/>
                      <w:sz w:val="21"/>
                      <w:szCs w:val="21"/>
                      <w:lang w:eastAsia="zh-CN"/>
                    </w:rPr>
                    <w:t>m³</w:t>
                  </w:r>
                  <w:r>
                    <w:rPr>
                      <w:rFonts w:hAnsiTheme="minorEastAsia" w:eastAsiaTheme="minorEastAsia"/>
                      <w:color w:val="auto"/>
                      <w:sz w:val="21"/>
                      <w:szCs w:val="21"/>
                    </w:rPr>
                    <w:t>）</w:t>
                  </w:r>
                  <w:bookmarkEnd w:id="68"/>
                  <w:r>
                    <w:rPr>
                      <w:rFonts w:hAnsiTheme="minorEastAsia" w:eastAsiaTheme="minorEastAsia"/>
                      <w:color w:val="auto"/>
                      <w:sz w:val="21"/>
                      <w:szCs w:val="21"/>
                    </w:rPr>
                    <w:t>、应急事故池</w:t>
                  </w:r>
                  <w:r>
                    <w:rPr>
                      <w:rFonts w:hAnsiTheme="minorEastAsia" w:eastAsiaTheme="minorEastAsia"/>
                      <w:color w:val="auto"/>
                      <w:kern w:val="0"/>
                      <w:sz w:val="21"/>
                      <w:szCs w:val="21"/>
                    </w:rPr>
                    <w:t>（</w:t>
                  </w:r>
                  <w:r>
                    <w:rPr>
                      <w:rFonts w:eastAsiaTheme="minorEastAsia"/>
                      <w:color w:val="auto"/>
                      <w:sz w:val="21"/>
                      <w:szCs w:val="21"/>
                    </w:rPr>
                    <w:t>40</w:t>
                  </w:r>
                  <w:r>
                    <w:rPr>
                      <w:rFonts w:hint="eastAsia" w:eastAsiaTheme="minorEastAsia"/>
                      <w:color w:val="auto"/>
                      <w:sz w:val="21"/>
                      <w:szCs w:val="21"/>
                      <w:lang w:eastAsia="zh-CN"/>
                    </w:rPr>
                    <w:t>m³</w:t>
                  </w:r>
                  <w:bookmarkEnd w:id="67"/>
                  <w:r>
                    <w:rPr>
                      <w:rFonts w:hAnsiTheme="minorEastAsia" w:eastAsiaTheme="minorEastAsia"/>
                      <w:color w:val="auto"/>
                      <w:kern w:val="0"/>
                      <w:sz w:val="21"/>
                      <w:szCs w:val="21"/>
                    </w:rPr>
                    <w:t>）</w:t>
                  </w:r>
                  <w:r>
                    <w:rPr>
                      <w:rFonts w:hint="eastAsia" w:ascii="Times New Roman" w:hAnsi="Times New Roman" w:eastAsia="宋体"/>
                      <w:color w:val="auto"/>
                      <w:lang w:eastAsia="zh-CN"/>
                    </w:rPr>
                    <w:t>，能有效收集泄漏的酸液，收集设施容积能满足渗滤液的收集要求。</w:t>
                  </w:r>
                </w:p>
              </w:tc>
              <w:tc>
                <w:tcPr>
                  <w:tcW w:w="638"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dxa"/>
                  <w:vMerge w:val="continue"/>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p>
              </w:tc>
              <w:tc>
                <w:tcPr>
                  <w:tcW w:w="480" w:type="dxa"/>
                  <w:vMerge w:val="continue"/>
                  <w:tcBorders>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p>
              </w:tc>
              <w:tc>
                <w:tcPr>
                  <w:tcW w:w="2614"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贮存易产生粉尘、VOCs、酸雾、有毒有害大气污染物和刺激性气味气体的危险废物贮存库，应设置气体收集装置和气体净化设施；气体净化设施的排气筒高度应符合GB16297要求。</w:t>
                  </w:r>
                </w:p>
              </w:tc>
              <w:tc>
                <w:tcPr>
                  <w:tcW w:w="2753"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硫酸雾废气经收集后送至1套酸雾吸收塔处理，后经1根15m高排气筒（</w:t>
                  </w:r>
                  <w:r>
                    <w:rPr>
                      <w:rFonts w:hint="eastAsia" w:ascii="Times New Roman" w:hAnsi="Times New Roman" w:eastAsia="宋体"/>
                      <w:color w:val="auto"/>
                      <w:lang w:val="en-US" w:eastAsia="zh-CN"/>
                    </w:rPr>
                    <w:t>DA001</w:t>
                  </w:r>
                  <w:r>
                    <w:rPr>
                      <w:rFonts w:hint="eastAsia" w:ascii="Times New Roman" w:hAnsi="Times New Roman" w:eastAsia="宋体"/>
                      <w:color w:val="auto"/>
                      <w:lang w:eastAsia="zh-CN"/>
                    </w:rPr>
                    <w:t>）有组织排放。</w:t>
                  </w:r>
                </w:p>
              </w:tc>
              <w:tc>
                <w:tcPr>
                  <w:tcW w:w="638"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bookmarkEnd w:id="61"/>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dxa"/>
                  <w:vMerge w:val="restart"/>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rFonts w:ascii="Times New Roman" w:hAnsi="Times New Roman" w:eastAsia="宋体"/>
                      <w:color w:val="auto"/>
                    </w:rPr>
                  </w:pPr>
                  <w:r>
                    <w:rPr>
                      <w:rFonts w:ascii="Times New Roman" w:hAnsi="Times New Roman" w:eastAsia="宋体"/>
                      <w:color w:val="auto"/>
                    </w:rPr>
                    <w:t>容器和包装物污染控制要求</w:t>
                  </w:r>
                </w:p>
              </w:tc>
              <w:tc>
                <w:tcPr>
                  <w:tcW w:w="3094" w:type="dxa"/>
                  <w:gridSpan w:val="2"/>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容器和包装物材质、内衬应与盛装的危险废物相容。</w:t>
                  </w:r>
                </w:p>
              </w:tc>
              <w:tc>
                <w:tcPr>
                  <w:tcW w:w="2753"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bookmarkStart w:id="69" w:name="OLE_LINK236"/>
                  <w:r>
                    <w:rPr>
                      <w:rFonts w:hint="eastAsia"/>
                      <w:color w:val="auto"/>
                      <w:lang w:val="en-US" w:eastAsia="zh-CN"/>
                    </w:rPr>
                    <w:t>完整电池先用塑料薄膜包装后再装入</w:t>
                  </w:r>
                  <w:r>
                    <w:rPr>
                      <w:color w:val="auto"/>
                      <w:highlight w:val="none"/>
                    </w:rPr>
                    <w:t>塑料托盘</w:t>
                  </w:r>
                  <w:r>
                    <w:rPr>
                      <w:rFonts w:hint="eastAsia"/>
                      <w:color w:val="auto"/>
                      <w:highlight w:val="none"/>
                      <w:lang w:val="en-US" w:eastAsia="zh-CN"/>
                    </w:rPr>
                    <w:t>中储存</w:t>
                  </w:r>
                  <w:r>
                    <w:rPr>
                      <w:rFonts w:hint="eastAsia"/>
                      <w:color w:val="auto"/>
                    </w:rPr>
                    <w:t>；破损的废铅蓄电池</w:t>
                  </w:r>
                  <w:r>
                    <w:rPr>
                      <w:rFonts w:hint="eastAsia"/>
                      <w:color w:val="auto"/>
                      <w:lang w:val="en-US" w:eastAsia="zh-CN"/>
                    </w:rPr>
                    <w:t>采用</w:t>
                  </w:r>
                  <w:r>
                    <w:rPr>
                      <w:color w:val="auto"/>
                    </w:rPr>
                    <w:t>破损电池储存</w:t>
                  </w:r>
                  <w:r>
                    <w:rPr>
                      <w:rFonts w:hint="eastAsia"/>
                      <w:color w:val="auto"/>
                    </w:rPr>
                    <w:t>箱</w:t>
                  </w:r>
                  <w:r>
                    <w:rPr>
                      <w:rFonts w:hint="eastAsia"/>
                      <w:color w:val="auto"/>
                      <w:lang w:val="en-US" w:eastAsia="zh-CN"/>
                    </w:rPr>
                    <w:t>放置</w:t>
                  </w:r>
                  <w:bookmarkEnd w:id="69"/>
                  <w:r>
                    <w:rPr>
                      <w:rFonts w:hint="eastAsia" w:ascii="Times New Roman" w:hAnsi="Times New Roman" w:eastAsia="宋体"/>
                      <w:color w:val="auto"/>
                      <w:lang w:eastAsia="zh-CN"/>
                    </w:rPr>
                    <w:t>，危废与</w:t>
                  </w:r>
                  <w:r>
                    <w:rPr>
                      <w:rFonts w:hint="eastAsia"/>
                      <w:color w:val="auto"/>
                      <w:lang w:val="en-US" w:eastAsia="zh-CN"/>
                    </w:rPr>
                    <w:t>包装</w:t>
                  </w:r>
                  <w:r>
                    <w:rPr>
                      <w:rFonts w:hint="eastAsia" w:ascii="Times New Roman" w:hAnsi="Times New Roman" w:eastAsia="宋体"/>
                      <w:color w:val="auto"/>
                      <w:lang w:eastAsia="zh-CN"/>
                    </w:rPr>
                    <w:t>相容。</w:t>
                  </w:r>
                </w:p>
              </w:tc>
              <w:tc>
                <w:tcPr>
                  <w:tcW w:w="638"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rFonts w:ascii="Times New Roman" w:hAnsi="Times New Roman" w:eastAsia="宋体"/>
                      <w:color w:val="auto"/>
                    </w:rPr>
                  </w:pPr>
                  <w:r>
                    <w:rPr>
                      <w:rFonts w:ascii="Times New Roman" w:hAnsi="Times New Roman" w:eastAsia="宋体"/>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597" w:type="dxa"/>
                  <w:vMerge w:val="continue"/>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rFonts w:ascii="Times New Roman" w:hAnsi="Times New Roman" w:eastAsia="宋体"/>
                      <w:color w:val="auto"/>
                    </w:rPr>
                  </w:pPr>
                  <w:bookmarkStart w:id="70" w:name="OLE_LINK128" w:colFirst="1" w:colLast="1"/>
                </w:p>
              </w:tc>
              <w:tc>
                <w:tcPr>
                  <w:tcW w:w="3094" w:type="dxa"/>
                  <w:gridSpan w:val="2"/>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针对不同类别、形态、物理化学性质的危险废物，其容器和包装物应满足相应的防渗、防漏、防腐和强度等要求。</w:t>
                  </w:r>
                </w:p>
              </w:tc>
              <w:tc>
                <w:tcPr>
                  <w:tcW w:w="2753"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bookmarkStart w:id="71" w:name="OLE_LINK237"/>
                  <w:r>
                    <w:rPr>
                      <w:rFonts w:hint="eastAsia"/>
                      <w:color w:val="auto"/>
                      <w:lang w:val="en-US" w:eastAsia="zh-CN"/>
                    </w:rPr>
                    <w:t>完整电池先用塑料薄膜包装后再装入</w:t>
                  </w:r>
                  <w:r>
                    <w:rPr>
                      <w:color w:val="auto"/>
                      <w:highlight w:val="none"/>
                    </w:rPr>
                    <w:t>塑料托盘</w:t>
                  </w:r>
                  <w:r>
                    <w:rPr>
                      <w:rFonts w:hint="eastAsia"/>
                      <w:color w:val="auto"/>
                      <w:highlight w:val="none"/>
                      <w:lang w:val="en-US" w:eastAsia="zh-CN"/>
                    </w:rPr>
                    <w:t>中储存</w:t>
                  </w:r>
                  <w:r>
                    <w:rPr>
                      <w:rFonts w:hint="eastAsia"/>
                      <w:color w:val="auto"/>
                    </w:rPr>
                    <w:t>；破损的废铅蓄电池</w:t>
                  </w:r>
                  <w:r>
                    <w:rPr>
                      <w:rFonts w:hint="eastAsia"/>
                      <w:color w:val="auto"/>
                      <w:lang w:val="en-US" w:eastAsia="zh-CN"/>
                    </w:rPr>
                    <w:t>采用</w:t>
                  </w:r>
                  <w:r>
                    <w:rPr>
                      <w:color w:val="auto"/>
                    </w:rPr>
                    <w:t>破损电池储存</w:t>
                  </w:r>
                  <w:r>
                    <w:rPr>
                      <w:rFonts w:hint="eastAsia"/>
                      <w:color w:val="auto"/>
                    </w:rPr>
                    <w:t>箱</w:t>
                  </w:r>
                  <w:r>
                    <w:rPr>
                      <w:rFonts w:hint="eastAsia"/>
                      <w:color w:val="auto"/>
                      <w:lang w:val="en-US" w:eastAsia="zh-CN"/>
                    </w:rPr>
                    <w:t>放置，</w:t>
                  </w:r>
                  <w:bookmarkEnd w:id="71"/>
                  <w:r>
                    <w:rPr>
                      <w:rFonts w:hint="eastAsia"/>
                      <w:color w:val="auto"/>
                      <w:lang w:val="en-US" w:eastAsia="zh-CN"/>
                    </w:rPr>
                    <w:t>均</w:t>
                  </w:r>
                  <w:r>
                    <w:rPr>
                      <w:rFonts w:hint="eastAsia" w:ascii="Times New Roman" w:hAnsi="Times New Roman" w:eastAsia="宋体"/>
                      <w:color w:val="auto"/>
                      <w:lang w:eastAsia="zh-CN"/>
                    </w:rPr>
                    <w:t>不接触地面，</w:t>
                  </w:r>
                  <w:r>
                    <w:rPr>
                      <w:rFonts w:hint="eastAsia"/>
                      <w:color w:val="auto"/>
                      <w:lang w:val="en-US" w:eastAsia="zh-CN"/>
                    </w:rPr>
                    <w:t>其容器均</w:t>
                  </w:r>
                  <w:r>
                    <w:rPr>
                      <w:rFonts w:hint="eastAsia" w:ascii="Times New Roman" w:hAnsi="Times New Roman" w:eastAsia="宋体"/>
                      <w:color w:val="auto"/>
                      <w:lang w:eastAsia="zh-CN"/>
                    </w:rPr>
                    <w:t>满足相应的防渗、防漏、防腐和强度等要求。</w:t>
                  </w:r>
                </w:p>
              </w:tc>
              <w:tc>
                <w:tcPr>
                  <w:tcW w:w="638"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rFonts w:ascii="Times New Roman" w:hAnsi="Times New Roman" w:eastAsia="宋体"/>
                      <w:color w:val="auto"/>
                    </w:rPr>
                  </w:pPr>
                  <w:r>
                    <w:rPr>
                      <w:rFonts w:ascii="Times New Roman" w:hAnsi="Times New Roman" w:eastAsia="宋体"/>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597" w:type="dxa"/>
                  <w:vMerge w:val="continue"/>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p>
              </w:tc>
              <w:tc>
                <w:tcPr>
                  <w:tcW w:w="3094" w:type="dxa"/>
                  <w:gridSpan w:val="2"/>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硬质容器和包装物及其支护结构堆叠码放时不应有明显变形，无破损泄漏。</w:t>
                  </w:r>
                </w:p>
              </w:tc>
              <w:tc>
                <w:tcPr>
                  <w:tcW w:w="2753"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bookmarkStart w:id="72" w:name="OLE_LINK239"/>
                  <w:r>
                    <w:rPr>
                      <w:rFonts w:hint="eastAsia"/>
                      <w:color w:val="auto"/>
                      <w:lang w:val="en-US" w:eastAsia="zh-CN"/>
                    </w:rPr>
                    <w:t>完整电池先用塑料薄膜包装后再装入</w:t>
                  </w:r>
                  <w:r>
                    <w:rPr>
                      <w:color w:val="auto"/>
                      <w:highlight w:val="none"/>
                    </w:rPr>
                    <w:t>塑料托盘</w:t>
                  </w:r>
                  <w:r>
                    <w:rPr>
                      <w:rFonts w:hint="eastAsia"/>
                      <w:color w:val="auto"/>
                      <w:highlight w:val="none"/>
                      <w:lang w:val="en-US" w:eastAsia="zh-CN"/>
                    </w:rPr>
                    <w:t>中储存</w:t>
                  </w:r>
                  <w:r>
                    <w:rPr>
                      <w:rFonts w:hint="eastAsia"/>
                      <w:color w:val="auto"/>
                    </w:rPr>
                    <w:t>；破损的废铅蓄电池</w:t>
                  </w:r>
                  <w:r>
                    <w:rPr>
                      <w:rFonts w:hint="eastAsia"/>
                      <w:color w:val="auto"/>
                      <w:lang w:val="en-US" w:eastAsia="zh-CN"/>
                    </w:rPr>
                    <w:t>采用</w:t>
                  </w:r>
                  <w:r>
                    <w:rPr>
                      <w:color w:val="auto"/>
                    </w:rPr>
                    <w:t>破损电池储存</w:t>
                  </w:r>
                  <w:r>
                    <w:rPr>
                      <w:rFonts w:hint="eastAsia"/>
                      <w:color w:val="auto"/>
                    </w:rPr>
                    <w:t>箱</w:t>
                  </w:r>
                  <w:r>
                    <w:rPr>
                      <w:rFonts w:hint="eastAsia"/>
                      <w:color w:val="auto"/>
                      <w:lang w:val="en-US" w:eastAsia="zh-CN"/>
                    </w:rPr>
                    <w:t>放置，</w:t>
                  </w:r>
                  <w:bookmarkEnd w:id="72"/>
                  <w:r>
                    <w:rPr>
                      <w:rFonts w:hint="eastAsia"/>
                      <w:color w:val="auto"/>
                      <w:lang w:val="en-US" w:eastAsia="zh-CN"/>
                    </w:rPr>
                    <w:t>储存时</w:t>
                  </w:r>
                  <w:r>
                    <w:rPr>
                      <w:rFonts w:hint="eastAsia" w:ascii="Times New Roman" w:hAnsi="Times New Roman" w:eastAsia="宋体"/>
                      <w:color w:val="auto"/>
                      <w:lang w:eastAsia="zh-CN"/>
                    </w:rPr>
                    <w:t>不会产生明显变形，破损泄漏。</w:t>
                  </w:r>
                </w:p>
              </w:tc>
              <w:tc>
                <w:tcPr>
                  <w:tcW w:w="638"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rFonts w:ascii="Times New Roman" w:hAnsi="Times New Roman" w:eastAsia="宋体"/>
                      <w:color w:val="auto"/>
                    </w:rPr>
                  </w:pPr>
                  <w:r>
                    <w:rPr>
                      <w:rFonts w:ascii="Times New Roman" w:hAnsi="Times New Roman" w:eastAsia="宋体"/>
                      <w:color w:val="auto"/>
                    </w:rPr>
                    <w:t>符合</w:t>
                  </w:r>
                </w:p>
              </w:tc>
            </w:tr>
            <w:bookmarkEnd w:id="70"/>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dxa"/>
                  <w:vMerge w:val="restart"/>
                  <w:tcBorders>
                    <w:top w:val="single" w:color="auto" w:sz="4" w:space="0"/>
                  </w:tcBorders>
                  <w:vAlign w:val="center"/>
                </w:tcPr>
                <w:p>
                  <w:pPr>
                    <w:pStyle w:val="28"/>
                    <w:keepNext w:val="0"/>
                    <w:keepLines w:val="0"/>
                    <w:suppressLineNumbers w:val="0"/>
                    <w:bidi w:val="0"/>
                    <w:spacing w:before="0" w:beforeAutospacing="0" w:after="0" w:afterAutospacing="0"/>
                    <w:ind w:left="0" w:right="0"/>
                    <w:rPr>
                      <w:rFonts w:ascii="Times New Roman" w:hAnsi="Times New Roman" w:eastAsia="宋体"/>
                      <w:color w:val="auto"/>
                    </w:rPr>
                  </w:pPr>
                  <w:bookmarkStart w:id="73" w:name="OLE_LINK130" w:colFirst="4" w:colLast="4"/>
                  <w:bookmarkStart w:id="74" w:name="OLE_LINK129" w:colFirst="1" w:colLast="1"/>
                  <w:r>
                    <w:rPr>
                      <w:rFonts w:ascii="Times New Roman" w:hAnsi="Times New Roman" w:eastAsia="宋体"/>
                      <w:color w:val="auto"/>
                    </w:rPr>
                    <w:t>贮存过程污染控制要求</w:t>
                  </w:r>
                </w:p>
              </w:tc>
              <w:tc>
                <w:tcPr>
                  <w:tcW w:w="480" w:type="dxa"/>
                  <w:vMerge w:val="restart"/>
                  <w:tcBorders>
                    <w:top w:val="single" w:color="auto" w:sz="4" w:space="0"/>
                  </w:tcBorders>
                  <w:vAlign w:val="center"/>
                </w:tcPr>
                <w:p>
                  <w:pPr>
                    <w:pStyle w:val="28"/>
                    <w:keepNext w:val="0"/>
                    <w:keepLines w:val="0"/>
                    <w:suppressLineNumbers w:val="0"/>
                    <w:bidi w:val="0"/>
                    <w:spacing w:before="0" w:beforeAutospacing="0" w:after="0" w:afterAutospacing="0"/>
                    <w:ind w:left="0" w:right="0"/>
                    <w:rPr>
                      <w:rFonts w:hint="eastAsia" w:ascii="Times New Roman" w:hAnsi="Times New Roman" w:eastAsia="宋体"/>
                      <w:color w:val="auto"/>
                      <w:lang w:eastAsia="zh-CN"/>
                    </w:rPr>
                  </w:pPr>
                  <w:r>
                    <w:rPr>
                      <w:rFonts w:ascii="Times New Roman" w:hAnsi="Times New Roman" w:eastAsia="宋体"/>
                      <w:color w:val="auto"/>
                    </w:rPr>
                    <w:t>一般规定</w:t>
                  </w:r>
                </w:p>
              </w:tc>
              <w:tc>
                <w:tcPr>
                  <w:tcW w:w="2614"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在常温常压下不易水解、不易挥发的固态危险废物可分类堆放贮存，其他固态危险废物应装入容器或包装物内贮存。</w:t>
                  </w:r>
                </w:p>
              </w:tc>
              <w:tc>
                <w:tcPr>
                  <w:tcW w:w="2753"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bookmarkStart w:id="75" w:name="OLE_LINK248"/>
                  <w:bookmarkStart w:id="76" w:name="OLE_LINK252"/>
                  <w:r>
                    <w:rPr>
                      <w:rFonts w:hint="eastAsia"/>
                      <w:color w:val="auto"/>
                      <w:lang w:val="en-US" w:eastAsia="zh-CN"/>
                    </w:rPr>
                    <w:t>完整电池先用塑料薄膜包装后再装入</w:t>
                  </w:r>
                  <w:r>
                    <w:rPr>
                      <w:color w:val="auto"/>
                      <w:highlight w:val="none"/>
                    </w:rPr>
                    <w:t>塑料托盘</w:t>
                  </w:r>
                  <w:r>
                    <w:rPr>
                      <w:rFonts w:hint="eastAsia"/>
                      <w:color w:val="auto"/>
                      <w:highlight w:val="none"/>
                      <w:lang w:val="en-US" w:eastAsia="zh-CN"/>
                    </w:rPr>
                    <w:t>中储存</w:t>
                  </w:r>
                  <w:r>
                    <w:rPr>
                      <w:rFonts w:hint="eastAsia"/>
                      <w:color w:val="auto"/>
                    </w:rPr>
                    <w:t>；</w:t>
                  </w:r>
                  <w:bookmarkStart w:id="77" w:name="OLE_LINK240"/>
                  <w:r>
                    <w:rPr>
                      <w:rFonts w:hint="eastAsia"/>
                      <w:color w:val="auto"/>
                    </w:rPr>
                    <w:t>破损的废铅蓄电池</w:t>
                  </w:r>
                  <w:r>
                    <w:rPr>
                      <w:rFonts w:hint="eastAsia"/>
                      <w:color w:val="auto"/>
                      <w:lang w:val="en-US" w:eastAsia="zh-CN"/>
                    </w:rPr>
                    <w:t>采用</w:t>
                  </w:r>
                  <w:bookmarkStart w:id="78" w:name="OLE_LINK249"/>
                  <w:r>
                    <w:rPr>
                      <w:color w:val="auto"/>
                    </w:rPr>
                    <w:t>破损电池储存</w:t>
                  </w:r>
                  <w:r>
                    <w:rPr>
                      <w:rFonts w:hint="eastAsia"/>
                      <w:color w:val="auto"/>
                    </w:rPr>
                    <w:t>箱</w:t>
                  </w:r>
                  <w:bookmarkEnd w:id="78"/>
                  <w:r>
                    <w:rPr>
                      <w:rFonts w:hint="eastAsia"/>
                      <w:color w:val="auto"/>
                      <w:lang w:val="en-US" w:eastAsia="zh-CN"/>
                    </w:rPr>
                    <w:t>放置</w:t>
                  </w:r>
                  <w:bookmarkEnd w:id="75"/>
                  <w:bookmarkEnd w:id="77"/>
                  <w:r>
                    <w:rPr>
                      <w:rFonts w:hint="eastAsia"/>
                      <w:color w:val="auto"/>
                      <w:lang w:val="en-US" w:eastAsia="zh-CN"/>
                    </w:rPr>
                    <w:t>，</w:t>
                  </w:r>
                  <w:r>
                    <w:rPr>
                      <w:rFonts w:hint="eastAsia"/>
                      <w:color w:val="auto"/>
                      <w:lang w:eastAsia="zh-CN"/>
                    </w:rPr>
                    <w:t>容器</w:t>
                  </w:r>
                  <w:r>
                    <w:rPr>
                      <w:rFonts w:hint="eastAsia"/>
                      <w:color w:val="auto"/>
                      <w:lang w:val="en-US" w:eastAsia="zh-CN"/>
                    </w:rPr>
                    <w:t>均符合</w:t>
                  </w:r>
                  <w:r>
                    <w:rPr>
                      <w:color w:val="auto"/>
                    </w:rPr>
                    <w:t>耐酸、防渗</w:t>
                  </w:r>
                  <w:r>
                    <w:rPr>
                      <w:rFonts w:hint="eastAsia"/>
                      <w:color w:val="auto"/>
                      <w:lang w:val="en-US" w:eastAsia="zh-CN"/>
                    </w:rPr>
                    <w:t>要求</w:t>
                  </w:r>
                  <w:r>
                    <w:rPr>
                      <w:rFonts w:hint="eastAsia"/>
                      <w:color w:val="auto"/>
                      <w:lang w:eastAsia="zh-CN"/>
                    </w:rPr>
                    <w:t>。</w:t>
                  </w:r>
                  <w:bookmarkEnd w:id="76"/>
                </w:p>
              </w:tc>
              <w:tc>
                <w:tcPr>
                  <w:tcW w:w="638"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dxa"/>
                  <w:vMerge w:val="continue"/>
                  <w:vAlign w:val="center"/>
                </w:tcPr>
                <w:p>
                  <w:pPr>
                    <w:pStyle w:val="28"/>
                    <w:keepNext w:val="0"/>
                    <w:keepLines w:val="0"/>
                    <w:suppressLineNumbers w:val="0"/>
                    <w:bidi w:val="0"/>
                    <w:spacing w:before="0" w:beforeAutospacing="0" w:after="0" w:afterAutospacing="0"/>
                    <w:ind w:left="0" w:right="0"/>
                    <w:rPr>
                      <w:rFonts w:ascii="Times New Roman" w:hAnsi="Times New Roman" w:eastAsia="宋体"/>
                      <w:color w:val="auto"/>
                    </w:rPr>
                  </w:pPr>
                </w:p>
              </w:tc>
              <w:tc>
                <w:tcPr>
                  <w:tcW w:w="480" w:type="dxa"/>
                  <w:vMerge w:val="continue"/>
                  <w:vAlign w:val="center"/>
                </w:tcPr>
                <w:p>
                  <w:pPr>
                    <w:pStyle w:val="28"/>
                    <w:keepNext w:val="0"/>
                    <w:keepLines w:val="0"/>
                    <w:suppressLineNumbers w:val="0"/>
                    <w:bidi w:val="0"/>
                    <w:spacing w:before="0" w:beforeAutospacing="0" w:after="0" w:afterAutospacing="0"/>
                    <w:ind w:left="0" w:right="0"/>
                    <w:rPr>
                      <w:rFonts w:ascii="Times New Roman" w:hAnsi="Times New Roman" w:eastAsia="宋体"/>
                      <w:color w:val="auto"/>
                    </w:rPr>
                  </w:pPr>
                </w:p>
              </w:tc>
              <w:tc>
                <w:tcPr>
                  <w:tcW w:w="2614"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易产生粉尘、VOCs、酸雾、有毒有害大气污染物和刺激性气味气体的危险废物应装入</w:t>
                  </w:r>
                  <w:bookmarkStart w:id="79" w:name="OLE_LINK241"/>
                  <w:r>
                    <w:rPr>
                      <w:rFonts w:hint="eastAsia" w:ascii="Times New Roman" w:hAnsi="Times New Roman" w:eastAsia="宋体"/>
                      <w:color w:val="auto"/>
                      <w:lang w:eastAsia="zh-CN"/>
                    </w:rPr>
                    <w:t>闭口容器</w:t>
                  </w:r>
                  <w:bookmarkEnd w:id="79"/>
                  <w:r>
                    <w:rPr>
                      <w:rFonts w:hint="eastAsia" w:ascii="Times New Roman" w:hAnsi="Times New Roman" w:eastAsia="宋体"/>
                      <w:color w:val="auto"/>
                      <w:lang w:eastAsia="zh-CN"/>
                    </w:rPr>
                    <w:t>或包装物内贮存。</w:t>
                  </w:r>
                </w:p>
              </w:tc>
              <w:tc>
                <w:tcPr>
                  <w:tcW w:w="2753"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color w:val="auto"/>
                    </w:rPr>
                    <w:t>破损的废铅蓄电池</w:t>
                  </w:r>
                  <w:r>
                    <w:rPr>
                      <w:rFonts w:hint="eastAsia"/>
                      <w:color w:val="auto"/>
                      <w:lang w:val="en-US" w:eastAsia="zh-CN"/>
                    </w:rPr>
                    <w:t>采用</w:t>
                  </w:r>
                  <w:r>
                    <w:rPr>
                      <w:color w:val="auto"/>
                    </w:rPr>
                    <w:t>破损电池储存</w:t>
                  </w:r>
                  <w:r>
                    <w:rPr>
                      <w:rFonts w:hint="eastAsia"/>
                      <w:color w:val="auto"/>
                    </w:rPr>
                    <w:t>箱</w:t>
                  </w:r>
                  <w:r>
                    <w:rPr>
                      <w:rFonts w:hint="eastAsia"/>
                      <w:color w:val="auto"/>
                      <w:lang w:val="en-US" w:eastAsia="zh-CN"/>
                    </w:rPr>
                    <w:t>放置，破损电池储存箱为带盖的闭口容器。</w:t>
                  </w:r>
                </w:p>
              </w:tc>
              <w:tc>
                <w:tcPr>
                  <w:tcW w:w="638"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bookmarkEnd w:id="73"/>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597" w:type="dxa"/>
                  <w:vMerge w:val="continue"/>
                  <w:vAlign w:val="center"/>
                </w:tcPr>
                <w:p>
                  <w:pPr>
                    <w:pStyle w:val="28"/>
                    <w:keepNext w:val="0"/>
                    <w:keepLines w:val="0"/>
                    <w:suppressLineNumbers w:val="0"/>
                    <w:bidi w:val="0"/>
                    <w:spacing w:before="0" w:beforeAutospacing="0" w:after="0" w:afterAutospacing="0"/>
                    <w:ind w:left="0" w:right="0"/>
                    <w:rPr>
                      <w:rFonts w:ascii="Times New Roman" w:hAnsi="Times New Roman" w:eastAsia="宋体"/>
                      <w:color w:val="auto"/>
                    </w:rPr>
                  </w:pPr>
                </w:p>
              </w:tc>
              <w:tc>
                <w:tcPr>
                  <w:tcW w:w="480" w:type="dxa"/>
                  <w:vMerge w:val="restart"/>
                  <w:tcBorders>
                    <w:top w:val="single" w:color="auto" w:sz="4" w:space="0"/>
                  </w:tcBorders>
                  <w:vAlign w:val="center"/>
                </w:tcPr>
                <w:p>
                  <w:pPr>
                    <w:pStyle w:val="28"/>
                    <w:keepNext w:val="0"/>
                    <w:keepLines w:val="0"/>
                    <w:suppressLineNumbers w:val="0"/>
                    <w:bidi w:val="0"/>
                    <w:spacing w:before="0" w:beforeAutospacing="0" w:after="0" w:afterAutospacing="0"/>
                    <w:ind w:left="0" w:right="0"/>
                    <w:rPr>
                      <w:rFonts w:ascii="Times New Roman" w:hAnsi="Times New Roman" w:eastAsia="宋体"/>
                      <w:color w:val="auto"/>
                    </w:rPr>
                  </w:pPr>
                  <w:r>
                    <w:rPr>
                      <w:rFonts w:ascii="Times New Roman" w:hAnsi="Times New Roman" w:eastAsia="宋体"/>
                      <w:color w:val="auto"/>
                    </w:rPr>
                    <w:t>贮存设施运行环境管理要求</w:t>
                  </w:r>
                </w:p>
              </w:tc>
              <w:tc>
                <w:tcPr>
                  <w:tcW w:w="2614"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危险废物存入贮存设施前应对危险废物类别和特性与危险废物标签等危险废物识别标志的一致性进行核验，不一致的或类别、特性不明的不应存入。</w:t>
                  </w:r>
                </w:p>
              </w:tc>
              <w:tc>
                <w:tcPr>
                  <w:tcW w:w="2753"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color w:val="auto"/>
                      <w:lang w:val="en-US" w:eastAsia="zh-CN"/>
                    </w:rPr>
                    <w:t>本项目</w:t>
                  </w:r>
                  <w:bookmarkStart w:id="80" w:name="OLE_LINK242"/>
                  <w:r>
                    <w:rPr>
                      <w:rFonts w:hint="eastAsia"/>
                      <w:color w:val="auto"/>
                      <w:lang w:val="en-US" w:eastAsia="zh-CN"/>
                    </w:rPr>
                    <w:t>收集装车</w:t>
                  </w:r>
                  <w:bookmarkEnd w:id="80"/>
                  <w:r>
                    <w:rPr>
                      <w:rFonts w:hint="eastAsia"/>
                      <w:color w:val="auto"/>
                      <w:lang w:val="en-US" w:eastAsia="zh-CN"/>
                    </w:rPr>
                    <w:t>前对废铅蓄电池</w:t>
                  </w:r>
                  <w:r>
                    <w:rPr>
                      <w:rFonts w:hint="eastAsia" w:ascii="Times New Roman" w:hAnsi="Times New Roman" w:eastAsia="宋体"/>
                      <w:color w:val="auto"/>
                      <w:lang w:eastAsia="zh-CN"/>
                    </w:rPr>
                    <w:t>进行核验，不一致的或类别、特性不明的不得</w:t>
                  </w:r>
                  <w:r>
                    <w:rPr>
                      <w:rFonts w:hint="eastAsia"/>
                      <w:color w:val="auto"/>
                      <w:lang w:val="en-US" w:eastAsia="zh-CN"/>
                    </w:rPr>
                    <w:t>收集装车</w:t>
                  </w:r>
                  <w:r>
                    <w:rPr>
                      <w:rFonts w:hint="eastAsia" w:ascii="Times New Roman" w:hAnsi="Times New Roman" w:eastAsia="宋体"/>
                      <w:color w:val="auto"/>
                      <w:lang w:eastAsia="zh-CN"/>
                    </w:rPr>
                    <w:t>。</w:t>
                  </w:r>
                </w:p>
              </w:tc>
              <w:tc>
                <w:tcPr>
                  <w:tcW w:w="638"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597" w:type="dxa"/>
                  <w:vMerge w:val="continue"/>
                  <w:vAlign w:val="center"/>
                </w:tcPr>
                <w:p>
                  <w:pPr>
                    <w:pStyle w:val="28"/>
                    <w:keepNext w:val="0"/>
                    <w:keepLines w:val="0"/>
                    <w:suppressLineNumbers w:val="0"/>
                    <w:bidi w:val="0"/>
                    <w:spacing w:before="0" w:beforeAutospacing="0" w:after="0" w:afterAutospacing="0"/>
                    <w:ind w:left="0" w:right="0"/>
                    <w:rPr>
                      <w:color w:val="auto"/>
                    </w:rPr>
                  </w:pPr>
                </w:p>
              </w:tc>
              <w:tc>
                <w:tcPr>
                  <w:tcW w:w="480" w:type="dxa"/>
                  <w:vMerge w:val="continue"/>
                  <w:vAlign w:val="center"/>
                </w:tcPr>
                <w:p>
                  <w:pPr>
                    <w:pStyle w:val="28"/>
                    <w:keepNext w:val="0"/>
                    <w:keepLines w:val="0"/>
                    <w:suppressLineNumbers w:val="0"/>
                    <w:bidi w:val="0"/>
                    <w:spacing w:before="0" w:beforeAutospacing="0" w:after="0" w:afterAutospacing="0"/>
                    <w:ind w:left="0" w:right="0"/>
                    <w:rPr>
                      <w:color w:val="auto"/>
                    </w:rPr>
                  </w:pPr>
                </w:p>
              </w:tc>
              <w:tc>
                <w:tcPr>
                  <w:tcW w:w="2614"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应定期检查危险废物的贮存状况，及时清理贮存设施地面，更换破损泄漏的危险废物贮存容器和包装物，保证堆存危险废物的防雨、防风、防扬尘等设施功能完好。</w:t>
                  </w:r>
                </w:p>
              </w:tc>
              <w:tc>
                <w:tcPr>
                  <w:tcW w:w="2753"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定期检查废铅蓄电池的贮存状况，及时清理地面，更换破损危废贮存容器和包装物。</w:t>
                  </w:r>
                </w:p>
              </w:tc>
              <w:tc>
                <w:tcPr>
                  <w:tcW w:w="638"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leftChars="0" w:right="0" w:rightChars="0" w:firstLine="0" w:firstLineChars="0"/>
                    <w:rPr>
                      <w:color w:val="auto"/>
                    </w:rPr>
                  </w:pPr>
                  <w:r>
                    <w:rPr>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597" w:type="dxa"/>
                  <w:vMerge w:val="continue"/>
                  <w:vAlign w:val="center"/>
                </w:tcPr>
                <w:p>
                  <w:pPr>
                    <w:pStyle w:val="28"/>
                    <w:keepNext w:val="0"/>
                    <w:keepLines w:val="0"/>
                    <w:suppressLineNumbers w:val="0"/>
                    <w:bidi w:val="0"/>
                    <w:spacing w:before="0" w:beforeAutospacing="0" w:after="0" w:afterAutospacing="0"/>
                    <w:ind w:left="0" w:right="0"/>
                    <w:rPr>
                      <w:color w:val="auto"/>
                    </w:rPr>
                  </w:pPr>
                </w:p>
              </w:tc>
              <w:tc>
                <w:tcPr>
                  <w:tcW w:w="480" w:type="dxa"/>
                  <w:vMerge w:val="continue"/>
                  <w:vAlign w:val="center"/>
                </w:tcPr>
                <w:p>
                  <w:pPr>
                    <w:pStyle w:val="28"/>
                    <w:keepNext w:val="0"/>
                    <w:keepLines w:val="0"/>
                    <w:suppressLineNumbers w:val="0"/>
                    <w:bidi w:val="0"/>
                    <w:spacing w:before="0" w:beforeAutospacing="0" w:after="0" w:afterAutospacing="0"/>
                    <w:ind w:left="0" w:right="0"/>
                    <w:rPr>
                      <w:color w:val="auto"/>
                    </w:rPr>
                  </w:pPr>
                </w:p>
              </w:tc>
              <w:tc>
                <w:tcPr>
                  <w:tcW w:w="2614"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作业设备及车辆等结束作业离开贮存设施时，应对其残留的危险废物进行清理，清理的废物或清洗废水应收集处理。</w:t>
                  </w:r>
                </w:p>
              </w:tc>
              <w:tc>
                <w:tcPr>
                  <w:tcW w:w="2753"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结束作业后对</w:t>
                  </w:r>
                  <w:r>
                    <w:rPr>
                      <w:rFonts w:hint="eastAsia"/>
                      <w:color w:val="auto"/>
                      <w:lang w:val="en-US" w:eastAsia="zh-CN"/>
                    </w:rPr>
                    <w:t>储存厂房</w:t>
                  </w:r>
                  <w:r>
                    <w:rPr>
                      <w:rFonts w:hint="eastAsia" w:ascii="Times New Roman" w:hAnsi="Times New Roman" w:eastAsia="宋体"/>
                      <w:color w:val="auto"/>
                      <w:lang w:eastAsia="zh-CN"/>
                    </w:rPr>
                    <w:t>进行清理，残留的危险废物收集委托有危废处置资质单位处置。</w:t>
                  </w:r>
                </w:p>
              </w:tc>
              <w:tc>
                <w:tcPr>
                  <w:tcW w:w="638"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leftChars="0" w:right="0" w:rightChars="0" w:firstLine="0" w:firstLineChars="0"/>
                    <w:rPr>
                      <w:color w:val="auto"/>
                    </w:rPr>
                  </w:pPr>
                  <w:r>
                    <w:rPr>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597" w:type="dxa"/>
                  <w:vMerge w:val="continue"/>
                  <w:vAlign w:val="center"/>
                </w:tcPr>
                <w:p>
                  <w:pPr>
                    <w:pStyle w:val="28"/>
                    <w:keepNext w:val="0"/>
                    <w:keepLines w:val="0"/>
                    <w:suppressLineNumbers w:val="0"/>
                    <w:bidi w:val="0"/>
                    <w:spacing w:before="0" w:beforeAutospacing="0" w:after="0" w:afterAutospacing="0"/>
                    <w:ind w:left="0" w:right="0"/>
                    <w:rPr>
                      <w:color w:val="auto"/>
                    </w:rPr>
                  </w:pPr>
                </w:p>
              </w:tc>
              <w:tc>
                <w:tcPr>
                  <w:tcW w:w="480" w:type="dxa"/>
                  <w:vMerge w:val="continue"/>
                  <w:vAlign w:val="center"/>
                </w:tcPr>
                <w:p>
                  <w:pPr>
                    <w:pStyle w:val="28"/>
                    <w:keepNext w:val="0"/>
                    <w:keepLines w:val="0"/>
                    <w:suppressLineNumbers w:val="0"/>
                    <w:bidi w:val="0"/>
                    <w:spacing w:before="0" w:beforeAutospacing="0" w:after="0" w:afterAutospacing="0"/>
                    <w:ind w:left="0" w:right="0"/>
                    <w:rPr>
                      <w:color w:val="auto"/>
                    </w:rPr>
                  </w:pPr>
                </w:p>
              </w:tc>
              <w:tc>
                <w:tcPr>
                  <w:tcW w:w="2614"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贮存设施运行期间，应按国家有关标准和规定建立危险废物管理台账并保存。</w:t>
                  </w:r>
                </w:p>
              </w:tc>
              <w:tc>
                <w:tcPr>
                  <w:tcW w:w="2753"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color w:val="auto"/>
                      <w:lang w:val="en-US" w:eastAsia="zh-CN"/>
                    </w:rPr>
                    <w:t>本项目储存期间</w:t>
                  </w:r>
                  <w:r>
                    <w:rPr>
                      <w:rFonts w:hint="eastAsia" w:ascii="Times New Roman" w:hAnsi="Times New Roman" w:eastAsia="宋体"/>
                      <w:color w:val="auto"/>
                      <w:lang w:eastAsia="zh-CN"/>
                    </w:rPr>
                    <w:t>按国家有关标准和规定建立危险废物管理台账并保存。</w:t>
                  </w:r>
                </w:p>
              </w:tc>
              <w:tc>
                <w:tcPr>
                  <w:tcW w:w="638"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leftChars="0" w:right="0" w:rightChars="0" w:firstLine="0" w:firstLineChars="0"/>
                    <w:rPr>
                      <w:color w:val="auto"/>
                    </w:rPr>
                  </w:pPr>
                  <w:r>
                    <w:rPr>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597" w:type="dxa"/>
                  <w:vMerge w:val="continue"/>
                  <w:vAlign w:val="center"/>
                </w:tcPr>
                <w:p>
                  <w:pPr>
                    <w:pStyle w:val="28"/>
                    <w:keepNext w:val="0"/>
                    <w:keepLines w:val="0"/>
                    <w:suppressLineNumbers w:val="0"/>
                    <w:bidi w:val="0"/>
                    <w:spacing w:before="0" w:beforeAutospacing="0" w:after="0" w:afterAutospacing="0"/>
                    <w:ind w:left="0" w:right="0"/>
                    <w:rPr>
                      <w:color w:val="auto"/>
                    </w:rPr>
                  </w:pPr>
                </w:p>
              </w:tc>
              <w:tc>
                <w:tcPr>
                  <w:tcW w:w="480" w:type="dxa"/>
                  <w:vMerge w:val="continue"/>
                  <w:vAlign w:val="center"/>
                </w:tcPr>
                <w:p>
                  <w:pPr>
                    <w:pStyle w:val="28"/>
                    <w:keepNext w:val="0"/>
                    <w:keepLines w:val="0"/>
                    <w:suppressLineNumbers w:val="0"/>
                    <w:bidi w:val="0"/>
                    <w:spacing w:before="0" w:beforeAutospacing="0" w:after="0" w:afterAutospacing="0"/>
                    <w:ind w:left="0" w:right="0"/>
                    <w:rPr>
                      <w:color w:val="auto"/>
                    </w:rPr>
                  </w:pPr>
                </w:p>
              </w:tc>
              <w:tc>
                <w:tcPr>
                  <w:tcW w:w="2614"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贮存设施所有者或运营者应建立贮存设施环境管理制度、管理人员岗位职责制度、设施运行操作制度、人员岗位培训制度等。</w:t>
                  </w:r>
                </w:p>
              </w:tc>
              <w:tc>
                <w:tcPr>
                  <w:tcW w:w="2753"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建设单位按要求建立“暂存点”环境管理制度、管理人员岗位职责制度等。</w:t>
                  </w:r>
                </w:p>
              </w:tc>
              <w:tc>
                <w:tcPr>
                  <w:tcW w:w="638"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leftChars="0" w:right="0" w:rightChars="0" w:firstLine="0" w:firstLineChars="0"/>
                    <w:rPr>
                      <w:color w:val="auto"/>
                    </w:rPr>
                  </w:pPr>
                  <w:r>
                    <w:rPr>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597" w:type="dxa"/>
                  <w:vMerge w:val="continue"/>
                  <w:vAlign w:val="center"/>
                </w:tcPr>
                <w:p>
                  <w:pPr>
                    <w:pStyle w:val="28"/>
                    <w:keepNext w:val="0"/>
                    <w:keepLines w:val="0"/>
                    <w:suppressLineNumbers w:val="0"/>
                    <w:bidi w:val="0"/>
                    <w:spacing w:before="0" w:beforeAutospacing="0" w:after="0" w:afterAutospacing="0"/>
                    <w:ind w:left="0" w:right="0"/>
                    <w:rPr>
                      <w:color w:val="auto"/>
                    </w:rPr>
                  </w:pPr>
                </w:p>
              </w:tc>
              <w:tc>
                <w:tcPr>
                  <w:tcW w:w="480" w:type="dxa"/>
                  <w:vMerge w:val="continue"/>
                  <w:tcBorders>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p>
              </w:tc>
              <w:tc>
                <w:tcPr>
                  <w:tcW w:w="2614"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贮存设施所有者或运营者应建立贮存设施全部档案，包括设计、施工、验收、运行、监测和环境应急等，应按国家有关档案管理的法律法规进行整理和归档。</w:t>
                  </w:r>
                </w:p>
              </w:tc>
              <w:tc>
                <w:tcPr>
                  <w:tcW w:w="2753"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建设单位按要求建立“暂存点”全部档案，按国家有关档案管理的法律法规进行整理和归档。</w:t>
                  </w:r>
                </w:p>
              </w:tc>
              <w:tc>
                <w:tcPr>
                  <w:tcW w:w="638"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leftChars="0" w:right="0" w:rightChars="0" w:firstLine="0" w:firstLineChars="0"/>
                    <w:rPr>
                      <w:color w:val="auto"/>
                    </w:rPr>
                  </w:pPr>
                  <w:r>
                    <w:rPr>
                      <w:color w:val="auto"/>
                    </w:rPr>
                    <w:t>符合</w:t>
                  </w:r>
                </w:p>
              </w:tc>
            </w:tr>
            <w:bookmarkEnd w:id="74"/>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dxa"/>
                  <w:vMerge w:val="restart"/>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center"/>
                    <w:rPr>
                      <w:rFonts w:hint="eastAsia" w:ascii="Times New Roman" w:hAnsi="Times New Roman" w:eastAsia="宋体"/>
                      <w:color w:val="auto"/>
                      <w:lang w:eastAsia="zh-CN"/>
                    </w:rPr>
                  </w:pPr>
                  <w:bookmarkStart w:id="81" w:name="OLE_LINK133" w:colFirst="3" w:colLast="3"/>
                  <w:bookmarkStart w:id="82" w:name="OLE_LINK134" w:colFirst="0" w:colLast="3"/>
                  <w:r>
                    <w:rPr>
                      <w:rFonts w:hint="eastAsia" w:ascii="Times New Roman" w:hAnsi="Times New Roman" w:eastAsia="宋体"/>
                      <w:color w:val="auto"/>
                      <w:lang w:eastAsia="zh-CN"/>
                    </w:rPr>
                    <w:t>污染物排放控制要</w:t>
                  </w:r>
                </w:p>
              </w:tc>
              <w:tc>
                <w:tcPr>
                  <w:tcW w:w="3094" w:type="dxa"/>
                  <w:gridSpan w:val="2"/>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贮存设施产生的废水（包括贮存设施、作业设备、车辆等清洗废水，贮存罐区积存雨水，贮存事故废水等）应进行收集处理，废水排放应符合GB8978规定的要求。</w:t>
                  </w:r>
                </w:p>
              </w:tc>
              <w:tc>
                <w:tcPr>
                  <w:tcW w:w="2753"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“暂存点”</w:t>
                  </w:r>
                  <w:bookmarkStart w:id="83" w:name="OLE_LINK247"/>
                  <w:r>
                    <w:rPr>
                      <w:rFonts w:hint="eastAsia" w:ascii="Times New Roman" w:hAnsi="Times New Roman" w:eastAsia="宋体"/>
                      <w:color w:val="auto"/>
                      <w:lang w:eastAsia="zh-CN"/>
                    </w:rPr>
                    <w:t>内不清洗设备、车辆，</w:t>
                  </w:r>
                  <w:bookmarkEnd w:id="83"/>
                  <w:r>
                    <w:rPr>
                      <w:rFonts w:hint="eastAsia" w:ascii="Times New Roman" w:hAnsi="Times New Roman" w:eastAsia="宋体"/>
                      <w:color w:val="auto"/>
                      <w:lang w:eastAsia="zh-CN"/>
                    </w:rPr>
                    <w:t>事故状态收集的酸液，事故清洗废水排入事故池，委托有危废处置资质的单位处置。</w:t>
                  </w:r>
                </w:p>
              </w:tc>
              <w:tc>
                <w:tcPr>
                  <w:tcW w:w="638"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dxa"/>
                  <w:vMerge w:val="continue"/>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bookmarkStart w:id="84" w:name="OLE_LINK136" w:colFirst="3" w:colLast="3"/>
                </w:p>
              </w:tc>
              <w:tc>
                <w:tcPr>
                  <w:tcW w:w="3094" w:type="dxa"/>
                  <w:gridSpan w:val="2"/>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贮存设施产生的废气（含无组织废气）的排放应符合GB16297和GB37822</w:t>
                  </w:r>
                  <w:bookmarkStart w:id="85" w:name="OLE_LINK135"/>
                  <w:r>
                    <w:rPr>
                      <w:rFonts w:hint="eastAsia" w:ascii="Times New Roman" w:hAnsi="Times New Roman" w:eastAsia="宋体"/>
                      <w:color w:val="auto"/>
                      <w:lang w:eastAsia="zh-CN"/>
                    </w:rPr>
                    <w:t>规定的要求。</w:t>
                  </w:r>
                  <w:bookmarkEnd w:id="85"/>
                </w:p>
              </w:tc>
              <w:tc>
                <w:tcPr>
                  <w:tcW w:w="2753"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本项排放满足通过环保设施处置后GB16297和GB37822规定的要求。</w:t>
                  </w:r>
                </w:p>
              </w:tc>
              <w:tc>
                <w:tcPr>
                  <w:tcW w:w="638"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bookmarkEnd w:id="81"/>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dxa"/>
                  <w:vMerge w:val="continue"/>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bookmarkStart w:id="86" w:name="OLE_LINK132" w:colFirst="2" w:colLast="2"/>
                </w:p>
              </w:tc>
              <w:tc>
                <w:tcPr>
                  <w:tcW w:w="3094" w:type="dxa"/>
                  <w:gridSpan w:val="2"/>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贮存设施内产生以及清理的固体废物应按固体废物分类管理要求妥善处理</w:t>
                  </w:r>
                </w:p>
              </w:tc>
              <w:tc>
                <w:tcPr>
                  <w:tcW w:w="2753"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“暂存点”产生的固废按固废分类管理要求妥善处理。</w:t>
                  </w:r>
                </w:p>
              </w:tc>
              <w:tc>
                <w:tcPr>
                  <w:tcW w:w="638"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leftChars="0" w:right="0" w:rightChars="0" w:firstLine="0" w:firstLineChars="0"/>
                    <w:rPr>
                      <w:color w:val="auto"/>
                    </w:rPr>
                  </w:pPr>
                  <w:r>
                    <w:rPr>
                      <w:color w:val="auto"/>
                    </w:rPr>
                    <w:t>符合</w:t>
                  </w:r>
                </w:p>
              </w:tc>
            </w:tr>
            <w:bookmarkEnd w:id="86"/>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dxa"/>
                  <w:vMerge w:val="continue"/>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p>
              </w:tc>
              <w:tc>
                <w:tcPr>
                  <w:tcW w:w="3094" w:type="dxa"/>
                  <w:gridSpan w:val="2"/>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贮存设施排放的环境噪声应符合GB12348规定的要求。</w:t>
                  </w:r>
                </w:p>
              </w:tc>
              <w:tc>
                <w:tcPr>
                  <w:tcW w:w="2753"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“暂存点”产生噪声较少，环境噪声符合GB12348要求。</w:t>
                  </w:r>
                </w:p>
              </w:tc>
              <w:tc>
                <w:tcPr>
                  <w:tcW w:w="638"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bookmarkEnd w:id="82"/>
            <w:bookmarkEnd w:id="84"/>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597" w:type="dxa"/>
                  <w:vMerge w:val="restart"/>
                  <w:tcBorders>
                    <w:top w:val="single" w:color="auto" w:sz="4" w:space="0"/>
                  </w:tcBorders>
                  <w:vAlign w:val="center"/>
                </w:tcPr>
                <w:p>
                  <w:pPr>
                    <w:pStyle w:val="28"/>
                    <w:keepNext w:val="0"/>
                    <w:keepLines w:val="0"/>
                    <w:suppressLineNumbers w:val="0"/>
                    <w:bidi w:val="0"/>
                    <w:spacing w:before="0" w:beforeAutospacing="0" w:after="0" w:afterAutospacing="0"/>
                    <w:ind w:left="0" w:right="0"/>
                    <w:jc w:val="center"/>
                    <w:rPr>
                      <w:rFonts w:hint="eastAsia" w:ascii="Times New Roman" w:hAnsi="Times New Roman" w:eastAsia="宋体"/>
                      <w:color w:val="auto"/>
                      <w:lang w:eastAsia="zh-CN"/>
                    </w:rPr>
                  </w:pPr>
                  <w:r>
                    <w:rPr>
                      <w:rFonts w:hint="eastAsia" w:ascii="Times New Roman" w:hAnsi="Times New Roman" w:eastAsia="宋体"/>
                      <w:color w:val="auto"/>
                      <w:lang w:eastAsia="zh-CN"/>
                    </w:rPr>
                    <w:t>环境监测要求</w:t>
                  </w:r>
                </w:p>
              </w:tc>
              <w:tc>
                <w:tcPr>
                  <w:tcW w:w="3094" w:type="dxa"/>
                  <w:gridSpan w:val="2"/>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贮存设施的环境监测应纳入主体设施的环境监测计划。</w:t>
                  </w:r>
                </w:p>
              </w:tc>
              <w:tc>
                <w:tcPr>
                  <w:tcW w:w="2753"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“暂存点”的环境监测纳入环境监测计划。</w:t>
                  </w:r>
                </w:p>
              </w:tc>
              <w:tc>
                <w:tcPr>
                  <w:tcW w:w="638"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leftChars="0" w:right="0" w:rightChars="0" w:firstLine="0" w:firstLineChars="0"/>
                    <w:rPr>
                      <w:color w:val="auto"/>
                    </w:rPr>
                  </w:pPr>
                  <w:r>
                    <w:rPr>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597" w:type="dxa"/>
                  <w:vMerge w:val="continue"/>
                  <w:vAlign w:val="center"/>
                </w:tcPr>
                <w:p>
                  <w:pPr>
                    <w:pStyle w:val="28"/>
                    <w:keepNext w:val="0"/>
                    <w:keepLines w:val="0"/>
                    <w:suppressLineNumbers w:val="0"/>
                    <w:bidi w:val="0"/>
                    <w:spacing w:before="0" w:beforeAutospacing="0" w:after="0" w:afterAutospacing="0"/>
                    <w:ind w:left="0" w:right="0"/>
                    <w:jc w:val="center"/>
                    <w:rPr>
                      <w:rFonts w:hint="eastAsia" w:ascii="Times New Roman" w:hAnsi="Times New Roman" w:eastAsia="宋体"/>
                      <w:color w:val="auto"/>
                      <w:lang w:eastAsia="zh-CN"/>
                    </w:rPr>
                  </w:pPr>
                </w:p>
              </w:tc>
              <w:tc>
                <w:tcPr>
                  <w:tcW w:w="3094" w:type="dxa"/>
                  <w:gridSpan w:val="2"/>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贮存设施所有者或运营者应依据《大气污染防治法》《水污染防治法》《土壤污染防治法》等有关法律、《排污许可管理条例》等行政法规和HJ819、HJ1250等规定制订监测方案，对贮存设施污染物排放状况开展自行监测，保存原始监测记录，并公布监测结果。</w:t>
                  </w:r>
                </w:p>
              </w:tc>
              <w:tc>
                <w:tcPr>
                  <w:tcW w:w="2753"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项目依据相关法律、法规制定监测方案，开展自行监测，保存原始监测记录，并公布监测结果。</w:t>
                  </w:r>
                </w:p>
              </w:tc>
              <w:tc>
                <w:tcPr>
                  <w:tcW w:w="638"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olor w:val="auto"/>
                      <w:lang w:eastAsia="zh-CN"/>
                    </w:rPr>
                  </w:pPr>
                  <w:r>
                    <w:rPr>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597" w:type="dxa"/>
                  <w:vMerge w:val="continue"/>
                  <w:tcBorders>
                    <w:bottom w:val="single" w:color="auto" w:sz="4" w:space="0"/>
                  </w:tcBorders>
                  <w:vAlign w:val="center"/>
                </w:tcPr>
                <w:p>
                  <w:pPr>
                    <w:pStyle w:val="28"/>
                    <w:keepNext w:val="0"/>
                    <w:keepLines w:val="0"/>
                    <w:suppressLineNumbers w:val="0"/>
                    <w:bidi w:val="0"/>
                    <w:spacing w:before="0" w:beforeAutospacing="0" w:after="0" w:afterAutospacing="0"/>
                    <w:ind w:left="0" w:right="0"/>
                    <w:jc w:val="center"/>
                    <w:rPr>
                      <w:rFonts w:hint="eastAsia" w:ascii="Times New Roman" w:hAnsi="Times New Roman" w:eastAsia="宋体"/>
                      <w:color w:val="auto"/>
                      <w:lang w:eastAsia="zh-CN"/>
                    </w:rPr>
                  </w:pPr>
                </w:p>
              </w:tc>
              <w:tc>
                <w:tcPr>
                  <w:tcW w:w="3094" w:type="dxa"/>
                  <w:gridSpan w:val="2"/>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配有收集净化系统的贮存设施大气污染物排放的监测采样应按GB/T16157、HJ/T397、HJ732的规定执行</w:t>
                  </w:r>
                </w:p>
              </w:tc>
              <w:tc>
                <w:tcPr>
                  <w:tcW w:w="2753"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项目废气产生后采用</w:t>
                  </w:r>
                  <w:r>
                    <w:rPr>
                      <w:rFonts w:hAnsiTheme="minorEastAsia" w:eastAsiaTheme="minorEastAsia"/>
                      <w:color w:val="auto"/>
                      <w:sz w:val="21"/>
                      <w:szCs w:val="21"/>
                    </w:rPr>
                    <w:t>酸雾吸收塔</w:t>
                  </w:r>
                  <w:r>
                    <w:rPr>
                      <w:rFonts w:hint="eastAsia" w:ascii="Times New Roman" w:hAnsi="Times New Roman" w:eastAsia="宋体"/>
                      <w:color w:val="auto"/>
                      <w:lang w:eastAsia="zh-CN"/>
                    </w:rPr>
                    <w:t>处理，大气污染物排放的监测采样按HJ397的规定执行。</w:t>
                  </w:r>
                </w:p>
              </w:tc>
              <w:tc>
                <w:tcPr>
                  <w:tcW w:w="638"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olor w:val="auto"/>
                      <w:lang w:eastAsia="zh-CN"/>
                    </w:rPr>
                  </w:pPr>
                  <w:r>
                    <w:rPr>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597" w:type="dxa"/>
                  <w:vMerge w:val="restart"/>
                  <w:tcBorders>
                    <w:top w:val="single" w:color="auto" w:sz="4" w:space="0"/>
                  </w:tcBorders>
                  <w:vAlign w:val="center"/>
                </w:tcPr>
                <w:p>
                  <w:pPr>
                    <w:pStyle w:val="28"/>
                    <w:keepNext w:val="0"/>
                    <w:keepLines w:val="0"/>
                    <w:suppressLineNumbers w:val="0"/>
                    <w:bidi w:val="0"/>
                    <w:spacing w:before="0" w:beforeAutospacing="0" w:after="0" w:afterAutospacing="0"/>
                    <w:ind w:left="0" w:right="0"/>
                    <w:jc w:val="center"/>
                    <w:rPr>
                      <w:rFonts w:hint="eastAsia" w:ascii="Times New Roman" w:hAnsi="Times New Roman" w:eastAsia="宋体"/>
                      <w:color w:val="auto"/>
                      <w:lang w:eastAsia="zh-CN"/>
                    </w:rPr>
                  </w:pPr>
                  <w:r>
                    <w:rPr>
                      <w:rFonts w:hint="eastAsia" w:ascii="Times New Roman" w:hAnsi="Times New Roman" w:eastAsia="宋体"/>
                      <w:color w:val="auto"/>
                      <w:lang w:eastAsia="zh-CN"/>
                    </w:rPr>
                    <w:t>环境应急要求</w:t>
                  </w:r>
                </w:p>
              </w:tc>
              <w:tc>
                <w:tcPr>
                  <w:tcW w:w="3094" w:type="dxa"/>
                  <w:gridSpan w:val="2"/>
                  <w:tcBorders>
                    <w:top w:val="single" w:color="auto" w:sz="4" w:space="0"/>
                    <w:bottom w:val="single" w:color="auto" w:sz="8"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贮存设施所有者或运营者应按照国家有关规定编制突发环境事件应急预案，定期开展必要的培训和环境应急演练，并做好培训、演练记录。</w:t>
                  </w:r>
                </w:p>
              </w:tc>
              <w:tc>
                <w:tcPr>
                  <w:tcW w:w="2753" w:type="dxa"/>
                  <w:tcBorders>
                    <w:top w:val="single" w:color="auto" w:sz="4" w:space="0"/>
                    <w:bottom w:val="single" w:color="auto" w:sz="8"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建设单位应编制应急预案，并定期开展必要的培训和环境应急演练，做好培训、演练记录。</w:t>
                  </w:r>
                </w:p>
              </w:tc>
              <w:tc>
                <w:tcPr>
                  <w:tcW w:w="638" w:type="dxa"/>
                  <w:tcBorders>
                    <w:top w:val="single" w:color="auto" w:sz="4" w:space="0"/>
                    <w:bottom w:val="single" w:color="auto" w:sz="8" w:space="0"/>
                  </w:tcBorders>
                  <w:vAlign w:val="center"/>
                </w:tcPr>
                <w:p>
                  <w:pPr>
                    <w:pStyle w:val="28"/>
                    <w:keepNext w:val="0"/>
                    <w:keepLines w:val="0"/>
                    <w:suppressLineNumbers w:val="0"/>
                    <w:bidi w:val="0"/>
                    <w:spacing w:before="0" w:beforeAutospacing="0" w:after="0" w:afterAutospacing="0"/>
                    <w:ind w:left="0" w:leftChars="0" w:right="0" w:rightChars="0" w:firstLine="0" w:firstLineChars="0"/>
                    <w:rPr>
                      <w:color w:val="auto"/>
                    </w:rPr>
                  </w:pPr>
                  <w:r>
                    <w:rPr>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597" w:type="dxa"/>
                  <w:vMerge w:val="continue"/>
                  <w:vAlign w:val="center"/>
                </w:tcPr>
                <w:p>
                  <w:pPr>
                    <w:pStyle w:val="28"/>
                    <w:keepNext w:val="0"/>
                    <w:keepLines w:val="0"/>
                    <w:suppressLineNumbers w:val="0"/>
                    <w:bidi w:val="0"/>
                    <w:spacing w:before="0" w:beforeAutospacing="0" w:after="0" w:afterAutospacing="0"/>
                    <w:ind w:left="0" w:right="0"/>
                    <w:jc w:val="center"/>
                    <w:rPr>
                      <w:rFonts w:hint="eastAsia" w:ascii="Times New Roman" w:hAnsi="Times New Roman" w:eastAsia="宋体"/>
                      <w:color w:val="auto"/>
                      <w:lang w:eastAsia="zh-CN"/>
                    </w:rPr>
                  </w:pPr>
                </w:p>
              </w:tc>
              <w:tc>
                <w:tcPr>
                  <w:tcW w:w="3094" w:type="dxa"/>
                  <w:gridSpan w:val="2"/>
                  <w:tcBorders>
                    <w:top w:val="single" w:color="auto" w:sz="4" w:space="0"/>
                    <w:bottom w:val="single" w:color="auto" w:sz="8"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贮存设施所有者或运营者应配备满足其突发环境事件应急要求的应急人员、装备和物资，并应设置应急照明系统。</w:t>
                  </w:r>
                </w:p>
              </w:tc>
              <w:tc>
                <w:tcPr>
                  <w:tcW w:w="2753" w:type="dxa"/>
                  <w:tcBorders>
                    <w:top w:val="single" w:color="auto" w:sz="4" w:space="0"/>
                    <w:bottom w:val="single" w:color="auto" w:sz="8"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建设单位配备应急人员、装备和物资，设置应急照明系统。</w:t>
                  </w:r>
                </w:p>
              </w:tc>
              <w:tc>
                <w:tcPr>
                  <w:tcW w:w="638" w:type="dxa"/>
                  <w:tcBorders>
                    <w:top w:val="single" w:color="auto" w:sz="4" w:space="0"/>
                    <w:bottom w:val="single" w:color="auto" w:sz="8" w:space="0"/>
                  </w:tcBorders>
                  <w:vAlign w:val="center"/>
                </w:tcPr>
                <w:p>
                  <w:pPr>
                    <w:pStyle w:val="2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olor w:val="auto"/>
                      <w:lang w:eastAsia="zh-CN"/>
                    </w:rPr>
                  </w:pPr>
                  <w:r>
                    <w:rPr>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597" w:type="dxa"/>
                  <w:vMerge w:val="continue"/>
                  <w:tcBorders>
                    <w:bottom w:val="single" w:color="auto" w:sz="8" w:space="0"/>
                  </w:tcBorders>
                  <w:vAlign w:val="center"/>
                </w:tcPr>
                <w:p>
                  <w:pPr>
                    <w:pStyle w:val="28"/>
                    <w:keepNext w:val="0"/>
                    <w:keepLines w:val="0"/>
                    <w:suppressLineNumbers w:val="0"/>
                    <w:bidi w:val="0"/>
                    <w:spacing w:before="0" w:beforeAutospacing="0" w:after="0" w:afterAutospacing="0"/>
                    <w:ind w:left="0" w:right="0"/>
                    <w:jc w:val="center"/>
                    <w:rPr>
                      <w:rFonts w:hint="eastAsia" w:ascii="Times New Roman" w:hAnsi="Times New Roman" w:eastAsia="宋体"/>
                      <w:color w:val="auto"/>
                      <w:lang w:eastAsia="zh-CN"/>
                    </w:rPr>
                  </w:pPr>
                </w:p>
              </w:tc>
              <w:tc>
                <w:tcPr>
                  <w:tcW w:w="3094" w:type="dxa"/>
                  <w:gridSpan w:val="2"/>
                  <w:tcBorders>
                    <w:top w:val="single" w:color="auto" w:sz="4" w:space="0"/>
                    <w:bottom w:val="single" w:color="auto" w:sz="8"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相关部门发布自然灾害或恶劣天气预警后，贮存设施所有者或运营者应启动相应防控措施，若有必要可将危险废物转移至其他具有防护条件的地点贮存。</w:t>
                  </w:r>
                </w:p>
              </w:tc>
              <w:tc>
                <w:tcPr>
                  <w:tcW w:w="2753" w:type="dxa"/>
                  <w:tcBorders>
                    <w:top w:val="single" w:color="auto" w:sz="4" w:space="0"/>
                    <w:bottom w:val="single" w:color="auto" w:sz="8"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建设单位根据相关部门发布的预警启动相应防控措施。</w:t>
                  </w:r>
                </w:p>
              </w:tc>
              <w:tc>
                <w:tcPr>
                  <w:tcW w:w="638" w:type="dxa"/>
                  <w:tcBorders>
                    <w:top w:val="single" w:color="auto" w:sz="4" w:space="0"/>
                    <w:bottom w:val="single" w:color="auto" w:sz="8" w:space="0"/>
                  </w:tcBorders>
                  <w:vAlign w:val="center"/>
                </w:tcPr>
                <w:p>
                  <w:pPr>
                    <w:pStyle w:val="2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olor w:val="auto"/>
                      <w:lang w:eastAsia="zh-CN"/>
                    </w:rPr>
                  </w:pPr>
                  <w:r>
                    <w:rPr>
                      <w:color w:val="auto"/>
                    </w:rPr>
                    <w:t>符合</w:t>
                  </w:r>
                </w:p>
              </w:tc>
            </w:tr>
          </w:tbl>
          <w:p>
            <w:pPr>
              <w:keepNext w:val="0"/>
              <w:keepLines w:val="0"/>
              <w:numPr>
                <w:ilvl w:val="0"/>
                <w:numId w:val="0"/>
              </w:numPr>
              <w:suppressLineNumbers w:val="0"/>
              <w:bidi w:val="0"/>
              <w:spacing w:before="0" w:beforeAutospacing="0" w:after="0" w:afterAutospacing="0"/>
              <w:ind w:left="0" w:leftChars="0" w:right="0" w:rightChars="0" w:firstLine="482" w:firstLineChars="200"/>
              <w:rPr>
                <w:b/>
                <w:bCs/>
                <w:color w:val="auto"/>
              </w:rPr>
            </w:pPr>
            <w:r>
              <w:rPr>
                <w:rFonts w:ascii="Times New Roman" w:hAnsi="Times New Roman" w:eastAsia="宋体" w:cs="Times New Roman"/>
                <w:b/>
                <w:bCs/>
                <w:color w:val="auto"/>
                <w:kern w:val="2"/>
                <w:sz w:val="24"/>
                <w:szCs w:val="24"/>
                <w:lang w:val="en-US" w:eastAsia="zh-CN" w:bidi="ar-SA"/>
              </w:rPr>
              <w:t>（2）</w:t>
            </w:r>
            <w:r>
              <w:rPr>
                <w:b/>
                <w:bCs/>
                <w:color w:val="auto"/>
              </w:rPr>
              <w:t>与《</w:t>
            </w:r>
            <w:bookmarkStart w:id="87" w:name="OLE_LINK137"/>
            <w:r>
              <w:rPr>
                <w:b/>
                <w:bCs/>
                <w:color w:val="auto"/>
              </w:rPr>
              <w:t>危险废物收集</w:t>
            </w:r>
            <w:r>
              <w:rPr>
                <w:rFonts w:hint="eastAsia"/>
                <w:b/>
                <w:bCs/>
                <w:color w:val="auto"/>
                <w:lang w:val="en-US" w:eastAsia="zh-CN"/>
              </w:rPr>
              <w:t xml:space="preserve"> </w:t>
            </w:r>
            <w:r>
              <w:rPr>
                <w:b/>
                <w:bCs/>
                <w:color w:val="auto"/>
              </w:rPr>
              <w:t>贮存</w:t>
            </w:r>
            <w:r>
              <w:rPr>
                <w:rFonts w:hint="eastAsia"/>
                <w:b/>
                <w:bCs/>
                <w:color w:val="auto"/>
                <w:lang w:val="en-US" w:eastAsia="zh-CN"/>
              </w:rPr>
              <w:t xml:space="preserve"> </w:t>
            </w:r>
            <w:r>
              <w:rPr>
                <w:b/>
                <w:bCs/>
                <w:color w:val="auto"/>
              </w:rPr>
              <w:t>运输技术规范</w:t>
            </w:r>
            <w:bookmarkEnd w:id="87"/>
            <w:r>
              <w:rPr>
                <w:b/>
                <w:bCs/>
                <w:color w:val="auto"/>
              </w:rPr>
              <w:t>》（HJ2025-2012）相符性分析</w:t>
            </w:r>
          </w:p>
          <w:p>
            <w:pPr>
              <w:pStyle w:val="12"/>
              <w:keepNext w:val="0"/>
              <w:keepLines w:val="0"/>
              <w:suppressLineNumbers w:val="0"/>
              <w:bidi w:val="0"/>
              <w:spacing w:before="0" w:beforeAutospacing="0" w:after="0" w:afterAutospacing="0"/>
              <w:ind w:left="0" w:right="0"/>
              <w:rPr>
                <w:color w:val="auto"/>
              </w:rPr>
            </w:pPr>
            <w:r>
              <w:rPr>
                <w:color w:val="auto"/>
              </w:rPr>
              <w:t>表</w:t>
            </w:r>
            <w:r>
              <w:rPr>
                <w:rFonts w:hint="eastAsia"/>
                <w:color w:val="auto"/>
                <w:lang w:val="en-US" w:eastAsia="zh-CN"/>
              </w:rPr>
              <w:t xml:space="preserve"> 1-8 </w:t>
            </w:r>
            <w:r>
              <w:rPr>
                <w:rFonts w:hint="eastAsia"/>
                <w:color w:val="auto"/>
              </w:rPr>
              <w:t xml:space="preserve">   与</w:t>
            </w:r>
            <w:r>
              <w:rPr>
                <w:color w:val="auto"/>
              </w:rPr>
              <w:t>《危险废物收集贮存运输技术规范》符合性分析</w:t>
            </w:r>
          </w:p>
          <w:tbl>
            <w:tblPr>
              <w:tblStyle w:val="22"/>
              <w:tblW w:w="495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727"/>
              <w:gridCol w:w="2882"/>
              <w:gridCol w:w="2976"/>
              <w:gridCol w:w="49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31"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要求项目</w:t>
                  </w:r>
                </w:p>
              </w:tc>
              <w:tc>
                <w:tcPr>
                  <w:tcW w:w="2951" w:type="dxa"/>
                  <w:tcBorders>
                    <w:top w:val="single" w:color="auto" w:sz="8" w:space="0"/>
                    <w:bottom w:val="single" w:color="auto" w:sz="8" w:space="0"/>
                    <w:right w:val="single" w:color="auto" w:sz="4" w:space="0"/>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规范内容</w:t>
                  </w:r>
                </w:p>
              </w:tc>
              <w:tc>
                <w:tcPr>
                  <w:tcW w:w="3061" w:type="dxa"/>
                  <w:tcBorders>
                    <w:top w:val="single" w:color="auto" w:sz="8" w:space="0"/>
                    <w:left w:val="single" w:color="auto" w:sz="4" w:space="0"/>
                    <w:bottom w:val="single" w:color="auto" w:sz="8" w:space="0"/>
                    <w:right w:val="single" w:color="auto" w:sz="4" w:space="0"/>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本项目</w:t>
                  </w:r>
                </w:p>
              </w:tc>
              <w:tc>
                <w:tcPr>
                  <w:tcW w:w="502" w:type="dxa"/>
                  <w:tcBorders>
                    <w:top w:val="single" w:color="auto" w:sz="8" w:space="0"/>
                    <w:left w:val="single" w:color="auto" w:sz="4" w:space="0"/>
                    <w:bottom w:val="single" w:color="auto" w:sz="8" w:space="0"/>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符合性</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31" w:type="dxa"/>
                  <w:vMerge w:val="restart"/>
                  <w:tcBorders>
                    <w:top w:val="single" w:color="auto" w:sz="8" w:space="0"/>
                    <w:bottom w:val="single" w:color="auto" w:sz="4" w:space="0"/>
                  </w:tcBorders>
                  <w:vAlign w:val="center"/>
                </w:tcPr>
                <w:p>
                  <w:pPr>
                    <w:pStyle w:val="28"/>
                    <w:keepNext w:val="0"/>
                    <w:keepLines w:val="0"/>
                    <w:suppressLineNumbers w:val="0"/>
                    <w:bidi w:val="0"/>
                    <w:spacing w:before="0" w:beforeAutospacing="0" w:after="0" w:afterAutospacing="0"/>
                    <w:ind w:left="0" w:right="0"/>
                    <w:rPr>
                      <w:rFonts w:hint="default" w:eastAsia="宋体"/>
                      <w:color w:val="auto"/>
                      <w:lang w:val="en-US" w:eastAsia="zh-CN"/>
                    </w:rPr>
                  </w:pPr>
                  <w:r>
                    <w:rPr>
                      <w:rFonts w:ascii="Times New Roman" w:hAnsi="Times New Roman" w:eastAsia="宋体"/>
                      <w:color w:val="auto"/>
                    </w:rPr>
                    <w:t>危险废物收集</w:t>
                  </w:r>
                  <w:r>
                    <w:rPr>
                      <w:rFonts w:hint="eastAsia" w:ascii="Times New Roman" w:hAnsi="Times New Roman" w:eastAsia="宋体"/>
                      <w:color w:val="auto"/>
                      <w:lang w:eastAsia="zh-CN"/>
                    </w:rPr>
                    <w:t>、</w:t>
                  </w:r>
                  <w:r>
                    <w:rPr>
                      <w:rFonts w:ascii="Times New Roman" w:hAnsi="Times New Roman" w:eastAsia="宋体"/>
                      <w:color w:val="auto"/>
                    </w:rPr>
                    <w:t>贮存</w:t>
                  </w:r>
                  <w:r>
                    <w:rPr>
                      <w:rFonts w:hint="eastAsia" w:ascii="Times New Roman" w:hAnsi="Times New Roman" w:eastAsia="宋体"/>
                      <w:color w:val="auto"/>
                      <w:lang w:eastAsia="zh-CN"/>
                    </w:rPr>
                    <w:t>、</w:t>
                  </w:r>
                  <w:r>
                    <w:rPr>
                      <w:rFonts w:ascii="Times New Roman" w:hAnsi="Times New Roman" w:eastAsia="宋体"/>
                      <w:color w:val="auto"/>
                    </w:rPr>
                    <w:t>运输</w:t>
                  </w:r>
                  <w:r>
                    <w:rPr>
                      <w:rFonts w:hint="eastAsia" w:ascii="Times New Roman" w:hAnsi="Times New Roman" w:eastAsia="宋体"/>
                      <w:color w:val="auto"/>
                      <w:lang w:val="en-US" w:eastAsia="zh-CN"/>
                    </w:rPr>
                    <w:t>的一般要求</w:t>
                  </w:r>
                </w:p>
              </w:tc>
              <w:tc>
                <w:tcPr>
                  <w:tcW w:w="2951" w:type="dxa"/>
                  <w:tcBorders>
                    <w:top w:val="single" w:color="auto" w:sz="8" w:space="0"/>
                    <w:bottom w:val="single" w:color="auto" w:sz="4"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从事危险废物收集、贮存、运输经营活动的单位应具有</w:t>
                  </w:r>
                  <w:bookmarkStart w:id="88" w:name="OLE_LINK153"/>
                  <w:r>
                    <w:rPr>
                      <w:rFonts w:hint="eastAsia" w:ascii="Times New Roman" w:hAnsi="Times New Roman" w:eastAsia="宋体"/>
                      <w:color w:val="auto"/>
                      <w:lang w:eastAsia="zh-CN"/>
                    </w:rPr>
                    <w:t>危险废物经营</w:t>
                  </w:r>
                  <w:bookmarkStart w:id="89" w:name="OLE_LINK155"/>
                  <w:r>
                    <w:rPr>
                      <w:rFonts w:hint="eastAsia" w:ascii="Times New Roman" w:hAnsi="Times New Roman" w:eastAsia="宋体"/>
                      <w:color w:val="auto"/>
                      <w:lang w:eastAsia="zh-CN"/>
                    </w:rPr>
                    <w:t>许可证</w:t>
                  </w:r>
                  <w:bookmarkEnd w:id="88"/>
                  <w:bookmarkEnd w:id="89"/>
                  <w:r>
                    <w:rPr>
                      <w:rFonts w:hint="eastAsia" w:ascii="Times New Roman" w:hAnsi="Times New Roman" w:eastAsia="宋体"/>
                      <w:color w:val="auto"/>
                      <w:lang w:eastAsia="zh-CN"/>
                    </w:rPr>
                    <w:t>。在收集、贮存、运输危险废物时，应根据危险废物收集、贮存、处置经营许可证核发的有关规定建立相应的规章制度和污染防治措施，包括危险废物分类管理制度、安全管理制度、污染防治措施等</w:t>
                  </w:r>
                </w:p>
              </w:tc>
              <w:tc>
                <w:tcPr>
                  <w:tcW w:w="3061" w:type="dxa"/>
                  <w:tcBorders>
                    <w:top w:val="single" w:color="auto" w:sz="8" w:space="0"/>
                    <w:left w:val="single" w:color="auto" w:sz="4" w:space="0"/>
                    <w:bottom w:val="single" w:color="auto" w:sz="4"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本项目为废铅蓄电池贮存项目，现处于环评阶段，下一步按规定开展验收和危险废物经营许可证</w:t>
                  </w:r>
                  <w:r>
                    <w:rPr>
                      <w:rFonts w:hint="eastAsia"/>
                      <w:color w:val="auto"/>
                      <w:lang w:val="en-US" w:eastAsia="zh-CN"/>
                    </w:rPr>
                    <w:t>的</w:t>
                  </w:r>
                  <w:r>
                    <w:rPr>
                      <w:rFonts w:hint="eastAsia" w:ascii="Times New Roman" w:hAnsi="Times New Roman" w:eastAsia="宋体"/>
                      <w:color w:val="auto"/>
                      <w:lang w:eastAsia="zh-CN"/>
                    </w:rPr>
                    <w:t>申办工作；在收集、贮存、运输废铅蓄电池时，根据废铅蓄电池收集、贮存、处置经营许可证核发的有关规定建立废铅蓄电池的规章制度和污染防治措施，包括危险废物分类管理制度、安全管理制度、污染防治措施等</w:t>
                  </w:r>
                </w:p>
              </w:tc>
              <w:tc>
                <w:tcPr>
                  <w:tcW w:w="502" w:type="dxa"/>
                  <w:tcBorders>
                    <w:top w:val="single" w:color="auto" w:sz="8" w:space="0"/>
                    <w:left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31" w:type="dxa"/>
                  <w:vMerge w:val="continue"/>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p>
              </w:tc>
              <w:tc>
                <w:tcPr>
                  <w:tcW w:w="2951" w:type="dxa"/>
                  <w:tcBorders>
                    <w:top w:val="single" w:color="auto" w:sz="4" w:space="0"/>
                    <w:bottom w:val="single" w:color="auto" w:sz="4"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危险废物转移过程应按《危险废物转移联单管理办法》执行</w:t>
                  </w:r>
                </w:p>
              </w:tc>
              <w:tc>
                <w:tcPr>
                  <w:tcW w:w="3061"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本项目建成运营后，将严格执行《危险废物转移联单管理办法》制度</w:t>
                  </w:r>
                  <w:r>
                    <w:rPr>
                      <w:rFonts w:hint="eastAsia"/>
                      <w:color w:val="auto"/>
                      <w:lang w:eastAsia="zh-CN"/>
                    </w:rPr>
                    <w:t>。</w:t>
                  </w:r>
                </w:p>
              </w:tc>
              <w:tc>
                <w:tcPr>
                  <w:tcW w:w="502" w:type="dxa"/>
                  <w:tcBorders>
                    <w:top w:val="single" w:color="auto" w:sz="4" w:space="0"/>
                    <w:left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31" w:type="dxa"/>
                  <w:vMerge w:val="continue"/>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p>
              </w:tc>
              <w:tc>
                <w:tcPr>
                  <w:tcW w:w="2951" w:type="dxa"/>
                  <w:tcBorders>
                    <w:top w:val="single" w:color="auto" w:sz="4" w:space="0"/>
                    <w:bottom w:val="single" w:color="auto" w:sz="4"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危险废物收集、贮存、运输单位应建立规范的管理和技术人员培训制度，定期针对管理和技术人员进行培训。培训内容至少应包括危险废物鉴别要求、危险废物经营许可证管理、危险废物转移联单管理、危险废物包装和标识、危险废物运输要求、危险废物事故应急方法等。</w:t>
                  </w:r>
                </w:p>
              </w:tc>
              <w:tc>
                <w:tcPr>
                  <w:tcW w:w="3061"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本项目建成运营后，建设单位将建立规范的管理和技术人员培训制度，定期针对管理和技术人员进行培训。培训内容包括危险废物鉴别要求、危险废物经营许可证管理、危险废物转移联单管理、危险废物包装和标识、危险废物运输要求、危险废物事故应急方法等。</w:t>
                  </w:r>
                </w:p>
              </w:tc>
              <w:tc>
                <w:tcPr>
                  <w:tcW w:w="502" w:type="dxa"/>
                  <w:tcBorders>
                    <w:top w:val="single" w:color="auto" w:sz="4" w:space="0"/>
                    <w:left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31" w:type="dxa"/>
                  <w:vMerge w:val="continue"/>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p>
              </w:tc>
              <w:tc>
                <w:tcPr>
                  <w:tcW w:w="2951" w:type="dxa"/>
                  <w:tcBorders>
                    <w:top w:val="single" w:color="auto" w:sz="4" w:space="0"/>
                    <w:bottom w:val="single" w:color="auto" w:sz="4"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危险废物收集、贮存、运输单位应编制应急预案。应急预案编制可参照《危险废物经营单位编制应急预案指南》，涉及运输的相关内容还应符合交通行政主管部门的有关规定。针对危险废物收集、贮存、运输过程中的事故易发环节应定期组织应急演练</w:t>
                  </w:r>
                </w:p>
              </w:tc>
              <w:tc>
                <w:tcPr>
                  <w:tcW w:w="3061"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本项目建成运营后，建设单位将编制完善应急预案。应急预案编制参照《危险废物经营单位编制应急预案指南》，运输的相关内容符合交通行政主管部门的有关规定。同时，建设单位针对危险废物收集、贮存、运输过程中的事故易发环节将定期组织应急演练</w:t>
                  </w:r>
                </w:p>
              </w:tc>
              <w:tc>
                <w:tcPr>
                  <w:tcW w:w="502" w:type="dxa"/>
                  <w:tcBorders>
                    <w:top w:val="single" w:color="auto" w:sz="4" w:space="0"/>
                    <w:left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31" w:type="dxa"/>
                  <w:vMerge w:val="continue"/>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p>
              </w:tc>
              <w:tc>
                <w:tcPr>
                  <w:tcW w:w="2951" w:type="dxa"/>
                  <w:tcBorders>
                    <w:top w:val="single" w:color="auto" w:sz="4" w:space="0"/>
                    <w:bottom w:val="single" w:color="auto" w:sz="4"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危险废物收集、贮存、运输过程中一旦发生意外事故，收集、贮存、运输单位及相关部门应根据风险程度采取如下措施：(1)设立事故警戒线，启动应急预案，并按《环境保护行政主管部门突发环境事件信息报告办法(试行)》（环发[2006]50号）要求进行报告。(2)若造成事故的危险废物具有剧毒性、易燃性、爆炸性或高传染性，应立即疏散人群，并请求环境保护、消防、医疗、公安等相关部门支援。(3)对事故现场受到污染的土壤和水体等环境介质应进行相应的清理和修复。(4)清理过程中产生的所有废物均应按危险废物进行管理和处置。(5)进入现场清理和包装危险废物的人员应受过专业培训，穿着防护服，并佩戴相应的防护用具。</w:t>
                  </w:r>
                </w:p>
              </w:tc>
              <w:tc>
                <w:tcPr>
                  <w:tcW w:w="3061"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color w:val="auto"/>
                      <w:lang w:val="en-US" w:eastAsia="zh-CN"/>
                    </w:rPr>
                    <w:t>本项目</w:t>
                  </w:r>
                  <w:r>
                    <w:rPr>
                      <w:rFonts w:hint="eastAsia" w:ascii="Times New Roman" w:hAnsi="Times New Roman" w:eastAsia="宋体"/>
                      <w:color w:val="auto"/>
                      <w:lang w:eastAsia="zh-CN"/>
                    </w:rPr>
                    <w:t>废</w:t>
                  </w:r>
                  <w:r>
                    <w:rPr>
                      <w:rFonts w:hint="eastAsia" w:ascii="Times New Roman" w:hAnsi="Times New Roman" w:eastAsia="宋体"/>
                      <w:color w:val="auto"/>
                      <w:lang w:val="en-US" w:eastAsia="zh-CN"/>
                    </w:rPr>
                    <w:t>铅蓄电池在收集、贮存、运输过程中一旦发生意外事故，建设单位及相关部门根据风险程度采取如下措施：(1)设立事故警戒线，启动应急预案，并按《突发环境事件信息报告办法》（环境保护部令第17号）要求进行报告。(2)立即疏散人群</w:t>
                  </w:r>
                  <w:r>
                    <w:rPr>
                      <w:rFonts w:hint="eastAsia" w:ascii="Times New Roman" w:hAnsi="Times New Roman" w:eastAsia="宋体"/>
                      <w:color w:val="auto"/>
                      <w:lang w:eastAsia="zh-CN"/>
                    </w:rPr>
                    <w:t>，并请求环境保护、消防、医疗、公安等相关部门支援。(3)对事故现场受到污染的土壤和水体等环境介质应进行相应的清理和修复。(4)清理过程中产生的所有废物均应按危险废物进行管理和处置。(5)进入现场清理和包装危险废物的人员应受过专业培训，穿着防护服，并佩戴相应的防护用具。</w:t>
                  </w:r>
                </w:p>
              </w:tc>
              <w:tc>
                <w:tcPr>
                  <w:tcW w:w="502" w:type="dxa"/>
                  <w:tcBorders>
                    <w:top w:val="single" w:color="auto" w:sz="4" w:space="0"/>
                    <w:left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31" w:type="dxa"/>
                  <w:vMerge w:val="continue"/>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p>
              </w:tc>
              <w:tc>
                <w:tcPr>
                  <w:tcW w:w="2951" w:type="dxa"/>
                  <w:tcBorders>
                    <w:top w:val="single" w:color="auto" w:sz="4" w:space="0"/>
                    <w:bottom w:val="single" w:color="auto" w:sz="4"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危险废物收集、贮存、运输时应按腐蚀性、毒性、易燃性、反应性和感染性等危险特性对危险废物进行分类、包装并设置相应的标志及标签。危险废物特性应根据其产生源特性及GB5085.1-7、HJ/T298进行鉴别</w:t>
                  </w:r>
                </w:p>
              </w:tc>
              <w:tc>
                <w:tcPr>
                  <w:tcW w:w="3061"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本项目</w:t>
                  </w:r>
                  <w:r>
                    <w:rPr>
                      <w:rFonts w:hint="eastAsia"/>
                      <w:color w:val="auto"/>
                      <w:lang w:val="en-US" w:eastAsia="zh-CN"/>
                    </w:rPr>
                    <w:t>在收集</w:t>
                  </w:r>
                  <w:r>
                    <w:rPr>
                      <w:rFonts w:hint="eastAsia" w:ascii="Times New Roman" w:hAnsi="Times New Roman" w:eastAsia="宋体"/>
                      <w:color w:val="auto"/>
                      <w:lang w:eastAsia="zh-CN"/>
                    </w:rPr>
                    <w:t>废铅蓄电池</w:t>
                  </w:r>
                  <w:r>
                    <w:rPr>
                      <w:rFonts w:hint="eastAsia"/>
                      <w:color w:val="auto"/>
                      <w:lang w:val="en-US" w:eastAsia="zh-CN"/>
                    </w:rPr>
                    <w:t>时，对电池进行分类</w:t>
                  </w:r>
                  <w:r>
                    <w:rPr>
                      <w:rFonts w:hint="eastAsia" w:ascii="Times New Roman" w:hAnsi="Times New Roman" w:eastAsia="宋体"/>
                      <w:color w:val="auto"/>
                      <w:lang w:eastAsia="zh-CN"/>
                    </w:rPr>
                    <w:t>、包装，并设置相应的标志及标签。</w:t>
                  </w:r>
                </w:p>
              </w:tc>
              <w:tc>
                <w:tcPr>
                  <w:tcW w:w="502" w:type="dxa"/>
                  <w:tcBorders>
                    <w:top w:val="single" w:color="auto" w:sz="4" w:space="0"/>
                    <w:left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31" w:type="dxa"/>
                  <w:vMerge w:val="restart"/>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rFonts w:hint="default" w:ascii="Times New Roman" w:hAnsi="Times New Roman" w:eastAsia="宋体"/>
                      <w:color w:val="auto"/>
                      <w:lang w:val="en-US" w:eastAsia="zh-CN"/>
                    </w:rPr>
                    <w:t>危险废物</w:t>
                  </w:r>
                  <w:r>
                    <w:rPr>
                      <w:rFonts w:hint="eastAsia" w:ascii="Times New Roman" w:hAnsi="Times New Roman" w:eastAsia="宋体"/>
                      <w:color w:val="auto"/>
                      <w:lang w:val="en-US" w:eastAsia="zh-CN"/>
                    </w:rPr>
                    <w:t>的</w:t>
                  </w:r>
                  <w:r>
                    <w:rPr>
                      <w:rFonts w:hint="default" w:ascii="Times New Roman" w:hAnsi="Times New Roman" w:eastAsia="宋体"/>
                      <w:color w:val="auto"/>
                      <w:lang w:val="en-US" w:eastAsia="zh-CN"/>
                    </w:rPr>
                    <w:t>收集</w:t>
                  </w:r>
                </w:p>
              </w:tc>
              <w:tc>
                <w:tcPr>
                  <w:tcW w:w="2951" w:type="dxa"/>
                  <w:tcBorders>
                    <w:top w:val="single" w:color="auto" w:sz="4" w:space="0"/>
                    <w:bottom w:val="single" w:color="auto" w:sz="4"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危险废物的收集应根据危险废物产生的工艺特征、排放周期、危险废物特性、废物管理计划等因素制定收集计划。收集计划应包括收集任务概述、收集目标及原则、危险废物特性评估、危险废物收集量估算、收集作业范围和方法、收集设备与包装容器、安全生产与个人防护、工程防护与事故应急、进度安排与组织管理等。</w:t>
                  </w:r>
                </w:p>
              </w:tc>
              <w:tc>
                <w:tcPr>
                  <w:tcW w:w="3061"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本项目建成运营后，将针对周边地区</w:t>
                  </w:r>
                  <w:r>
                    <w:rPr>
                      <w:color w:val="auto"/>
                    </w:rPr>
                    <w:t>电池销售点、电动车维修店及汽车修理厂</w:t>
                  </w:r>
                  <w:r>
                    <w:rPr>
                      <w:rFonts w:hint="eastAsia" w:ascii="Times New Roman" w:hAnsi="Times New Roman" w:eastAsia="宋体"/>
                      <w:color w:val="auto"/>
                      <w:lang w:eastAsia="zh-CN"/>
                    </w:rPr>
                    <w:t>等产生的废铅蓄电池周期、特性、废物管理计划等因素制定收集计划。收集计划包括收集任务概述、收集目标及原则、特性评估、收集量估算、收集作业范围和方法、收集设备与包装容器、安全生产与个人防护、工程防护与事故应急、进度安排与组织管理等。</w:t>
                  </w:r>
                </w:p>
              </w:tc>
              <w:tc>
                <w:tcPr>
                  <w:tcW w:w="502" w:type="dxa"/>
                  <w:tcBorders>
                    <w:top w:val="single" w:color="auto" w:sz="4" w:space="0"/>
                    <w:left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31" w:type="dxa"/>
                  <w:vMerge w:val="continue"/>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p>
              </w:tc>
              <w:tc>
                <w:tcPr>
                  <w:tcW w:w="2951" w:type="dxa"/>
                  <w:tcBorders>
                    <w:top w:val="single" w:color="auto" w:sz="4" w:space="0"/>
                    <w:bottom w:val="single" w:color="auto" w:sz="4"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危险废物的收集应制定详细的操作规程，内容至少应包括适用范围、操作程序和方法、专用设备和工具、转移和交接、安全保障和应急防护等。</w:t>
                  </w:r>
                </w:p>
              </w:tc>
              <w:tc>
                <w:tcPr>
                  <w:tcW w:w="3061"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项目建成后制定操作规程，按规程要求进行废铅蓄电池收集作业。</w:t>
                  </w:r>
                </w:p>
              </w:tc>
              <w:tc>
                <w:tcPr>
                  <w:tcW w:w="502" w:type="dxa"/>
                  <w:tcBorders>
                    <w:top w:val="single" w:color="auto" w:sz="4" w:space="0"/>
                    <w:left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31" w:type="dxa"/>
                  <w:vMerge w:val="continue"/>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p>
              </w:tc>
              <w:tc>
                <w:tcPr>
                  <w:tcW w:w="2951" w:type="dxa"/>
                  <w:tcBorders>
                    <w:top w:val="single" w:color="auto" w:sz="4" w:space="0"/>
                    <w:bottom w:val="single" w:color="auto" w:sz="4"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危险废物收集和转运作业人员应根据工作需要配备必要的个人防护装备，如手套、防护镜、防护服、防毒面具或口罩等。</w:t>
                  </w:r>
                </w:p>
              </w:tc>
              <w:tc>
                <w:tcPr>
                  <w:tcW w:w="3061"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废铅蓄电池收集和转移作业人员按需配备必要的个人防护装备。</w:t>
                  </w:r>
                </w:p>
              </w:tc>
              <w:tc>
                <w:tcPr>
                  <w:tcW w:w="502" w:type="dxa"/>
                  <w:tcBorders>
                    <w:top w:val="single" w:color="auto" w:sz="4" w:space="0"/>
                    <w:left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31" w:type="dxa"/>
                  <w:vMerge w:val="continue"/>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p>
              </w:tc>
              <w:tc>
                <w:tcPr>
                  <w:tcW w:w="2951" w:type="dxa"/>
                  <w:tcBorders>
                    <w:top w:val="single" w:color="auto" w:sz="4" w:space="0"/>
                    <w:bottom w:val="single" w:color="auto" w:sz="4"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在危险废物的收集和转运过程中，应采取相应的安全防护和污染防治措施，包括防爆、防火、防中毒、防感染、防</w:t>
                  </w:r>
                  <w:r>
                    <w:rPr>
                      <w:rFonts w:hint="eastAsia"/>
                      <w:color w:val="auto"/>
                      <w:lang w:eastAsia="zh-CN"/>
                    </w:rPr>
                    <w:t>泄漏</w:t>
                  </w:r>
                  <w:r>
                    <w:rPr>
                      <w:rFonts w:hint="eastAsia" w:ascii="Times New Roman" w:hAnsi="Times New Roman" w:eastAsia="宋体"/>
                      <w:color w:val="auto"/>
                      <w:lang w:eastAsia="zh-CN"/>
                    </w:rPr>
                    <w:t>、防飞扬、防雨或其它防止污染环境的措施。</w:t>
                  </w:r>
                </w:p>
              </w:tc>
              <w:tc>
                <w:tcPr>
                  <w:tcW w:w="3061"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本项目建成运营后，建设单位将在废铅蓄电池的收集和转运过程中，采取相应的安全防护和污染防治措施，包括防爆、防火、防中毒、防感染、防</w:t>
                  </w:r>
                  <w:r>
                    <w:rPr>
                      <w:rFonts w:hint="eastAsia"/>
                      <w:color w:val="auto"/>
                      <w:lang w:eastAsia="zh-CN"/>
                    </w:rPr>
                    <w:t>泄漏</w:t>
                  </w:r>
                  <w:r>
                    <w:rPr>
                      <w:rFonts w:hint="eastAsia" w:ascii="Times New Roman" w:hAnsi="Times New Roman" w:eastAsia="宋体"/>
                      <w:color w:val="auto"/>
                      <w:lang w:eastAsia="zh-CN"/>
                    </w:rPr>
                    <w:t>、防飞扬、防雨或其它防止污染环境的措施。</w:t>
                  </w:r>
                </w:p>
              </w:tc>
              <w:tc>
                <w:tcPr>
                  <w:tcW w:w="502" w:type="dxa"/>
                  <w:tcBorders>
                    <w:top w:val="single" w:color="auto" w:sz="4" w:space="0"/>
                    <w:left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31" w:type="dxa"/>
                  <w:vMerge w:val="continue"/>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p>
              </w:tc>
              <w:tc>
                <w:tcPr>
                  <w:tcW w:w="2951" w:type="dxa"/>
                  <w:tcBorders>
                    <w:top w:val="single" w:color="auto" w:sz="4" w:space="0"/>
                    <w:bottom w:val="single" w:color="auto" w:sz="4" w:space="0"/>
                    <w:right w:val="single" w:color="auto" w:sz="4" w:space="0"/>
                  </w:tcBorders>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危险废物收集时应根据危险废物的种类、数量、危险特性、物理形态、运输要求等因素确定包装形式，具体包装应符合如下要求：</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(1)包装材质要与危险废物相容，可根据废物特性选择钢、铝、塑料等材质。</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(2)性质类似的废物可收集到同一容器中，性质不相容的危险废物不应混合包装。</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(3)危险废物包装应能有效隔断危险废物迁移扩散途径，并达到防渗、防漏要求。</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(4)包装好的危险废物应设置相应的标签，标签信息应填写完整翔实。</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(5)盛装过危险废物的包装袋或包装容器破损后应按危险废物进行管理和处置。</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(6)危险废物还应根据GB12463的有关要求进行运输包装。</w:t>
                  </w:r>
                </w:p>
              </w:tc>
              <w:tc>
                <w:tcPr>
                  <w:tcW w:w="3061" w:type="dxa"/>
                  <w:tcBorders>
                    <w:top w:val="single" w:color="auto" w:sz="4" w:space="0"/>
                    <w:left w:val="single" w:color="auto" w:sz="4" w:space="0"/>
                    <w:bottom w:val="single" w:color="auto" w:sz="4" w:space="0"/>
                    <w:right w:val="single" w:color="auto" w:sz="4" w:space="0"/>
                  </w:tcBorders>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建设单位在废铅蓄电池收集时根据废铅蓄电池数量、运输要求等因素确定包装形式，具体包装应符合如下要求：</w:t>
                  </w:r>
                </w:p>
                <w:p>
                  <w:pPr>
                    <w:pStyle w:val="28"/>
                    <w:keepNext w:val="0"/>
                    <w:keepLines w:val="0"/>
                    <w:numPr>
                      <w:ilvl w:val="0"/>
                      <w:numId w:val="0"/>
                    </w:numPr>
                    <w:suppressLineNumbers w:val="0"/>
                    <w:bidi w:val="0"/>
                    <w:spacing w:before="0" w:beforeAutospacing="0" w:after="0" w:afterAutospacing="0"/>
                    <w:ind w:left="0" w:leftChars="0" w:right="0" w:rightChars="0" w:firstLine="0" w:firstLineChars="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本项目收集</w:t>
                  </w:r>
                  <w:r>
                    <w:rPr>
                      <w:rFonts w:hint="eastAsia"/>
                      <w:color w:val="auto"/>
                      <w:lang w:val="en-US" w:eastAsia="zh-CN"/>
                    </w:rPr>
                    <w:t>完整电池先用塑料薄膜包装后再装入</w:t>
                  </w:r>
                  <w:r>
                    <w:rPr>
                      <w:color w:val="auto"/>
                      <w:highlight w:val="none"/>
                    </w:rPr>
                    <w:t>塑料托盘</w:t>
                  </w:r>
                  <w:r>
                    <w:rPr>
                      <w:rFonts w:hint="eastAsia"/>
                      <w:color w:val="auto"/>
                      <w:highlight w:val="none"/>
                      <w:lang w:val="en-US" w:eastAsia="zh-CN"/>
                    </w:rPr>
                    <w:t>中储存</w:t>
                  </w:r>
                  <w:r>
                    <w:rPr>
                      <w:rFonts w:hint="eastAsia"/>
                      <w:color w:val="auto"/>
                    </w:rPr>
                    <w:t>；</w:t>
                  </w:r>
                  <w:bookmarkStart w:id="90" w:name="OLE_LINK246"/>
                  <w:r>
                    <w:rPr>
                      <w:rFonts w:hint="eastAsia"/>
                      <w:color w:val="auto"/>
                    </w:rPr>
                    <w:t>破损的废铅蓄电池放入</w:t>
                  </w:r>
                  <w:r>
                    <w:rPr>
                      <w:color w:val="auto"/>
                    </w:rPr>
                    <w:t>破损电池储存</w:t>
                  </w:r>
                  <w:r>
                    <w:rPr>
                      <w:rFonts w:hint="eastAsia"/>
                      <w:color w:val="auto"/>
                    </w:rPr>
                    <w:t>箱内</w:t>
                  </w:r>
                  <w:r>
                    <w:rPr>
                      <w:rFonts w:hint="eastAsia"/>
                      <w:color w:val="auto"/>
                      <w:lang w:val="en-US" w:eastAsia="zh-CN"/>
                    </w:rPr>
                    <w:t>存放</w:t>
                  </w:r>
                  <w:bookmarkEnd w:id="90"/>
                  <w:r>
                    <w:rPr>
                      <w:rFonts w:hint="eastAsia"/>
                      <w:color w:val="auto"/>
                      <w:lang w:val="en-US" w:eastAsia="zh-CN"/>
                    </w:rPr>
                    <w:t>，</w:t>
                  </w:r>
                  <w:r>
                    <w:rPr>
                      <w:rFonts w:hint="eastAsia" w:ascii="Times New Roman" w:hAnsi="Times New Roman" w:eastAsia="宋体"/>
                      <w:color w:val="auto"/>
                      <w:lang w:eastAsia="zh-CN"/>
                    </w:rPr>
                    <w:t>均</w:t>
                  </w:r>
                  <w:r>
                    <w:rPr>
                      <w:rFonts w:hint="eastAsia"/>
                      <w:color w:val="auto"/>
                      <w:lang w:val="en-US" w:eastAsia="zh-CN"/>
                    </w:rPr>
                    <w:t>为</w:t>
                  </w:r>
                  <w:r>
                    <w:rPr>
                      <w:color w:val="auto"/>
                      <w:highlight w:val="none"/>
                    </w:rPr>
                    <w:t>耐酸、防渗</w:t>
                  </w:r>
                  <w:r>
                    <w:rPr>
                      <w:rFonts w:hint="eastAsia" w:ascii="Times New Roman" w:hAnsi="Times New Roman" w:eastAsia="宋体"/>
                      <w:color w:val="auto"/>
                      <w:lang w:eastAsia="zh-CN"/>
                    </w:rPr>
                    <w:t>材质包装，包装容器与之相容。</w:t>
                  </w:r>
                </w:p>
                <w:p>
                  <w:pPr>
                    <w:pStyle w:val="28"/>
                    <w:keepNext w:val="0"/>
                    <w:keepLines w:val="0"/>
                    <w:suppressLineNumbers w:val="0"/>
                    <w:bidi w:val="0"/>
                    <w:spacing w:before="0" w:beforeAutospacing="0" w:after="0" w:afterAutospacing="0"/>
                    <w:ind w:left="0" w:right="0"/>
                    <w:jc w:val="both"/>
                    <w:rPr>
                      <w:rFonts w:hint="default" w:ascii="Times New Roman" w:hAnsi="Times New Roman" w:eastAsia="宋体"/>
                      <w:color w:val="auto"/>
                      <w:lang w:val="en-US" w:eastAsia="zh-CN"/>
                    </w:rPr>
                  </w:pPr>
                  <w:r>
                    <w:rPr>
                      <w:rFonts w:hint="eastAsia" w:ascii="Times New Roman" w:hAnsi="Times New Roman" w:eastAsia="宋体"/>
                      <w:color w:val="auto"/>
                      <w:lang w:eastAsia="zh-CN"/>
                    </w:rPr>
                    <w:t>(</w:t>
                  </w:r>
                  <w:r>
                    <w:rPr>
                      <w:rFonts w:hint="eastAsia"/>
                      <w:color w:val="auto"/>
                      <w:lang w:val="en-US" w:eastAsia="zh-CN"/>
                    </w:rPr>
                    <w:t>2</w:t>
                  </w:r>
                  <w:r>
                    <w:rPr>
                      <w:rFonts w:hint="eastAsia" w:ascii="Times New Roman" w:hAnsi="Times New Roman" w:eastAsia="宋体"/>
                      <w:color w:val="auto"/>
                      <w:lang w:eastAsia="zh-CN"/>
                    </w:rPr>
                    <w:t>)</w:t>
                  </w:r>
                  <w:r>
                    <w:rPr>
                      <w:rFonts w:hint="eastAsia"/>
                      <w:color w:val="auto"/>
                    </w:rPr>
                    <w:t>完整电池</w:t>
                  </w:r>
                  <w:r>
                    <w:rPr>
                      <w:rFonts w:hint="eastAsia"/>
                      <w:color w:val="auto"/>
                      <w:lang w:val="en-US" w:eastAsia="zh-CN"/>
                    </w:rPr>
                    <w:t>与破损电池不混装。</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bookmarkStart w:id="91" w:name="OLE_LINK245"/>
                  <w:r>
                    <w:rPr>
                      <w:rFonts w:hint="eastAsia" w:ascii="Times New Roman" w:hAnsi="Times New Roman" w:eastAsia="宋体"/>
                      <w:color w:val="auto"/>
                      <w:lang w:eastAsia="zh-CN"/>
                    </w:rPr>
                    <w:t>(3)</w:t>
                  </w:r>
                  <w:bookmarkEnd w:id="91"/>
                  <w:r>
                    <w:rPr>
                      <w:rFonts w:hint="eastAsia"/>
                      <w:color w:val="auto"/>
                    </w:rPr>
                    <w:t>破损电池放入</w:t>
                  </w:r>
                  <w:r>
                    <w:rPr>
                      <w:rFonts w:hint="eastAsia" w:ascii="Times New Roman" w:hAnsi="Times New Roman" w:eastAsia="宋体"/>
                      <w:color w:val="auto"/>
                      <w:lang w:eastAsia="zh-CN"/>
                    </w:rPr>
                    <w:t>采用密闭</w:t>
                  </w:r>
                  <w:r>
                    <w:rPr>
                      <w:color w:val="auto"/>
                    </w:rPr>
                    <w:t>破损电池储存</w:t>
                  </w:r>
                  <w:r>
                    <w:rPr>
                      <w:rFonts w:hint="eastAsia"/>
                      <w:color w:val="auto"/>
                    </w:rPr>
                    <w:t>箱内</w:t>
                  </w:r>
                  <w:r>
                    <w:rPr>
                      <w:rFonts w:hint="eastAsia"/>
                      <w:color w:val="auto"/>
                      <w:lang w:val="en-US" w:eastAsia="zh-CN"/>
                    </w:rPr>
                    <w:t>存放</w:t>
                  </w:r>
                  <w:r>
                    <w:rPr>
                      <w:rFonts w:hint="eastAsia" w:ascii="Times New Roman" w:hAnsi="Times New Roman" w:eastAsia="宋体"/>
                      <w:color w:val="auto"/>
                      <w:lang w:eastAsia="zh-CN"/>
                    </w:rPr>
                    <w:t>，能有效隔断危险废物迁移扩散途径，并达到防渗、防漏要求。</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(4)包装好的废铅蓄电池设置相应的标签，标签信息应填写完整</w:t>
                  </w:r>
                  <w:r>
                    <w:rPr>
                      <w:rFonts w:hint="eastAsia"/>
                      <w:color w:val="auto"/>
                      <w:lang w:val="en-US" w:eastAsia="zh-CN"/>
                    </w:rPr>
                    <w:t>详实</w:t>
                  </w:r>
                  <w:r>
                    <w:rPr>
                      <w:rFonts w:hint="eastAsia" w:ascii="Times New Roman" w:hAnsi="Times New Roman" w:eastAsia="宋体"/>
                      <w:color w:val="auto"/>
                      <w:lang w:eastAsia="zh-CN"/>
                    </w:rPr>
                    <w:t>。</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(5)盛装过危险废物的包装容器破损后应按危险废物进行管理和处置。</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(6)危险废物根据GB12463的有关要求进行运输包装。</w:t>
                  </w:r>
                </w:p>
              </w:tc>
              <w:tc>
                <w:tcPr>
                  <w:tcW w:w="502" w:type="dxa"/>
                  <w:tcBorders>
                    <w:top w:val="single" w:color="auto" w:sz="4" w:space="0"/>
                    <w:left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31" w:type="dxa"/>
                  <w:vMerge w:val="continue"/>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p>
              </w:tc>
              <w:tc>
                <w:tcPr>
                  <w:tcW w:w="2951" w:type="dxa"/>
                  <w:tcBorders>
                    <w:top w:val="single" w:color="auto" w:sz="4" w:space="0"/>
                    <w:bottom w:val="single" w:color="auto" w:sz="4"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危险废物的收集作业应满足如下要求：</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(1)应根据收集设备、转运车辆以及现场人员等实际情况确定相应作业区域，同时要设置作业界限标志和警示牌。</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(2)作业区域内应设置危险废物收集专用通道和人员避险通道。</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(3)收集时应配备必要的收集工具和包装物，以及必要的应急监测设备及应急装备。</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(4)危险废物收集应参照本标准附录A填写记录表，并将记录表作为危险废物管理的重要档案妥善保存。</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(5)收集结束后应清理和恢复收集作业区域，确保作业区域环境整洁安全。</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(6)收集过危险废物的容器、设备、设施、场所及其它物品转作它用时，应消除污染，确保其使用安全。</w:t>
                  </w:r>
                </w:p>
              </w:tc>
              <w:tc>
                <w:tcPr>
                  <w:tcW w:w="3061"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废铅蓄电池的收集作业满足如下要求：</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(1)根据收集设备、转运车辆以及现场人员等实际情况确定相应作业区域，同时要设置作业界限标志和警示牌。</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(2)作业区域内应设置危险废物收集专用通道和人员避险通道。</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(3)收集时应配备必要的收集工具和包装物，以及必要的应急监测设备及应急装备。</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(4)危险废物收集应参照本标准附录A填写记录表，并将记录表作为危险废物管理的重要档案妥善保存。</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(5)收集结束后应清理和恢复收集作业区域，确保作业区域环境整洁安全。</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(6)收集过危险废物的容器、设备、设施、场所及其它物品转作它用时，应消除污染，确保其使用安全。</w:t>
                  </w:r>
                </w:p>
              </w:tc>
              <w:tc>
                <w:tcPr>
                  <w:tcW w:w="502" w:type="dxa"/>
                  <w:tcBorders>
                    <w:top w:val="single" w:color="auto" w:sz="4" w:space="0"/>
                    <w:left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31" w:type="dxa"/>
                  <w:vMerge w:val="continue"/>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p>
              </w:tc>
              <w:tc>
                <w:tcPr>
                  <w:tcW w:w="2951" w:type="dxa"/>
                  <w:tcBorders>
                    <w:top w:val="single" w:color="auto" w:sz="4" w:space="0"/>
                    <w:bottom w:val="single" w:color="auto" w:sz="4" w:space="0"/>
                    <w:right w:val="single" w:color="auto" w:sz="4" w:space="0"/>
                  </w:tcBorders>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危险废物内部转运作业应满足如下要求：</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(1)危险废物内部转运应综合考虑厂区的实际情况确定转运路线，尽量避开办公区和生活区。</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(2)危险废物内部转运作业应采用专用的工具，危险废物内部转运应参照本标准附录B填写《危险废物厂内转运记录表》。</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(3)危险废物内部转运结束后，应对转运路线进行检查和清理，确保无危险废物遗失在转运路线上，并对转运工具进行清洗。</w:t>
                  </w:r>
                </w:p>
              </w:tc>
              <w:tc>
                <w:tcPr>
                  <w:tcW w:w="3061" w:type="dxa"/>
                  <w:tcBorders>
                    <w:top w:val="single" w:color="auto" w:sz="4" w:space="0"/>
                    <w:left w:val="single" w:color="auto" w:sz="4" w:space="0"/>
                    <w:bottom w:val="single" w:color="auto" w:sz="4" w:space="0"/>
                    <w:right w:val="single" w:color="auto" w:sz="4" w:space="0"/>
                  </w:tcBorders>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危险废物内部转运作业应满足如下要求：</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(1)危险废物内部转运应综合考虑厂区的实际情况确定转运路线，尽量避开办公区和生活区。</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(2)危险废物内部转运作业应采用专用的工具，危险废物内部转运应参照本标准附录B填写《危险废物厂内转运记录表》。</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highlight w:val="none"/>
                      <w:lang w:eastAsia="zh-CN"/>
                    </w:rPr>
                    <w:t>(3)危险废物内部转运结束后，应对转运路线进行检查和清理，确保无危险废物遗失在转运路线上</w:t>
                  </w:r>
                  <w:r>
                    <w:rPr>
                      <w:rFonts w:hint="eastAsia"/>
                      <w:color w:val="auto"/>
                      <w:highlight w:val="none"/>
                      <w:lang w:eastAsia="zh-CN"/>
                    </w:rPr>
                    <w:t>，</w:t>
                  </w:r>
                  <w:r>
                    <w:rPr>
                      <w:rFonts w:hint="eastAsia"/>
                      <w:color w:val="auto"/>
                      <w:highlight w:val="none"/>
                      <w:lang w:val="en-US" w:eastAsia="zh-CN"/>
                    </w:rPr>
                    <w:t>本项目不涉及</w:t>
                  </w:r>
                  <w:r>
                    <w:rPr>
                      <w:rFonts w:hint="eastAsia" w:ascii="Times New Roman" w:hAnsi="Times New Roman" w:eastAsia="宋体"/>
                      <w:color w:val="auto"/>
                      <w:highlight w:val="none"/>
                      <w:lang w:eastAsia="zh-CN"/>
                    </w:rPr>
                    <w:t>清洗设备、车辆。</w:t>
                  </w:r>
                </w:p>
              </w:tc>
              <w:tc>
                <w:tcPr>
                  <w:tcW w:w="502" w:type="dxa"/>
                  <w:tcBorders>
                    <w:top w:val="single" w:color="auto" w:sz="4" w:space="0"/>
                    <w:left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31" w:type="dxa"/>
                  <w:vMerge w:val="continue"/>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p>
              </w:tc>
              <w:tc>
                <w:tcPr>
                  <w:tcW w:w="2951" w:type="dxa"/>
                  <w:tcBorders>
                    <w:top w:val="single" w:color="auto" w:sz="4" w:space="0"/>
                    <w:bottom w:val="single" w:color="auto" w:sz="4"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在危险废物的收集和转运过程中，应采取相应的安全防护和污染防治措施，包括防爆、防火、防中毒、防感染、防</w:t>
                  </w:r>
                  <w:r>
                    <w:rPr>
                      <w:rFonts w:hint="eastAsia"/>
                      <w:color w:val="auto"/>
                      <w:lang w:eastAsia="zh-CN"/>
                    </w:rPr>
                    <w:t>泄漏</w:t>
                  </w:r>
                  <w:r>
                    <w:rPr>
                      <w:rFonts w:hint="eastAsia" w:ascii="Times New Roman" w:hAnsi="Times New Roman" w:eastAsia="宋体"/>
                      <w:color w:val="auto"/>
                      <w:lang w:eastAsia="zh-CN"/>
                    </w:rPr>
                    <w:t>、防飞扬、防雨或其它防止污染环境的措施。</w:t>
                  </w:r>
                </w:p>
              </w:tc>
              <w:tc>
                <w:tcPr>
                  <w:tcW w:w="3061"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废铅蓄电池收集和转移过程中，采取相应的安全防护和污染防治措施。</w:t>
                  </w:r>
                </w:p>
              </w:tc>
              <w:tc>
                <w:tcPr>
                  <w:tcW w:w="502" w:type="dxa"/>
                  <w:tcBorders>
                    <w:top w:val="single" w:color="auto" w:sz="4" w:space="0"/>
                    <w:left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31" w:type="dxa"/>
                  <w:vMerge w:val="restart"/>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危险废物的贮存</w:t>
                  </w:r>
                </w:p>
              </w:tc>
              <w:tc>
                <w:tcPr>
                  <w:tcW w:w="2951" w:type="dxa"/>
                  <w:tcBorders>
                    <w:top w:val="single" w:color="auto" w:sz="4" w:space="0"/>
                    <w:bottom w:val="single" w:color="auto" w:sz="4"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危险废物贮存可分为产生单位内部贮存、中转贮存及集中性贮存。所对应的贮存设施分别为：产生危险废物的单位用于暂时贮存的设施；拥有危险废物收集经营许可证的单位用于临时贮存废润滑油、废镍镉电池的设施；以及危险废物经营单位所配置的贮存设施。</w:t>
                  </w:r>
                </w:p>
              </w:tc>
              <w:tc>
                <w:tcPr>
                  <w:tcW w:w="3061"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本项目为废铅蓄电池的集中性贮存。所对应的贮存设施为：危险废物经营单位所配置的贮存设施。</w:t>
                  </w:r>
                </w:p>
              </w:tc>
              <w:tc>
                <w:tcPr>
                  <w:tcW w:w="502" w:type="dxa"/>
                  <w:tcBorders>
                    <w:top w:val="single" w:color="auto" w:sz="4" w:space="0"/>
                    <w:left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31" w:type="dxa"/>
                  <w:vMerge w:val="continue"/>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p>
              </w:tc>
              <w:tc>
                <w:tcPr>
                  <w:tcW w:w="2951" w:type="dxa"/>
                  <w:tcBorders>
                    <w:top w:val="single" w:color="auto" w:sz="4" w:space="0"/>
                    <w:bottom w:val="single" w:color="auto" w:sz="4"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危险废物贮存设施的选址、设计、建设、运行应该满足</w:t>
                  </w:r>
                  <w:r>
                    <w:rPr>
                      <w:rFonts w:hint="eastAsia" w:ascii="Times New Roman" w:hAnsi="Times New Roman" w:eastAsia="宋体"/>
                      <w:color w:val="auto"/>
                      <w:lang w:val="en-US" w:eastAsia="zh-CN"/>
                    </w:rPr>
                    <w:t>GB18597、GBZ1、GBZ2有</w:t>
                  </w:r>
                  <w:r>
                    <w:rPr>
                      <w:rFonts w:hint="eastAsia" w:ascii="Times New Roman" w:hAnsi="Times New Roman" w:eastAsia="宋体"/>
                      <w:color w:val="auto"/>
                      <w:lang w:eastAsia="zh-CN"/>
                    </w:rPr>
                    <w:t>关标准。</w:t>
                  </w:r>
                </w:p>
              </w:tc>
              <w:tc>
                <w:tcPr>
                  <w:tcW w:w="3061"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本项目按照GB18597、GBZ1和GBZ2进行选址、设计、建设。</w:t>
                  </w:r>
                </w:p>
              </w:tc>
              <w:tc>
                <w:tcPr>
                  <w:tcW w:w="502" w:type="dxa"/>
                  <w:tcBorders>
                    <w:top w:val="single" w:color="auto" w:sz="4" w:space="0"/>
                    <w:left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31" w:type="dxa"/>
                  <w:vMerge w:val="continue"/>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p>
              </w:tc>
              <w:tc>
                <w:tcPr>
                  <w:tcW w:w="2951" w:type="dxa"/>
                  <w:tcBorders>
                    <w:top w:val="single" w:color="auto" w:sz="4" w:space="0"/>
                    <w:bottom w:val="single" w:color="auto" w:sz="4"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危险废物贮存设施应配备通讯设备、照明设施和消防设施</w:t>
                  </w:r>
                </w:p>
              </w:tc>
              <w:tc>
                <w:tcPr>
                  <w:tcW w:w="3061"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本项目废铅蓄电池</w:t>
                  </w:r>
                  <w:r>
                    <w:rPr>
                      <w:rFonts w:hint="eastAsia"/>
                      <w:color w:val="auto"/>
                      <w:lang w:val="en-US" w:eastAsia="zh-CN"/>
                    </w:rPr>
                    <w:t>储存厂房</w:t>
                  </w:r>
                  <w:r>
                    <w:rPr>
                      <w:rFonts w:hint="eastAsia" w:ascii="Times New Roman" w:hAnsi="Times New Roman" w:eastAsia="宋体"/>
                      <w:color w:val="auto"/>
                      <w:lang w:eastAsia="zh-CN"/>
                    </w:rPr>
                    <w:t>，配备有通讯设备、照明设施和消防设施</w:t>
                  </w:r>
                  <w:r>
                    <w:rPr>
                      <w:rFonts w:hint="eastAsia"/>
                      <w:color w:val="auto"/>
                      <w:lang w:eastAsia="zh-CN"/>
                    </w:rPr>
                    <w:t>。</w:t>
                  </w:r>
                </w:p>
              </w:tc>
              <w:tc>
                <w:tcPr>
                  <w:tcW w:w="502" w:type="dxa"/>
                  <w:tcBorders>
                    <w:top w:val="single" w:color="auto" w:sz="4" w:space="0"/>
                    <w:left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31" w:type="dxa"/>
                  <w:vMerge w:val="continue"/>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p>
              </w:tc>
              <w:tc>
                <w:tcPr>
                  <w:tcW w:w="2951" w:type="dxa"/>
                  <w:tcBorders>
                    <w:top w:val="single" w:color="auto" w:sz="4" w:space="0"/>
                    <w:bottom w:val="single" w:color="auto" w:sz="4"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贮存危险废物时应按危险废物的种类和特性进行分区贮存，每个区之间应设置挡墙间隔，并设置防雨、防火、防雷、防扬尘装置。</w:t>
                  </w:r>
                </w:p>
              </w:tc>
              <w:tc>
                <w:tcPr>
                  <w:tcW w:w="3061"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本项目</w:t>
                  </w:r>
                  <w:r>
                    <w:rPr>
                      <w:rFonts w:hint="eastAsia"/>
                      <w:color w:val="auto"/>
                      <w:lang w:val="en-US" w:eastAsia="zh-CN"/>
                    </w:rPr>
                    <w:t>设置有完整废铅蓄电池存储区、破损电池存储区等</w:t>
                  </w:r>
                  <w:r>
                    <w:rPr>
                      <w:rFonts w:hint="eastAsia"/>
                      <w:color w:val="auto"/>
                      <w:lang w:eastAsia="zh-CN"/>
                    </w:rPr>
                    <w:t>，</w:t>
                  </w:r>
                  <w:r>
                    <w:rPr>
                      <w:rFonts w:hint="eastAsia"/>
                      <w:color w:val="auto"/>
                      <w:lang w:val="en-US" w:eastAsia="zh-CN"/>
                    </w:rPr>
                    <w:t>均</w:t>
                  </w:r>
                  <w:r>
                    <w:rPr>
                      <w:rFonts w:hint="eastAsia" w:ascii="Times New Roman" w:hAnsi="Times New Roman" w:eastAsia="宋体"/>
                      <w:color w:val="auto"/>
                      <w:lang w:eastAsia="zh-CN"/>
                    </w:rPr>
                    <w:t>设置有防雨、防火、防雷、防扬尘装置。</w:t>
                  </w:r>
                </w:p>
              </w:tc>
              <w:tc>
                <w:tcPr>
                  <w:tcW w:w="502" w:type="dxa"/>
                  <w:tcBorders>
                    <w:top w:val="single" w:color="auto" w:sz="4" w:space="0"/>
                    <w:left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31" w:type="dxa"/>
                  <w:vMerge w:val="continue"/>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p>
              </w:tc>
              <w:tc>
                <w:tcPr>
                  <w:tcW w:w="2951" w:type="dxa"/>
                  <w:tcBorders>
                    <w:top w:val="single" w:color="auto" w:sz="4" w:space="0"/>
                    <w:bottom w:val="single" w:color="auto" w:sz="4"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贮存易燃易爆危险废物应配置有机气体报警器、火灾报警装置和导出静电的接地装置。</w:t>
                  </w:r>
                </w:p>
              </w:tc>
              <w:tc>
                <w:tcPr>
                  <w:tcW w:w="3061"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color w:val="auto"/>
                      <w:lang w:val="en-US" w:eastAsia="zh-CN"/>
                    </w:rPr>
                    <w:t>本项目储存厂房</w:t>
                  </w:r>
                  <w:r>
                    <w:rPr>
                      <w:rFonts w:hint="eastAsia" w:ascii="Times New Roman" w:hAnsi="Times New Roman" w:eastAsia="宋体"/>
                      <w:color w:val="auto"/>
                      <w:lang w:eastAsia="zh-CN"/>
                    </w:rPr>
                    <w:t>内按要求设置火灾报警装置、导出静电的接地装置。</w:t>
                  </w:r>
                </w:p>
              </w:tc>
              <w:tc>
                <w:tcPr>
                  <w:tcW w:w="502" w:type="dxa"/>
                  <w:tcBorders>
                    <w:top w:val="single" w:color="auto" w:sz="4" w:space="0"/>
                    <w:left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31" w:type="dxa"/>
                  <w:vMerge w:val="continue"/>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p>
              </w:tc>
              <w:tc>
                <w:tcPr>
                  <w:tcW w:w="2951" w:type="dxa"/>
                  <w:tcBorders>
                    <w:top w:val="single" w:color="auto" w:sz="4" w:space="0"/>
                    <w:bottom w:val="single" w:color="auto" w:sz="4"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危险废物贮存期限应符合《中华人民共和国固体废物污染环境防治法》的有关规定</w:t>
                  </w:r>
                </w:p>
              </w:tc>
              <w:tc>
                <w:tcPr>
                  <w:tcW w:w="3061"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val="en-US" w:eastAsia="zh-CN"/>
                    </w:rPr>
                    <w:t>本项目</w:t>
                  </w:r>
                  <w:r>
                    <w:rPr>
                      <w:rFonts w:hint="eastAsia" w:ascii="Times New Roman" w:hAnsi="Times New Roman" w:eastAsia="宋体"/>
                      <w:color w:val="auto"/>
                      <w:lang w:eastAsia="zh-CN"/>
                    </w:rPr>
                    <w:t>废铅蓄电池</w:t>
                  </w:r>
                  <w:r>
                    <w:rPr>
                      <w:rFonts w:hint="eastAsia" w:ascii="Times New Roman" w:hAnsi="Times New Roman" w:eastAsia="宋体"/>
                      <w:color w:val="auto"/>
                      <w:lang w:val="en-US" w:eastAsia="zh-CN"/>
                    </w:rPr>
                    <w:t>3天</w:t>
                  </w:r>
                  <w:r>
                    <w:rPr>
                      <w:rFonts w:hint="eastAsia" w:ascii="Times New Roman" w:hAnsi="Times New Roman" w:eastAsia="宋体"/>
                      <w:color w:val="auto"/>
                      <w:lang w:eastAsia="zh-CN"/>
                    </w:rPr>
                    <w:t>转运1次，贮存期限符合《中华人民共和国固体废物污染环境防治法》的有关规定。</w:t>
                  </w:r>
                </w:p>
              </w:tc>
              <w:tc>
                <w:tcPr>
                  <w:tcW w:w="502" w:type="dxa"/>
                  <w:tcBorders>
                    <w:top w:val="single" w:color="auto" w:sz="4" w:space="0"/>
                    <w:left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31" w:type="dxa"/>
                  <w:vMerge w:val="continue"/>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p>
              </w:tc>
              <w:tc>
                <w:tcPr>
                  <w:tcW w:w="2951" w:type="dxa"/>
                  <w:tcBorders>
                    <w:top w:val="single" w:color="auto" w:sz="4" w:space="0"/>
                    <w:bottom w:val="single" w:color="auto" w:sz="4"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危险废物贮存单位应建立危险废物贮存的</w:t>
                  </w:r>
                  <w:r>
                    <w:rPr>
                      <w:rFonts w:hint="eastAsia"/>
                      <w:color w:val="auto"/>
                      <w:lang w:eastAsia="zh-CN"/>
                    </w:rPr>
                    <w:t>台账制度</w:t>
                  </w:r>
                  <w:r>
                    <w:rPr>
                      <w:rFonts w:hint="eastAsia" w:ascii="Times New Roman" w:hAnsi="Times New Roman" w:eastAsia="宋体"/>
                      <w:color w:val="auto"/>
                      <w:lang w:eastAsia="zh-CN"/>
                    </w:rPr>
                    <w:t>，危险废物出入库交接记录内容应参照本标准附录C执行</w:t>
                  </w:r>
                </w:p>
              </w:tc>
              <w:tc>
                <w:tcPr>
                  <w:tcW w:w="3061"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本项目建成运营后，建设单位建立危险废物贮存的</w:t>
                  </w:r>
                  <w:r>
                    <w:rPr>
                      <w:rFonts w:hint="eastAsia"/>
                      <w:color w:val="auto"/>
                      <w:lang w:eastAsia="zh-CN"/>
                    </w:rPr>
                    <w:t>台账制度</w:t>
                  </w:r>
                  <w:r>
                    <w:rPr>
                      <w:rFonts w:hint="eastAsia" w:ascii="Times New Roman" w:hAnsi="Times New Roman" w:eastAsia="宋体"/>
                      <w:color w:val="auto"/>
                      <w:lang w:eastAsia="zh-CN"/>
                    </w:rPr>
                    <w:t>，废铅蓄电池出入库交接记录内容应参照本标准附录C执行。</w:t>
                  </w:r>
                </w:p>
              </w:tc>
              <w:tc>
                <w:tcPr>
                  <w:tcW w:w="502" w:type="dxa"/>
                  <w:tcBorders>
                    <w:top w:val="single" w:color="auto" w:sz="4" w:space="0"/>
                    <w:left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31" w:type="dxa"/>
                  <w:vMerge w:val="continue"/>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p>
              </w:tc>
              <w:tc>
                <w:tcPr>
                  <w:tcW w:w="2951" w:type="dxa"/>
                  <w:tcBorders>
                    <w:top w:val="single" w:color="auto" w:sz="4" w:space="0"/>
                    <w:bottom w:val="single" w:color="auto" w:sz="4"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危险废物贮存设施应根据贮存的废物种类和特性按照GB18597附录A设置标志</w:t>
                  </w:r>
                </w:p>
              </w:tc>
              <w:tc>
                <w:tcPr>
                  <w:tcW w:w="3061"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废铅酸蓄电池贮存设施应根据贮存的废物种类和特性按照GB18597附录A设置标志</w:t>
                  </w:r>
                </w:p>
              </w:tc>
              <w:tc>
                <w:tcPr>
                  <w:tcW w:w="502" w:type="dxa"/>
                  <w:tcBorders>
                    <w:top w:val="single" w:color="auto" w:sz="4" w:space="0"/>
                    <w:left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31" w:type="dxa"/>
                  <w:vMerge w:val="continue"/>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p>
              </w:tc>
              <w:tc>
                <w:tcPr>
                  <w:tcW w:w="2951" w:type="dxa"/>
                  <w:tcBorders>
                    <w:top w:val="single" w:color="auto" w:sz="4" w:space="0"/>
                    <w:bottom w:val="single" w:color="auto" w:sz="4"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危险废物贮存设施的关闭应按照GB18597和《危险废物经营许可证管理办法》的有关规定执行</w:t>
                  </w:r>
                </w:p>
              </w:tc>
              <w:tc>
                <w:tcPr>
                  <w:tcW w:w="3061"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废铅蓄电池贮存设施的关闭应按照GB18597和《危险废物经营许可证管理办法》的有关规定执行</w:t>
                  </w:r>
                  <w:r>
                    <w:rPr>
                      <w:rFonts w:hint="eastAsia"/>
                      <w:color w:val="auto"/>
                      <w:lang w:eastAsia="zh-CN"/>
                    </w:rPr>
                    <w:t>。</w:t>
                  </w:r>
                </w:p>
              </w:tc>
              <w:tc>
                <w:tcPr>
                  <w:tcW w:w="502" w:type="dxa"/>
                  <w:tcBorders>
                    <w:top w:val="single" w:color="auto" w:sz="4" w:space="0"/>
                    <w:left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31" w:type="dxa"/>
                  <w:tcBorders>
                    <w:top w:val="single" w:color="auto" w:sz="4" w:space="0"/>
                    <w:bottom w:val="single" w:color="auto" w:sz="8" w:space="0"/>
                  </w:tcBorders>
                  <w:vAlign w:val="center"/>
                </w:tcPr>
                <w:p>
                  <w:pPr>
                    <w:pStyle w:val="28"/>
                    <w:keepNext w:val="0"/>
                    <w:keepLines w:val="0"/>
                    <w:suppressLineNumbers w:val="0"/>
                    <w:bidi w:val="0"/>
                    <w:spacing w:before="0" w:beforeAutospacing="0" w:after="0" w:afterAutospacing="0"/>
                    <w:ind w:left="0" w:right="0"/>
                    <w:rPr>
                      <w:color w:val="auto"/>
                    </w:rPr>
                  </w:pPr>
                  <w:r>
                    <w:rPr>
                      <w:rFonts w:hint="eastAsia" w:ascii="Times New Roman" w:hAnsi="Times New Roman" w:eastAsia="宋体"/>
                      <w:color w:val="auto"/>
                      <w:lang w:val="en-US" w:eastAsia="zh-CN"/>
                    </w:rPr>
                    <w:t>危险废物的运输</w:t>
                  </w:r>
                </w:p>
              </w:tc>
              <w:tc>
                <w:tcPr>
                  <w:tcW w:w="2951" w:type="dxa"/>
                  <w:tcBorders>
                    <w:top w:val="single" w:color="auto" w:sz="4" w:space="0"/>
                    <w:bottom w:val="single" w:color="auto" w:sz="8"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危险废物运输应由持有危险废物经营许可证的单位按照其许可证的经营范围组织实施，承担危险废物运输的单位应获得交通运输部门颁发的危险货物运输资质。危险废物运输时的中转、装卸过程应遵守如下技术要求：</w:t>
                  </w:r>
                </w:p>
                <w:p>
                  <w:pPr>
                    <w:pStyle w:val="28"/>
                    <w:keepNext w:val="0"/>
                    <w:keepLines w:val="0"/>
                    <w:numPr>
                      <w:ilvl w:val="0"/>
                      <w:numId w:val="0"/>
                    </w:numPr>
                    <w:suppressLineNumbers w:val="0"/>
                    <w:bidi w:val="0"/>
                    <w:spacing w:before="0" w:beforeAutospacing="0" w:after="0" w:afterAutospacing="0"/>
                    <w:ind w:left="0" w:leftChars="0" w:right="0" w:rightChars="0" w:firstLine="0" w:firstLineChars="0"/>
                    <w:jc w:val="both"/>
                    <w:rPr>
                      <w:rFonts w:hint="eastAsia" w:ascii="Times New Roman" w:hAnsi="Times New Roman" w:eastAsia="宋体"/>
                      <w:color w:val="auto"/>
                      <w:lang w:eastAsia="zh-CN"/>
                    </w:rPr>
                  </w:pPr>
                  <w:r>
                    <w:rPr>
                      <w:rFonts w:hint="eastAsia" w:ascii="Times New Roman" w:hAnsi="Times New Roman" w:eastAsia="宋体" w:cstheme="minorBidi"/>
                      <w:color w:val="auto"/>
                      <w:kern w:val="2"/>
                      <w:sz w:val="21"/>
                      <w:szCs w:val="21"/>
                      <w:lang w:val="en-US" w:eastAsia="zh-CN" w:bidi="ar-SA"/>
                    </w:rPr>
                    <w:t>1.</w:t>
                  </w:r>
                  <w:r>
                    <w:rPr>
                      <w:rFonts w:hint="eastAsia" w:ascii="Times New Roman" w:hAnsi="Times New Roman" w:eastAsia="宋体"/>
                      <w:color w:val="auto"/>
                      <w:lang w:eastAsia="zh-CN"/>
                    </w:rPr>
                    <w:t>卸载区的工作人员应熟悉废物的危险特性，并配备适当的个人防护装备，装卸剧毒废物应配备特殊的防护装备。</w:t>
                  </w:r>
                </w:p>
                <w:p>
                  <w:pPr>
                    <w:pStyle w:val="28"/>
                    <w:keepNext w:val="0"/>
                    <w:keepLines w:val="0"/>
                    <w:numPr>
                      <w:ilvl w:val="0"/>
                      <w:numId w:val="0"/>
                    </w:numPr>
                    <w:suppressLineNumbers w:val="0"/>
                    <w:bidi w:val="0"/>
                    <w:spacing w:before="0" w:beforeAutospacing="0" w:after="0" w:afterAutospacing="0"/>
                    <w:ind w:left="0" w:leftChars="0" w:right="0" w:rightChars="0" w:firstLine="0" w:firstLineChars="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2.装卸区应配备必要的消防设备和设施，并设置明显的指示标志。</w:t>
                  </w:r>
                </w:p>
                <w:p>
                  <w:pPr>
                    <w:pStyle w:val="28"/>
                    <w:keepNext w:val="0"/>
                    <w:keepLines w:val="0"/>
                    <w:numPr>
                      <w:ilvl w:val="0"/>
                      <w:numId w:val="0"/>
                    </w:numPr>
                    <w:suppressLineNumbers w:val="0"/>
                    <w:bidi w:val="0"/>
                    <w:spacing w:before="0" w:beforeAutospacing="0" w:after="0" w:afterAutospacing="0"/>
                    <w:ind w:left="0" w:leftChars="0" w:right="0" w:rightChars="0" w:firstLine="0" w:firstLineChars="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3.危险废物装卸区应设置隔离设施，液态废物装卸区应设置收集槽和缓冲罐。</w:t>
                  </w:r>
                </w:p>
              </w:tc>
              <w:tc>
                <w:tcPr>
                  <w:tcW w:w="3061" w:type="dxa"/>
                  <w:tcBorders>
                    <w:top w:val="single" w:color="auto" w:sz="4" w:space="0"/>
                    <w:left w:val="single" w:color="auto" w:sz="4" w:space="0"/>
                    <w:bottom w:val="single" w:color="auto" w:sz="8" w:space="0"/>
                    <w:right w:val="single" w:color="auto" w:sz="4" w:space="0"/>
                  </w:tcBorders>
                  <w:vAlign w:val="center"/>
                </w:tcPr>
                <w:p>
                  <w:pPr>
                    <w:pStyle w:val="28"/>
                    <w:keepNext w:val="0"/>
                    <w:keepLines w:val="0"/>
                    <w:suppressLineNumbers w:val="0"/>
                    <w:bidi w:val="0"/>
                    <w:spacing w:before="0" w:beforeAutospacing="0" w:after="0" w:afterAutospacing="0"/>
                    <w:ind w:left="0" w:right="0"/>
                    <w:jc w:val="both"/>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eastAsia="zh-CN"/>
                    </w:rPr>
                    <w:t>本项目</w:t>
                  </w:r>
                  <w:r>
                    <w:rPr>
                      <w:rFonts w:hint="eastAsia"/>
                      <w:color w:val="auto"/>
                      <w:highlight w:val="none"/>
                      <w:lang w:val="en-US" w:eastAsia="zh-CN"/>
                    </w:rPr>
                    <w:t>在获得</w:t>
                  </w:r>
                  <w:r>
                    <w:rPr>
                      <w:rFonts w:hint="eastAsia" w:ascii="Times New Roman" w:hAnsi="Times New Roman" w:eastAsia="宋体"/>
                      <w:color w:val="auto"/>
                      <w:highlight w:val="none"/>
                      <w:lang w:eastAsia="zh-CN"/>
                    </w:rPr>
                    <w:t>危险废物经营许可证</w:t>
                  </w:r>
                  <w:r>
                    <w:rPr>
                      <w:rFonts w:hint="eastAsia"/>
                      <w:color w:val="auto"/>
                      <w:highlight w:val="none"/>
                      <w:lang w:val="en-US" w:eastAsia="zh-CN"/>
                    </w:rPr>
                    <w:t>与</w:t>
                  </w:r>
                  <w:r>
                    <w:rPr>
                      <w:rFonts w:hint="eastAsia" w:ascii="Times New Roman" w:hAnsi="Times New Roman" w:eastAsia="宋体"/>
                      <w:color w:val="auto"/>
                      <w:highlight w:val="none"/>
                      <w:lang w:eastAsia="zh-CN"/>
                    </w:rPr>
                    <w:t>交通运输部门颁发的危险货物运输资质</w:t>
                  </w:r>
                  <w:r>
                    <w:rPr>
                      <w:rFonts w:hint="eastAsia"/>
                      <w:color w:val="auto"/>
                      <w:highlight w:val="none"/>
                      <w:lang w:val="en-US" w:eastAsia="zh-CN"/>
                    </w:rPr>
                    <w:t>后才可进行</w:t>
                  </w:r>
                  <w:r>
                    <w:rPr>
                      <w:rFonts w:hint="eastAsia" w:ascii="Times New Roman" w:hAnsi="Times New Roman" w:eastAsia="宋体"/>
                      <w:color w:val="auto"/>
                      <w:highlight w:val="none"/>
                      <w:lang w:eastAsia="zh-CN"/>
                    </w:rPr>
                    <w:t>废铅蓄电池</w:t>
                  </w:r>
                  <w:r>
                    <w:rPr>
                      <w:rFonts w:hint="eastAsia"/>
                      <w:color w:val="auto"/>
                      <w:highlight w:val="none"/>
                      <w:lang w:val="en-US" w:eastAsia="zh-CN"/>
                    </w:rPr>
                    <w:t>的收集、储存、转运等工作。</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运输废铅蓄电池时，满足《国家危险废物名录》（2025年版）中要求进行运输。</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1.装卸区配备个人防护装备。</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2.装卸区配备消防设备和设施，并设指示标志。</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lang w:eastAsia="zh-CN"/>
                    </w:rPr>
                    <w:t>3.装卸区设置隔离设施。</w:t>
                  </w:r>
                </w:p>
              </w:tc>
              <w:tc>
                <w:tcPr>
                  <w:tcW w:w="502" w:type="dxa"/>
                  <w:tcBorders>
                    <w:top w:val="single" w:color="auto" w:sz="4" w:space="0"/>
                    <w:left w:val="single" w:color="auto" w:sz="4" w:space="0"/>
                    <w:bottom w:val="single" w:color="auto" w:sz="8" w:space="0"/>
                  </w:tcBorders>
                  <w:vAlign w:val="center"/>
                </w:tcPr>
                <w:p>
                  <w:pPr>
                    <w:pStyle w:val="28"/>
                    <w:keepNext w:val="0"/>
                    <w:keepLines w:val="0"/>
                    <w:suppressLineNumbers w:val="0"/>
                    <w:bidi w:val="0"/>
                    <w:spacing w:before="0" w:beforeAutospacing="0" w:after="0" w:afterAutospacing="0"/>
                    <w:ind w:left="0" w:right="0"/>
                    <w:rPr>
                      <w:rFonts w:hint="eastAsia" w:eastAsia="宋体"/>
                      <w:color w:val="auto"/>
                      <w:lang w:val="en-US" w:eastAsia="zh-CN"/>
                    </w:rPr>
                  </w:pPr>
                  <w:r>
                    <w:rPr>
                      <w:rFonts w:hint="eastAsia"/>
                      <w:color w:val="auto"/>
                      <w:lang w:val="en-US" w:eastAsia="zh-CN"/>
                    </w:rPr>
                    <w:t>符合</w:t>
                  </w:r>
                </w:p>
              </w:tc>
            </w:tr>
          </w:tbl>
          <w:p>
            <w:pPr>
              <w:keepNext w:val="0"/>
              <w:keepLines w:val="0"/>
              <w:numPr>
                <w:ilvl w:val="0"/>
                <w:numId w:val="0"/>
              </w:numPr>
              <w:suppressLineNumbers w:val="0"/>
              <w:bidi w:val="0"/>
              <w:spacing w:before="0" w:beforeAutospacing="0" w:after="0" w:afterAutospacing="0"/>
              <w:ind w:left="0" w:right="0" w:firstLine="482" w:firstLineChars="200"/>
              <w:rPr>
                <w:b/>
                <w:bCs/>
                <w:color w:val="auto"/>
              </w:rPr>
            </w:pPr>
            <w:r>
              <w:rPr>
                <w:rFonts w:ascii="Times New Roman" w:hAnsi="Times New Roman" w:eastAsia="宋体" w:cs="Times New Roman"/>
                <w:b/>
                <w:bCs/>
                <w:color w:val="auto"/>
                <w:kern w:val="2"/>
                <w:sz w:val="24"/>
                <w:szCs w:val="24"/>
                <w:lang w:val="en-US" w:eastAsia="zh-CN" w:bidi="ar-SA"/>
              </w:rPr>
              <w:t>（3）</w:t>
            </w:r>
            <w:r>
              <w:rPr>
                <w:b/>
                <w:bCs/>
                <w:color w:val="auto"/>
              </w:rPr>
              <w:t>与《</w:t>
            </w:r>
            <w:bookmarkStart w:id="92" w:name="OLE_LINK141"/>
            <w:r>
              <w:rPr>
                <w:b/>
                <w:bCs/>
                <w:color w:val="auto"/>
              </w:rPr>
              <w:t>废铅蓄电池处理污染控制技术规范</w:t>
            </w:r>
            <w:bookmarkEnd w:id="92"/>
            <w:r>
              <w:rPr>
                <w:b/>
                <w:bCs/>
                <w:color w:val="auto"/>
              </w:rPr>
              <w:t>》（HJ519-2020）符合性分析</w:t>
            </w:r>
          </w:p>
          <w:p>
            <w:pPr>
              <w:pStyle w:val="12"/>
              <w:keepNext w:val="0"/>
              <w:keepLines w:val="0"/>
              <w:suppressLineNumbers w:val="0"/>
              <w:bidi w:val="0"/>
              <w:spacing w:before="0" w:beforeAutospacing="0" w:after="0" w:afterAutospacing="0"/>
              <w:ind w:left="0" w:right="0"/>
              <w:rPr>
                <w:color w:val="auto"/>
              </w:rPr>
            </w:pPr>
            <w:r>
              <w:rPr>
                <w:color w:val="auto"/>
              </w:rPr>
              <w:t>表</w:t>
            </w:r>
            <w:r>
              <w:rPr>
                <w:rFonts w:hint="eastAsia"/>
                <w:color w:val="auto"/>
                <w:lang w:val="en-US" w:eastAsia="zh-CN"/>
              </w:rPr>
              <w:t>1-10</w:t>
            </w:r>
            <w:r>
              <w:rPr>
                <w:rFonts w:hint="eastAsia"/>
                <w:color w:val="auto"/>
              </w:rPr>
              <w:t xml:space="preserve">    </w:t>
            </w:r>
            <w:r>
              <w:rPr>
                <w:color w:val="auto"/>
              </w:rPr>
              <w:t>与《</w:t>
            </w:r>
            <w:bookmarkStart w:id="93" w:name="OLE_LINK144"/>
            <w:r>
              <w:rPr>
                <w:color w:val="auto"/>
              </w:rPr>
              <w:t>废铅蓄电池处</w:t>
            </w:r>
            <w:bookmarkEnd w:id="93"/>
            <w:r>
              <w:rPr>
                <w:color w:val="auto"/>
              </w:rPr>
              <w:t>理污染控制技术规范》符合性分析</w:t>
            </w:r>
          </w:p>
          <w:tbl>
            <w:tblPr>
              <w:tblStyle w:val="22"/>
              <w:tblW w:w="4950" w:type="pct"/>
              <w:jc w:val="center"/>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97"/>
              <w:gridCol w:w="3095"/>
              <w:gridCol w:w="2753"/>
              <w:gridCol w:w="638"/>
            </w:tblGrid>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要求项目</w:t>
                  </w:r>
                </w:p>
              </w:tc>
              <w:tc>
                <w:tcPr>
                  <w:tcW w:w="3010"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规范内容</w:t>
                  </w:r>
                </w:p>
              </w:tc>
              <w:tc>
                <w:tcPr>
                  <w:tcW w:w="2678"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本项目</w:t>
                  </w:r>
                </w:p>
              </w:tc>
              <w:tc>
                <w:tcPr>
                  <w:tcW w:w="620"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符合性</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dxa"/>
                  <w:vMerge w:val="restart"/>
                  <w:tcBorders>
                    <w:top w:val="single" w:color="auto" w:sz="8"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总体要求</w:t>
                  </w:r>
                </w:p>
              </w:tc>
              <w:tc>
                <w:tcPr>
                  <w:tcW w:w="3010" w:type="dxa"/>
                  <w:tcBorders>
                    <w:top w:val="single" w:color="auto" w:sz="8" w:space="0"/>
                  </w:tcBorders>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从事废铅蓄电池收集、贮存的企业，应依法获得危险废物经营许可证；禁止无经营许可证或者不按照经营许可证规定从事废铅蓄电池收集、贮存经营活动。</w:t>
                  </w:r>
                </w:p>
              </w:tc>
              <w:tc>
                <w:tcPr>
                  <w:tcW w:w="2678" w:type="dxa"/>
                  <w:tcBorders>
                    <w:top w:val="single" w:color="auto" w:sz="8" w:space="0"/>
                  </w:tcBorders>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本项目现处于环评阶段，下一步按规定开展验收和危险废物经营</w:t>
                  </w:r>
                  <w:r>
                    <w:rPr>
                      <w:rFonts w:hint="eastAsia" w:ascii="Times New Roman" w:hAnsi="Times New Roman" w:eastAsia="宋体"/>
                      <w:color w:val="auto"/>
                      <w:lang w:eastAsia="zh-CN"/>
                    </w:rPr>
                    <w:t>许可证</w:t>
                  </w:r>
                  <w:r>
                    <w:rPr>
                      <w:rFonts w:hint="eastAsia"/>
                      <w:color w:val="auto"/>
                      <w:lang w:val="en-US" w:eastAsia="zh-CN"/>
                    </w:rPr>
                    <w:t>的</w:t>
                  </w:r>
                  <w:r>
                    <w:rPr>
                      <w:color w:val="auto"/>
                    </w:rPr>
                    <w:t>申办工作。待相关许可证件办理完成后，方可正式开始经营活动</w:t>
                  </w:r>
                </w:p>
              </w:tc>
              <w:tc>
                <w:tcPr>
                  <w:tcW w:w="620" w:type="dxa"/>
                  <w:tcBorders>
                    <w:top w:val="single" w:color="auto" w:sz="8"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dxa"/>
                  <w:vMerge w:val="continue"/>
                  <w:vAlign w:val="center"/>
                </w:tcPr>
                <w:p>
                  <w:pPr>
                    <w:pStyle w:val="28"/>
                    <w:keepNext w:val="0"/>
                    <w:keepLines w:val="0"/>
                    <w:suppressLineNumbers w:val="0"/>
                    <w:bidi w:val="0"/>
                    <w:spacing w:before="0" w:beforeAutospacing="0" w:after="0" w:afterAutospacing="0"/>
                    <w:ind w:left="0" w:right="0"/>
                    <w:rPr>
                      <w:color w:val="auto"/>
                    </w:rPr>
                  </w:pPr>
                </w:p>
              </w:tc>
              <w:tc>
                <w:tcPr>
                  <w:tcW w:w="3010" w:type="dxa"/>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收集、运输、贮存废铅蓄电池的容器或托盘，应根据废铅蓄电池的特性设计，不易破损、变形，其所用材料能有效地防止渗漏、扩散，并耐酸腐蚀。装有废铅蓄电池的容器或托盘必须粘贴符合GB18597要求的危险废物标签。</w:t>
                  </w:r>
                </w:p>
              </w:tc>
              <w:tc>
                <w:tcPr>
                  <w:tcW w:w="2678" w:type="dxa"/>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本项目收集的废铅蓄电池为免维护铅蓄电池，</w:t>
                  </w:r>
                  <w:r>
                    <w:rPr>
                      <w:rFonts w:hint="eastAsia"/>
                      <w:color w:val="auto"/>
                      <w:lang w:val="en-US" w:eastAsia="zh-CN"/>
                    </w:rPr>
                    <w:t>完整电池先用塑料薄膜包装后再装入</w:t>
                  </w:r>
                  <w:r>
                    <w:rPr>
                      <w:color w:val="auto"/>
                      <w:highlight w:val="none"/>
                    </w:rPr>
                    <w:t>塑料托盘</w:t>
                  </w:r>
                  <w:r>
                    <w:rPr>
                      <w:rFonts w:hint="eastAsia"/>
                      <w:color w:val="auto"/>
                      <w:highlight w:val="none"/>
                      <w:lang w:val="en-US" w:eastAsia="zh-CN"/>
                    </w:rPr>
                    <w:t>中储存</w:t>
                  </w:r>
                  <w:r>
                    <w:rPr>
                      <w:rFonts w:hint="eastAsia"/>
                      <w:color w:val="auto"/>
                    </w:rPr>
                    <w:t>；破损的废铅蓄电池</w:t>
                  </w:r>
                  <w:r>
                    <w:rPr>
                      <w:rFonts w:hint="eastAsia"/>
                      <w:color w:val="auto"/>
                      <w:lang w:val="en-US" w:eastAsia="zh-CN"/>
                    </w:rPr>
                    <w:t>采用</w:t>
                  </w:r>
                  <w:r>
                    <w:rPr>
                      <w:color w:val="auto"/>
                    </w:rPr>
                    <w:t>破损电池储存</w:t>
                  </w:r>
                  <w:r>
                    <w:rPr>
                      <w:rFonts w:hint="eastAsia"/>
                      <w:color w:val="auto"/>
                    </w:rPr>
                    <w:t>箱</w:t>
                  </w:r>
                  <w:r>
                    <w:rPr>
                      <w:rFonts w:hint="eastAsia"/>
                      <w:color w:val="auto"/>
                      <w:lang w:val="en-US" w:eastAsia="zh-CN"/>
                    </w:rPr>
                    <w:t>放置</w:t>
                  </w:r>
                  <w:r>
                    <w:rPr>
                      <w:rFonts w:hint="eastAsia"/>
                      <w:color w:val="auto"/>
                      <w:lang w:eastAsia="zh-CN"/>
                    </w:rPr>
                    <w:t>，</w:t>
                  </w:r>
                  <w:r>
                    <w:rPr>
                      <w:color w:val="auto"/>
                    </w:rPr>
                    <w:t>采取专业的车辆进行运输至</w:t>
                  </w:r>
                  <w:r>
                    <w:rPr>
                      <w:rFonts w:hint="eastAsia"/>
                      <w:color w:val="auto"/>
                      <w:lang w:val="en-US" w:eastAsia="zh-CN"/>
                    </w:rPr>
                    <w:t>储存</w:t>
                  </w:r>
                  <w:r>
                    <w:rPr>
                      <w:color w:val="auto"/>
                    </w:rPr>
                    <w:t>仓库，</w:t>
                  </w:r>
                  <w:r>
                    <w:rPr>
                      <w:rFonts w:hint="eastAsia"/>
                      <w:color w:val="auto"/>
                      <w:lang w:val="en-US" w:eastAsia="zh-CN"/>
                    </w:rPr>
                    <w:t>分区放置</w:t>
                  </w:r>
                  <w:r>
                    <w:rPr>
                      <w:color w:val="auto"/>
                    </w:rPr>
                    <w:t>。在仓库内按照规范要求设置导流</w:t>
                  </w:r>
                  <w:r>
                    <w:rPr>
                      <w:rFonts w:hint="eastAsia"/>
                      <w:color w:val="auto"/>
                      <w:lang w:val="en-US" w:eastAsia="zh-CN"/>
                    </w:rPr>
                    <w:t>槽</w:t>
                  </w:r>
                  <w:r>
                    <w:rPr>
                      <w:color w:val="auto"/>
                    </w:rPr>
                    <w:t>、应急池等应急措施。装有废铅蓄电池的容器必须粘贴符合GB18597要求的危险废物标签。</w:t>
                  </w:r>
                </w:p>
              </w:tc>
              <w:tc>
                <w:tcPr>
                  <w:tcW w:w="620" w:type="dxa"/>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dxa"/>
                  <w:vMerge w:val="continue"/>
                  <w:vAlign w:val="center"/>
                </w:tcPr>
                <w:p>
                  <w:pPr>
                    <w:pStyle w:val="28"/>
                    <w:keepNext w:val="0"/>
                    <w:keepLines w:val="0"/>
                    <w:suppressLineNumbers w:val="0"/>
                    <w:bidi w:val="0"/>
                    <w:spacing w:before="0" w:beforeAutospacing="0" w:after="0" w:afterAutospacing="0"/>
                    <w:ind w:left="0" w:right="0"/>
                    <w:rPr>
                      <w:color w:val="auto"/>
                    </w:rPr>
                  </w:pPr>
                </w:p>
              </w:tc>
              <w:tc>
                <w:tcPr>
                  <w:tcW w:w="3010" w:type="dxa"/>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废铅蓄电池收集、贮存企业应建立废铅蓄电池收集处理数据信息管理系统，如实记录收集、贮存、转移废铅蓄电池的重量、来源、去向等信息，并实现与全国固体废物管理信息系统的数据对接。</w:t>
                  </w:r>
                </w:p>
              </w:tc>
              <w:tc>
                <w:tcPr>
                  <w:tcW w:w="2678" w:type="dxa"/>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本项目建成后，建设单位建立废铅蓄电池收集处理数据信息管理系统，如实记录收集、贮存、转移废铅蓄电池的重量、来源、去向等信息，并实现与全国固体废物管理信息系统的数据对接。</w:t>
                  </w:r>
                </w:p>
              </w:tc>
              <w:tc>
                <w:tcPr>
                  <w:tcW w:w="620" w:type="dxa"/>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dxa"/>
                  <w:vMerge w:val="continue"/>
                  <w:vAlign w:val="center"/>
                </w:tcPr>
                <w:p>
                  <w:pPr>
                    <w:pStyle w:val="28"/>
                    <w:keepNext w:val="0"/>
                    <w:keepLines w:val="0"/>
                    <w:suppressLineNumbers w:val="0"/>
                    <w:bidi w:val="0"/>
                    <w:spacing w:before="0" w:beforeAutospacing="0" w:after="0" w:afterAutospacing="0"/>
                    <w:ind w:left="0" w:right="0"/>
                    <w:rPr>
                      <w:color w:val="auto"/>
                    </w:rPr>
                  </w:pPr>
                </w:p>
              </w:tc>
              <w:tc>
                <w:tcPr>
                  <w:tcW w:w="3010" w:type="dxa"/>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禁止在收集、运输和贮存过程中擅自拆解、破碎、丢弃废铅蓄电池；禁止倾倒含铅酸性电解质。</w:t>
                  </w:r>
                </w:p>
              </w:tc>
              <w:tc>
                <w:tcPr>
                  <w:tcW w:w="2678" w:type="dxa"/>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本项目仅对废铅蓄电池进行收集、贮存，</w:t>
                  </w:r>
                  <w:r>
                    <w:rPr>
                      <w:rFonts w:hint="eastAsia"/>
                      <w:color w:val="auto"/>
                    </w:rPr>
                    <w:t>无</w:t>
                  </w:r>
                  <w:r>
                    <w:rPr>
                      <w:color w:val="auto"/>
                    </w:rPr>
                    <w:t>拆解、破碎、</w:t>
                  </w:r>
                  <w:r>
                    <w:rPr>
                      <w:rFonts w:hint="eastAsia"/>
                      <w:color w:val="auto"/>
                    </w:rPr>
                    <w:t>工艺。</w:t>
                  </w:r>
                </w:p>
              </w:tc>
              <w:tc>
                <w:tcPr>
                  <w:tcW w:w="620" w:type="dxa"/>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dxa"/>
                  <w:vMerge w:val="continue"/>
                  <w:vAlign w:val="center"/>
                </w:tcPr>
                <w:p>
                  <w:pPr>
                    <w:pStyle w:val="28"/>
                    <w:keepNext w:val="0"/>
                    <w:keepLines w:val="0"/>
                    <w:suppressLineNumbers w:val="0"/>
                    <w:bidi w:val="0"/>
                    <w:spacing w:before="0" w:beforeAutospacing="0" w:after="0" w:afterAutospacing="0"/>
                    <w:ind w:left="0" w:right="0"/>
                    <w:rPr>
                      <w:color w:val="auto"/>
                    </w:rPr>
                  </w:pPr>
                </w:p>
              </w:tc>
              <w:tc>
                <w:tcPr>
                  <w:tcW w:w="3010" w:type="dxa"/>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废铅蓄电池收集、运输、贮存过程除应满足环境保护相关要求外，还应符合国家安全生产、职业健康、交通运输、消防等法规标准的相关要求。</w:t>
                  </w:r>
                </w:p>
              </w:tc>
              <w:tc>
                <w:tcPr>
                  <w:tcW w:w="2678" w:type="dxa"/>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废铅蓄电池收集、运输、贮存过程满足环境保护相关要求，符合国家安全生产、职业健康、交通运输、消防等法规标准的相关要求。</w:t>
                  </w:r>
                </w:p>
              </w:tc>
              <w:tc>
                <w:tcPr>
                  <w:tcW w:w="620" w:type="dxa"/>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dxa"/>
                  <w:vMerge w:val="continue"/>
                  <w:vAlign w:val="center"/>
                </w:tcPr>
                <w:p>
                  <w:pPr>
                    <w:pStyle w:val="28"/>
                    <w:keepNext w:val="0"/>
                    <w:keepLines w:val="0"/>
                    <w:suppressLineNumbers w:val="0"/>
                    <w:bidi w:val="0"/>
                    <w:spacing w:before="0" w:beforeAutospacing="0" w:after="0" w:afterAutospacing="0"/>
                    <w:ind w:left="0" w:right="0"/>
                    <w:rPr>
                      <w:color w:val="auto"/>
                    </w:rPr>
                  </w:pPr>
                </w:p>
              </w:tc>
              <w:tc>
                <w:tcPr>
                  <w:tcW w:w="3010" w:type="dxa"/>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废铅蓄电池收集企业和运输企业应组织收集人员、运输车辆驾驶员等相关人员参加危险废物环境管理和环境事故应急救援方面的培训。</w:t>
                  </w:r>
                </w:p>
              </w:tc>
              <w:tc>
                <w:tcPr>
                  <w:tcW w:w="2678" w:type="dxa"/>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建设单位定期组织收集人员、运输车辆驾驶员等相关人员参加危险废物环境管理和环境事故应急救援方面的培训。</w:t>
                  </w:r>
                </w:p>
              </w:tc>
              <w:tc>
                <w:tcPr>
                  <w:tcW w:w="620" w:type="dxa"/>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dxa"/>
                  <w:vMerge w:val="restart"/>
                  <w:vAlign w:val="center"/>
                </w:tcPr>
                <w:p>
                  <w:pPr>
                    <w:pStyle w:val="28"/>
                    <w:keepNext w:val="0"/>
                    <w:keepLines w:val="0"/>
                    <w:suppressLineNumbers w:val="0"/>
                    <w:bidi w:val="0"/>
                    <w:spacing w:before="0" w:beforeAutospacing="0" w:after="0" w:afterAutospacing="0"/>
                    <w:ind w:left="0" w:right="0"/>
                    <w:rPr>
                      <w:color w:val="auto"/>
                    </w:rPr>
                  </w:pPr>
                  <w:r>
                    <w:rPr>
                      <w:color w:val="auto"/>
                    </w:rPr>
                    <w:t>收集</w:t>
                  </w:r>
                </w:p>
              </w:tc>
              <w:tc>
                <w:tcPr>
                  <w:tcW w:w="3010" w:type="dxa"/>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铅蓄电池生产企业应采取自主回收、联合回收或委托回收模式，通过企业自有销售渠道或再生铅企业、专业收集企业在消费末端建立的网络收集废铅蓄电池，可采用“销一收一”等方式提高收集率。再生铅企业可通过自建，或者与专业收集企业合作，建设网络收集废铅蓄电池。</w:t>
                  </w:r>
                </w:p>
              </w:tc>
              <w:tc>
                <w:tcPr>
                  <w:tcW w:w="2678" w:type="dxa"/>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本项目建成运营后，主要对周边地区产生的废铅蓄电池统一集中回收、贮存后送有资质的回收企业进行处置。</w:t>
                  </w:r>
                </w:p>
              </w:tc>
              <w:tc>
                <w:tcPr>
                  <w:tcW w:w="620" w:type="dxa"/>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dxa"/>
                  <w:vMerge w:val="continue"/>
                  <w:vAlign w:val="center"/>
                </w:tcPr>
                <w:p>
                  <w:pPr>
                    <w:pStyle w:val="28"/>
                    <w:keepNext w:val="0"/>
                    <w:keepLines w:val="0"/>
                    <w:suppressLineNumbers w:val="0"/>
                    <w:bidi w:val="0"/>
                    <w:spacing w:before="0" w:beforeAutospacing="0" w:after="0" w:afterAutospacing="0"/>
                    <w:ind w:left="0" w:right="0"/>
                    <w:rPr>
                      <w:color w:val="auto"/>
                    </w:rPr>
                  </w:pPr>
                </w:p>
              </w:tc>
              <w:tc>
                <w:tcPr>
                  <w:tcW w:w="3010" w:type="dxa"/>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收集企业可在收集区域内设置废铅蓄电池收集网点，建设废铅蓄电池集中转运点，以利于中转。</w:t>
                  </w:r>
                </w:p>
              </w:tc>
              <w:tc>
                <w:tcPr>
                  <w:tcW w:w="2678" w:type="dxa"/>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本项目直接从电池销售点、电动车维修店及汽车修理厂等产废单位收集废铅蓄电池</w:t>
                  </w:r>
                  <w:r>
                    <w:rPr>
                      <w:rFonts w:hint="eastAsia"/>
                      <w:color w:val="auto"/>
                      <w:lang w:eastAsia="zh-CN"/>
                    </w:rPr>
                    <w:t>。</w:t>
                  </w:r>
                </w:p>
              </w:tc>
              <w:tc>
                <w:tcPr>
                  <w:tcW w:w="620" w:type="dxa"/>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dxa"/>
                  <w:vMerge w:val="continue"/>
                  <w:vAlign w:val="center"/>
                </w:tcPr>
                <w:p>
                  <w:pPr>
                    <w:pStyle w:val="28"/>
                    <w:keepNext w:val="0"/>
                    <w:keepLines w:val="0"/>
                    <w:suppressLineNumbers w:val="0"/>
                    <w:bidi w:val="0"/>
                    <w:spacing w:before="0" w:beforeAutospacing="0" w:after="0" w:afterAutospacing="0"/>
                    <w:ind w:left="0" w:right="0"/>
                    <w:rPr>
                      <w:color w:val="auto"/>
                    </w:rPr>
                  </w:pPr>
                </w:p>
              </w:tc>
              <w:tc>
                <w:tcPr>
                  <w:tcW w:w="3010" w:type="dxa"/>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废铅蓄电池收集过程应采取以下防范措施，避免发生环境污染事故：</w:t>
                  </w:r>
                </w:p>
                <w:p>
                  <w:pPr>
                    <w:pStyle w:val="28"/>
                    <w:keepNext w:val="0"/>
                    <w:keepLines w:val="0"/>
                    <w:suppressLineNumbers w:val="0"/>
                    <w:bidi w:val="0"/>
                    <w:spacing w:before="0" w:beforeAutospacing="0" w:after="0" w:afterAutospacing="0"/>
                    <w:ind w:left="0" w:right="0"/>
                    <w:jc w:val="both"/>
                    <w:rPr>
                      <w:color w:val="auto"/>
                    </w:rPr>
                  </w:pPr>
                  <w:r>
                    <w:rPr>
                      <w:color w:val="auto"/>
                    </w:rPr>
                    <w:t>a）废铅蓄电池应进行合理包装，防止运输过程破损和电解质泄漏。</w:t>
                  </w:r>
                </w:p>
                <w:p>
                  <w:pPr>
                    <w:pStyle w:val="28"/>
                    <w:keepNext w:val="0"/>
                    <w:keepLines w:val="0"/>
                    <w:suppressLineNumbers w:val="0"/>
                    <w:bidi w:val="0"/>
                    <w:spacing w:before="0" w:beforeAutospacing="0" w:after="0" w:afterAutospacing="0"/>
                    <w:ind w:left="0" w:right="0"/>
                    <w:jc w:val="both"/>
                    <w:rPr>
                      <w:color w:val="auto"/>
                    </w:rPr>
                  </w:pPr>
                  <w:r>
                    <w:rPr>
                      <w:color w:val="auto"/>
                    </w:rPr>
                    <w:t>b）废铅蓄电池有破损或电解质渗漏的，应将废铅蓄电池及其渗漏液贮存于耐酸容器中。</w:t>
                  </w:r>
                </w:p>
              </w:tc>
              <w:tc>
                <w:tcPr>
                  <w:tcW w:w="2678" w:type="dxa"/>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本项目废铅蓄电池合理包装，</w:t>
                  </w:r>
                  <w:r>
                    <w:rPr>
                      <w:rFonts w:hint="eastAsia"/>
                      <w:color w:val="auto"/>
                      <w:lang w:val="en-US" w:eastAsia="zh-CN"/>
                    </w:rPr>
                    <w:t>完整电池先用塑料薄膜包装后再装入</w:t>
                  </w:r>
                  <w:r>
                    <w:rPr>
                      <w:color w:val="auto"/>
                      <w:highlight w:val="none"/>
                    </w:rPr>
                    <w:t>塑料托盘</w:t>
                  </w:r>
                  <w:r>
                    <w:rPr>
                      <w:rFonts w:hint="eastAsia"/>
                      <w:color w:val="auto"/>
                      <w:highlight w:val="none"/>
                      <w:lang w:val="en-US" w:eastAsia="zh-CN"/>
                    </w:rPr>
                    <w:t>中储存</w:t>
                  </w:r>
                  <w:r>
                    <w:rPr>
                      <w:rFonts w:hint="eastAsia"/>
                      <w:color w:val="auto"/>
                    </w:rPr>
                    <w:t>；破损的废铅蓄电池</w:t>
                  </w:r>
                  <w:r>
                    <w:rPr>
                      <w:rFonts w:hint="eastAsia"/>
                      <w:color w:val="auto"/>
                      <w:lang w:val="en-US" w:eastAsia="zh-CN"/>
                    </w:rPr>
                    <w:t>采用</w:t>
                  </w:r>
                  <w:r>
                    <w:rPr>
                      <w:color w:val="auto"/>
                    </w:rPr>
                    <w:t>破损电池储存</w:t>
                  </w:r>
                  <w:r>
                    <w:rPr>
                      <w:rFonts w:hint="eastAsia"/>
                      <w:color w:val="auto"/>
                    </w:rPr>
                    <w:t>箱</w:t>
                  </w:r>
                  <w:r>
                    <w:rPr>
                      <w:rFonts w:hint="eastAsia"/>
                      <w:color w:val="auto"/>
                      <w:lang w:val="en-US" w:eastAsia="zh-CN"/>
                    </w:rPr>
                    <w:t>放置。危废间</w:t>
                  </w:r>
                  <w:r>
                    <w:rPr>
                      <w:color w:val="auto"/>
                    </w:rPr>
                    <w:t>配有电解液渗漏收集贮存</w:t>
                  </w:r>
                  <w:r>
                    <w:rPr>
                      <w:rFonts w:hint="eastAsia"/>
                      <w:color w:val="auto"/>
                    </w:rPr>
                    <w:t>容器</w:t>
                  </w:r>
                  <w:r>
                    <w:rPr>
                      <w:color w:val="auto"/>
                    </w:rPr>
                    <w:t>。</w:t>
                  </w:r>
                </w:p>
              </w:tc>
              <w:tc>
                <w:tcPr>
                  <w:tcW w:w="620" w:type="dxa"/>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dxa"/>
                  <w:vMerge w:val="restart"/>
                  <w:vAlign w:val="center"/>
                </w:tcPr>
                <w:p>
                  <w:pPr>
                    <w:pStyle w:val="28"/>
                    <w:keepNext w:val="0"/>
                    <w:keepLines w:val="0"/>
                    <w:suppressLineNumbers w:val="0"/>
                    <w:bidi w:val="0"/>
                    <w:spacing w:before="0" w:beforeAutospacing="0" w:after="0" w:afterAutospacing="0"/>
                    <w:ind w:left="0" w:right="0"/>
                    <w:rPr>
                      <w:color w:val="auto"/>
                    </w:rPr>
                  </w:pPr>
                  <w:r>
                    <w:rPr>
                      <w:color w:val="auto"/>
                    </w:rPr>
                    <w:t>运输</w:t>
                  </w:r>
                </w:p>
              </w:tc>
              <w:tc>
                <w:tcPr>
                  <w:tcW w:w="3010" w:type="dxa"/>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rPr>
                  </w:pPr>
                  <w:r>
                    <w:rPr>
                      <w:rFonts w:hint="eastAsia" w:ascii="Times New Roman" w:hAnsi="Times New Roman" w:eastAsia="宋体"/>
                      <w:color w:val="auto"/>
                    </w:rPr>
                    <w:t>废铅蓄电池运输企业应执行国家有关危险货物运输管理的规定，具有对危险废物包装发生破裂、泄漏或其他事故进行处理的能力。运输废铅蓄电池应采用符合要求的专用运输工具。公路运输车辆应按GB13392的规定悬挂相应标志；铁路运输和水路运输时，应在集装箱外按GB190的规定悬挂相应标志。</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rPr>
                  </w:pPr>
                  <w:r>
                    <w:rPr>
                      <w:rFonts w:hint="eastAsia" w:ascii="Times New Roman" w:hAnsi="Times New Roman" w:eastAsia="宋体"/>
                      <w:color w:val="auto"/>
                    </w:rPr>
                    <w:t>满足国家交通运输、环境保护相关规定条件的废铅蓄电池，豁免运输企业资质、专业车辆和从业人员资格等道路危险货物运输管理要求。</w:t>
                  </w:r>
                </w:p>
              </w:tc>
              <w:tc>
                <w:tcPr>
                  <w:tcW w:w="2678" w:type="dxa"/>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rPr>
                  </w:pPr>
                  <w:r>
                    <w:rPr>
                      <w:rFonts w:hint="eastAsia" w:ascii="Times New Roman" w:hAnsi="Times New Roman" w:eastAsia="宋体"/>
                      <w:color w:val="auto"/>
                    </w:rPr>
                    <w:t>本项目只涉及公路运输，运输车辆应按GB13392的规定悬挂相应标志。</w:t>
                  </w:r>
                </w:p>
              </w:tc>
              <w:tc>
                <w:tcPr>
                  <w:tcW w:w="620" w:type="dxa"/>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dxa"/>
                  <w:vMerge w:val="continue"/>
                  <w:vAlign w:val="center"/>
                </w:tcPr>
                <w:p>
                  <w:pPr>
                    <w:pStyle w:val="28"/>
                    <w:keepNext w:val="0"/>
                    <w:keepLines w:val="0"/>
                    <w:suppressLineNumbers w:val="0"/>
                    <w:bidi w:val="0"/>
                    <w:spacing w:before="0" w:beforeAutospacing="0" w:after="0" w:afterAutospacing="0"/>
                    <w:ind w:left="0" w:right="0"/>
                    <w:rPr>
                      <w:color w:val="auto"/>
                    </w:rPr>
                  </w:pPr>
                </w:p>
              </w:tc>
              <w:tc>
                <w:tcPr>
                  <w:tcW w:w="3010" w:type="dxa"/>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rPr>
                  </w:pPr>
                  <w:r>
                    <w:rPr>
                      <w:rFonts w:hint="eastAsia" w:ascii="Times New Roman" w:hAnsi="Times New Roman" w:eastAsia="宋体"/>
                      <w:color w:val="auto"/>
                    </w:rPr>
                    <w:t>废铅蓄电池运输企业应制定详细的运输方案及路线，并制定事故应急预案，配备事故应急及个人防护设备，以保证在收集、运输过程中发生事故时能有效防止对环境的污染。</w:t>
                  </w:r>
                </w:p>
              </w:tc>
              <w:tc>
                <w:tcPr>
                  <w:tcW w:w="2678" w:type="dxa"/>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rPr>
                  </w:pPr>
                  <w:r>
                    <w:rPr>
                      <w:rFonts w:hint="eastAsia"/>
                      <w:color w:val="auto"/>
                      <w:highlight w:val="none"/>
                    </w:rPr>
                    <w:t>由于废铅蓄电池收集点多而分散，因此由各收集点至储存仓库不具备固定线路的条件，没有固定路线。但转运路线确定的总体原则为：转运车辆运输途中不得经过医院、学校和居民区等人口密集区，避开饮用水水源保护区、自然保护区等敏感区域。</w:t>
                  </w:r>
                  <w:r>
                    <w:rPr>
                      <w:rFonts w:hint="eastAsia" w:ascii="Times New Roman" w:hAnsi="Times New Roman" w:eastAsia="宋体"/>
                      <w:color w:val="auto"/>
                      <w:highlight w:val="none"/>
                    </w:rPr>
                    <w:t>并制定事故应急预案，配备事故应急及个人防护设备，以保证在收集、运输过程中发生事故时能有效防止对环境的污染。</w:t>
                  </w:r>
                </w:p>
              </w:tc>
              <w:tc>
                <w:tcPr>
                  <w:tcW w:w="620" w:type="dxa"/>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dxa"/>
                  <w:vMerge w:val="continue"/>
                  <w:vAlign w:val="center"/>
                </w:tcPr>
                <w:p>
                  <w:pPr>
                    <w:pStyle w:val="28"/>
                    <w:keepNext w:val="0"/>
                    <w:keepLines w:val="0"/>
                    <w:suppressLineNumbers w:val="0"/>
                    <w:bidi w:val="0"/>
                    <w:spacing w:before="0" w:beforeAutospacing="0" w:after="0" w:afterAutospacing="0"/>
                    <w:ind w:left="0" w:right="0"/>
                    <w:rPr>
                      <w:color w:val="auto"/>
                    </w:rPr>
                  </w:pPr>
                </w:p>
              </w:tc>
              <w:tc>
                <w:tcPr>
                  <w:tcW w:w="3010" w:type="dxa"/>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rPr>
                  </w:pPr>
                  <w:r>
                    <w:rPr>
                      <w:rFonts w:hint="eastAsia" w:ascii="Times New Roman" w:hAnsi="Times New Roman" w:eastAsia="宋体"/>
                      <w:color w:val="auto"/>
                    </w:rPr>
                    <w:t>废铅蓄电池运输时应采取有效的包装措施，破损的废铅蓄电池应放置于耐腐蚀的容器内，并采取必要的防风、防雨、防渗漏、防遗撒措施。</w:t>
                  </w:r>
                </w:p>
              </w:tc>
              <w:tc>
                <w:tcPr>
                  <w:tcW w:w="2678" w:type="dxa"/>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rPr>
                  </w:pPr>
                  <w:r>
                    <w:rPr>
                      <w:rFonts w:hint="eastAsia" w:ascii="Times New Roman" w:hAnsi="Times New Roman" w:eastAsia="宋体"/>
                      <w:color w:val="auto"/>
                    </w:rPr>
                    <w:t>废铅蓄电池运输时采取有效的包装措施，破损的废铅蓄电池放置于</w:t>
                  </w:r>
                  <w:r>
                    <w:rPr>
                      <w:rFonts w:hint="eastAsia"/>
                      <w:color w:val="auto"/>
                      <w:lang w:val="en-US" w:eastAsia="zh-CN"/>
                    </w:rPr>
                    <w:t>带盖的</w:t>
                  </w:r>
                  <w:r>
                    <w:rPr>
                      <w:rFonts w:hint="eastAsia" w:ascii="Times New Roman" w:hAnsi="Times New Roman" w:eastAsia="宋体"/>
                      <w:color w:val="auto"/>
                    </w:rPr>
                    <w:t>耐腐蚀的</w:t>
                  </w:r>
                  <w:r>
                    <w:rPr>
                      <w:color w:val="auto"/>
                    </w:rPr>
                    <w:t>破损电池储存</w:t>
                  </w:r>
                  <w:r>
                    <w:rPr>
                      <w:rFonts w:hint="eastAsia"/>
                      <w:color w:val="auto"/>
                    </w:rPr>
                    <w:t>箱</w:t>
                  </w:r>
                  <w:r>
                    <w:rPr>
                      <w:rFonts w:hint="eastAsia" w:ascii="Times New Roman" w:hAnsi="Times New Roman" w:eastAsia="宋体"/>
                      <w:color w:val="auto"/>
                    </w:rPr>
                    <w:t>内，</w:t>
                  </w:r>
                  <w:r>
                    <w:rPr>
                      <w:rFonts w:hint="eastAsia"/>
                      <w:color w:val="auto"/>
                      <w:lang w:val="en-US" w:eastAsia="zh-CN"/>
                    </w:rPr>
                    <w:t>破损电池存储区</w:t>
                  </w:r>
                  <w:r>
                    <w:rPr>
                      <w:rFonts w:hint="eastAsia" w:ascii="Times New Roman" w:hAnsi="Times New Roman" w:eastAsia="宋体"/>
                      <w:color w:val="auto"/>
                    </w:rPr>
                    <w:t>并采取必要的防风、防雨、防渗漏、防遗撒措施。</w:t>
                  </w:r>
                </w:p>
              </w:tc>
              <w:tc>
                <w:tcPr>
                  <w:tcW w:w="620" w:type="dxa"/>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dxa"/>
                  <w:vMerge w:val="restart"/>
                  <w:vAlign w:val="center"/>
                </w:tcPr>
                <w:p>
                  <w:pPr>
                    <w:pStyle w:val="28"/>
                    <w:keepNext w:val="0"/>
                    <w:keepLines w:val="0"/>
                    <w:suppressLineNumbers w:val="0"/>
                    <w:bidi w:val="0"/>
                    <w:spacing w:before="0" w:beforeAutospacing="0" w:after="0" w:afterAutospacing="0"/>
                    <w:ind w:left="0" w:right="0"/>
                    <w:rPr>
                      <w:color w:val="auto"/>
                    </w:rPr>
                  </w:pPr>
                  <w:r>
                    <w:rPr>
                      <w:color w:val="auto"/>
                    </w:rPr>
                    <w:t>暂存和贮存</w:t>
                  </w:r>
                </w:p>
              </w:tc>
              <w:tc>
                <w:tcPr>
                  <w:tcW w:w="3010" w:type="dxa"/>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rPr>
                  </w:pPr>
                  <w:r>
                    <w:rPr>
                      <w:rFonts w:hint="eastAsia" w:ascii="Times New Roman" w:hAnsi="Times New Roman" w:eastAsia="宋体"/>
                      <w:color w:val="auto"/>
                    </w:rPr>
                    <w:t>基于废铅蓄电池收集过程的特殊性及其环境风险，分为收集网点暂存和集中转运点贮存两种方式。</w:t>
                  </w:r>
                </w:p>
              </w:tc>
              <w:tc>
                <w:tcPr>
                  <w:tcW w:w="2678" w:type="dxa"/>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lang w:eastAsia="zh-CN"/>
                    </w:rPr>
                  </w:pPr>
                  <w:r>
                    <w:rPr>
                      <w:rFonts w:hint="eastAsia" w:ascii="Times New Roman" w:hAnsi="Times New Roman" w:eastAsia="宋体"/>
                      <w:color w:val="auto"/>
                    </w:rPr>
                    <w:t>本项目为集中转运点贮存</w:t>
                  </w:r>
                  <w:r>
                    <w:rPr>
                      <w:rFonts w:hint="eastAsia"/>
                      <w:color w:val="auto"/>
                      <w:lang w:eastAsia="zh-CN"/>
                    </w:rPr>
                    <w:t>。</w:t>
                  </w:r>
                </w:p>
              </w:tc>
              <w:tc>
                <w:tcPr>
                  <w:tcW w:w="620" w:type="dxa"/>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dxa"/>
                  <w:vMerge w:val="continue"/>
                  <w:vAlign w:val="center"/>
                </w:tcPr>
                <w:p>
                  <w:pPr>
                    <w:pStyle w:val="28"/>
                    <w:keepNext w:val="0"/>
                    <w:keepLines w:val="0"/>
                    <w:suppressLineNumbers w:val="0"/>
                    <w:bidi w:val="0"/>
                    <w:spacing w:before="0" w:beforeAutospacing="0" w:after="0" w:afterAutospacing="0"/>
                    <w:ind w:left="0" w:right="0"/>
                    <w:rPr>
                      <w:color w:val="auto"/>
                    </w:rPr>
                  </w:pPr>
                </w:p>
              </w:tc>
              <w:tc>
                <w:tcPr>
                  <w:tcW w:w="3010" w:type="dxa"/>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rPr>
                  </w:pPr>
                  <w:r>
                    <w:rPr>
                      <w:rFonts w:hint="eastAsia" w:ascii="Times New Roman" w:hAnsi="Times New Roman" w:eastAsia="宋体"/>
                      <w:color w:val="auto"/>
                    </w:rPr>
                    <w:t>收集网点暂存时间应不超过90天，重量应不超过3吨；集中转运点贮存时间最长不超过1年，贮存规模应小于贮存场所的设计容量。</w:t>
                  </w:r>
                </w:p>
              </w:tc>
              <w:tc>
                <w:tcPr>
                  <w:tcW w:w="2678" w:type="dxa"/>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rPr>
                  </w:pPr>
                  <w:r>
                    <w:rPr>
                      <w:rFonts w:hint="eastAsia" w:ascii="Times New Roman" w:hAnsi="Times New Roman" w:eastAsia="宋体"/>
                      <w:color w:val="auto"/>
                    </w:rPr>
                    <w:t>本项目贮存时间最长不超过</w:t>
                  </w:r>
                  <w:r>
                    <w:rPr>
                      <w:rFonts w:hint="eastAsia"/>
                      <w:color w:val="auto"/>
                      <w:lang w:val="en-US" w:eastAsia="zh-CN"/>
                    </w:rPr>
                    <w:t>3天</w:t>
                  </w:r>
                  <w:r>
                    <w:rPr>
                      <w:rFonts w:hint="eastAsia" w:ascii="Times New Roman" w:hAnsi="Times New Roman" w:eastAsia="宋体"/>
                      <w:color w:val="auto"/>
                    </w:rPr>
                    <w:t>，贮存规模小于贮存场所的设计容量。</w:t>
                  </w:r>
                </w:p>
              </w:tc>
              <w:tc>
                <w:tcPr>
                  <w:tcW w:w="620" w:type="dxa"/>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dxa"/>
                  <w:vMerge w:val="continue"/>
                  <w:vAlign w:val="center"/>
                </w:tcPr>
                <w:p>
                  <w:pPr>
                    <w:pStyle w:val="28"/>
                    <w:keepNext w:val="0"/>
                    <w:keepLines w:val="0"/>
                    <w:suppressLineNumbers w:val="0"/>
                    <w:bidi w:val="0"/>
                    <w:spacing w:before="0" w:beforeAutospacing="0" w:after="0" w:afterAutospacing="0"/>
                    <w:ind w:left="0" w:right="0"/>
                    <w:rPr>
                      <w:color w:val="auto"/>
                    </w:rPr>
                  </w:pPr>
                </w:p>
              </w:tc>
              <w:tc>
                <w:tcPr>
                  <w:tcW w:w="3010" w:type="dxa"/>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rPr>
                  </w:pPr>
                  <w:r>
                    <w:rPr>
                      <w:rFonts w:hint="eastAsia" w:ascii="Times New Roman" w:hAnsi="Times New Roman" w:eastAsia="宋体"/>
                      <w:color w:val="auto"/>
                    </w:rPr>
                    <w:t>废铅蓄电池集中转运点贮存设施应开展环境影响评价，并参照GB18597的有关要求进行建设和管理，符合以下要求：</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rPr>
                  </w:pPr>
                  <w:r>
                    <w:rPr>
                      <w:rFonts w:hint="eastAsia" w:ascii="Times New Roman" w:hAnsi="Times New Roman" w:eastAsia="宋体"/>
                      <w:color w:val="auto"/>
                    </w:rPr>
                    <w:t>a）应防雨，必须远离其他水源和热源。</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rPr>
                  </w:pPr>
                  <w:r>
                    <w:rPr>
                      <w:rFonts w:hint="eastAsia" w:ascii="Times New Roman" w:hAnsi="Times New Roman" w:eastAsia="宋体"/>
                      <w:color w:val="auto"/>
                    </w:rPr>
                    <w:t>b）面积不少于30</w:t>
                  </w:r>
                  <w:r>
                    <w:rPr>
                      <w:rFonts w:hint="eastAsia" w:ascii="Times New Roman" w:hAnsi="Times New Roman" w:eastAsia="宋体"/>
                      <w:color w:val="auto"/>
                      <w:lang w:eastAsia="zh-CN"/>
                    </w:rPr>
                    <w:t>m²</w:t>
                  </w:r>
                  <w:r>
                    <w:rPr>
                      <w:rFonts w:hint="eastAsia" w:ascii="Times New Roman" w:hAnsi="Times New Roman" w:eastAsia="宋体"/>
                      <w:color w:val="auto"/>
                    </w:rPr>
                    <w:t>，有硬化地面和必要的防渗措施。</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rPr>
                  </w:pPr>
                  <w:r>
                    <w:rPr>
                      <w:rFonts w:hint="eastAsia" w:ascii="Times New Roman" w:hAnsi="Times New Roman" w:eastAsia="宋体"/>
                      <w:color w:val="auto"/>
                    </w:rPr>
                    <w:t>c）应设有截流槽、导流</w:t>
                  </w:r>
                  <w:r>
                    <w:rPr>
                      <w:rFonts w:hint="eastAsia" w:ascii="Times New Roman" w:hAnsi="Times New Roman" w:eastAsia="宋体"/>
                      <w:color w:val="auto"/>
                      <w:lang w:val="en-US" w:eastAsia="zh-CN"/>
                    </w:rPr>
                    <w:t>槽</w:t>
                  </w:r>
                  <w:r>
                    <w:rPr>
                      <w:rFonts w:hint="eastAsia" w:ascii="Times New Roman" w:hAnsi="Times New Roman" w:eastAsia="宋体"/>
                      <w:color w:val="auto"/>
                    </w:rPr>
                    <w:t>、临时应急池和废液收集系统。</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rPr>
                  </w:pPr>
                  <w:r>
                    <w:rPr>
                      <w:rFonts w:hint="eastAsia" w:ascii="Times New Roman" w:hAnsi="Times New Roman" w:eastAsia="宋体"/>
                      <w:color w:val="auto"/>
                    </w:rPr>
                    <w:t>d）应配备通讯设备、计量设备、照明设施、视频监控设施。</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rPr>
                  </w:pPr>
                  <w:r>
                    <w:rPr>
                      <w:rFonts w:hint="eastAsia" w:ascii="Times New Roman" w:hAnsi="Times New Roman" w:eastAsia="宋体"/>
                      <w:color w:val="auto"/>
                    </w:rPr>
                    <w:t>e）应设立警示标志，只允许收集废铅蓄电池的专门人员进入。</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rPr>
                  </w:pPr>
                  <w:r>
                    <w:rPr>
                      <w:rFonts w:hint="eastAsia" w:ascii="Times New Roman" w:hAnsi="Times New Roman" w:eastAsia="宋体"/>
                      <w:color w:val="auto"/>
                    </w:rPr>
                    <w:t>f）应有排风换气系统，保证良好通风。</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rPr>
                  </w:pPr>
                  <w:r>
                    <w:rPr>
                      <w:rFonts w:hint="eastAsia" w:ascii="Times New Roman" w:hAnsi="Times New Roman" w:eastAsia="宋体"/>
                      <w:color w:val="auto"/>
                    </w:rPr>
                    <w:t>g）应配备</w:t>
                  </w:r>
                  <w:bookmarkStart w:id="94" w:name="OLE_LINK253"/>
                  <w:r>
                    <w:rPr>
                      <w:rFonts w:hint="eastAsia" w:ascii="Times New Roman" w:hAnsi="Times New Roman" w:eastAsia="宋体"/>
                      <w:color w:val="auto"/>
                    </w:rPr>
                    <w:t>耐腐蚀、不易破损变形</w:t>
                  </w:r>
                  <w:bookmarkEnd w:id="94"/>
                  <w:r>
                    <w:rPr>
                      <w:rFonts w:hint="eastAsia" w:ascii="Times New Roman" w:hAnsi="Times New Roman" w:eastAsia="宋体"/>
                      <w:color w:val="auto"/>
                    </w:rPr>
                    <w:t>的专用容器，用于单独分区存放开口式废铅蓄电池和破损的密闭式免维护废铅蓄电池。</w:t>
                  </w:r>
                </w:p>
              </w:tc>
              <w:tc>
                <w:tcPr>
                  <w:tcW w:w="2678" w:type="dxa"/>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highlight w:val="none"/>
                    </w:rPr>
                  </w:pPr>
                  <w:r>
                    <w:rPr>
                      <w:rFonts w:hint="eastAsia" w:ascii="Times New Roman" w:hAnsi="Times New Roman" w:eastAsia="宋体"/>
                      <w:color w:val="auto"/>
                    </w:rPr>
                    <w:t>废铅蓄电池的贮存设施应参照GB18597的有关要求进行建设和</w:t>
                  </w:r>
                  <w:r>
                    <w:rPr>
                      <w:rFonts w:hint="eastAsia" w:ascii="Times New Roman" w:hAnsi="Times New Roman" w:eastAsia="宋体"/>
                      <w:color w:val="auto"/>
                      <w:highlight w:val="none"/>
                    </w:rPr>
                    <w:t>管理。符合以下要求：</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highlight w:val="none"/>
                    </w:rPr>
                  </w:pPr>
                  <w:r>
                    <w:rPr>
                      <w:rFonts w:hint="eastAsia" w:ascii="Times New Roman" w:hAnsi="Times New Roman" w:eastAsia="宋体"/>
                      <w:color w:val="auto"/>
                      <w:highlight w:val="none"/>
                    </w:rPr>
                    <w:t>a)废铅蓄电池在室内贮存，满足防雨要求，远离其他水源和热源。</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highlight w:val="none"/>
                    </w:rPr>
                  </w:pPr>
                  <w:r>
                    <w:rPr>
                      <w:rFonts w:hint="eastAsia" w:ascii="Times New Roman" w:hAnsi="Times New Roman" w:eastAsia="宋体"/>
                      <w:color w:val="auto"/>
                      <w:highlight w:val="none"/>
                    </w:rPr>
                    <w:t>b）</w:t>
                  </w:r>
                  <w:r>
                    <w:rPr>
                      <w:rFonts w:hint="eastAsia" w:ascii="Times New Roman" w:hAnsi="Times New Roman" w:eastAsia="宋体"/>
                      <w:color w:val="auto"/>
                      <w:highlight w:val="none"/>
                      <w:lang w:val="en-US" w:eastAsia="zh-CN"/>
                    </w:rPr>
                    <w:t>本项目</w:t>
                  </w:r>
                  <w:r>
                    <w:rPr>
                      <w:rFonts w:hint="eastAsia"/>
                      <w:color w:val="auto"/>
                      <w:highlight w:val="none"/>
                      <w:lang w:val="en-US" w:eastAsia="zh-CN"/>
                    </w:rPr>
                    <w:t>储存电池</w:t>
                  </w:r>
                  <w:r>
                    <w:rPr>
                      <w:rFonts w:hint="eastAsia" w:ascii="Times New Roman" w:hAnsi="Times New Roman" w:eastAsia="宋体"/>
                      <w:color w:val="auto"/>
                      <w:highlight w:val="none"/>
                    </w:rPr>
                    <w:t>面积为</w:t>
                  </w:r>
                  <w:r>
                    <w:rPr>
                      <w:rFonts w:hint="eastAsia"/>
                      <w:color w:val="auto"/>
                      <w:highlight w:val="none"/>
                      <w:lang w:val="en-US" w:eastAsia="zh-CN"/>
                    </w:rPr>
                    <w:t>56</w:t>
                  </w:r>
                  <w:r>
                    <w:rPr>
                      <w:rFonts w:hint="eastAsia" w:ascii="Times New Roman" w:hAnsi="Times New Roman" w:eastAsia="宋体"/>
                      <w:color w:val="auto"/>
                      <w:highlight w:val="none"/>
                    </w:rPr>
                    <w:t>0</w:t>
                  </w:r>
                  <w:r>
                    <w:rPr>
                      <w:rFonts w:hint="eastAsia" w:ascii="Times New Roman" w:hAnsi="Times New Roman" w:eastAsia="宋体"/>
                      <w:color w:val="auto"/>
                      <w:highlight w:val="none"/>
                      <w:lang w:eastAsia="zh-CN"/>
                    </w:rPr>
                    <w:t>m²</w:t>
                  </w:r>
                  <w:r>
                    <w:rPr>
                      <w:rFonts w:hint="eastAsia" w:ascii="Times New Roman" w:hAnsi="Times New Roman" w:eastAsia="宋体"/>
                      <w:color w:val="auto"/>
                      <w:highlight w:val="none"/>
                    </w:rPr>
                    <w:t>，地面硬化并采取防渗措施。</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highlight w:val="none"/>
                    </w:rPr>
                  </w:pPr>
                  <w:r>
                    <w:rPr>
                      <w:rFonts w:hint="eastAsia" w:ascii="Times New Roman" w:hAnsi="Times New Roman" w:eastAsia="宋体"/>
                      <w:color w:val="auto"/>
                      <w:highlight w:val="none"/>
                    </w:rPr>
                    <w:t>c）</w:t>
                  </w:r>
                  <w:r>
                    <w:rPr>
                      <w:rFonts w:hint="eastAsia" w:ascii="Times New Roman" w:hAnsi="Times New Roman" w:eastAsia="宋体"/>
                      <w:color w:val="auto"/>
                      <w:highlight w:val="none"/>
                      <w:lang w:eastAsia="zh-CN"/>
                    </w:rPr>
                    <w:t>暂存场所地面设置导流槽、堵截泄漏的围堰，</w:t>
                  </w:r>
                  <w:r>
                    <w:rPr>
                      <w:rFonts w:hint="eastAsia" w:ascii="Times New Roman" w:hAnsi="Times New Roman" w:eastAsia="宋体"/>
                      <w:color w:val="auto"/>
                      <w:highlight w:val="none"/>
                      <w:lang w:val="en-US" w:eastAsia="zh-CN"/>
                    </w:rPr>
                    <w:t>配备</w:t>
                  </w:r>
                  <w:r>
                    <w:rPr>
                      <w:rFonts w:hAnsiTheme="minorEastAsia" w:eastAsiaTheme="minorEastAsia"/>
                      <w:color w:val="auto"/>
                      <w:sz w:val="21"/>
                      <w:szCs w:val="21"/>
                      <w:highlight w:val="none"/>
                    </w:rPr>
                    <w:t>废液收集池（</w:t>
                  </w:r>
                  <w:r>
                    <w:rPr>
                      <w:rFonts w:eastAsiaTheme="minorEastAsia"/>
                      <w:color w:val="auto"/>
                      <w:sz w:val="21"/>
                      <w:szCs w:val="21"/>
                      <w:highlight w:val="none"/>
                    </w:rPr>
                    <w:t>0.5</w:t>
                  </w:r>
                  <w:r>
                    <w:rPr>
                      <w:rFonts w:hint="eastAsia" w:eastAsiaTheme="minorEastAsia"/>
                      <w:color w:val="auto"/>
                      <w:sz w:val="21"/>
                      <w:szCs w:val="21"/>
                      <w:highlight w:val="none"/>
                      <w:lang w:eastAsia="zh-CN"/>
                    </w:rPr>
                    <w:t>m³</w:t>
                  </w:r>
                  <w:r>
                    <w:rPr>
                      <w:rFonts w:hAnsiTheme="minorEastAsia" w:eastAsiaTheme="minorEastAsia"/>
                      <w:color w:val="auto"/>
                      <w:sz w:val="21"/>
                      <w:szCs w:val="21"/>
                      <w:highlight w:val="none"/>
                    </w:rPr>
                    <w:t>）、应急事故池</w:t>
                  </w:r>
                  <w:r>
                    <w:rPr>
                      <w:rFonts w:hAnsiTheme="minorEastAsia" w:eastAsiaTheme="minorEastAsia"/>
                      <w:color w:val="auto"/>
                      <w:kern w:val="0"/>
                      <w:sz w:val="21"/>
                      <w:szCs w:val="21"/>
                      <w:highlight w:val="none"/>
                    </w:rPr>
                    <w:t>（</w:t>
                  </w:r>
                  <w:r>
                    <w:rPr>
                      <w:rFonts w:eastAsiaTheme="minorEastAsia"/>
                      <w:color w:val="auto"/>
                      <w:sz w:val="21"/>
                      <w:szCs w:val="21"/>
                      <w:highlight w:val="none"/>
                    </w:rPr>
                    <w:t>40</w:t>
                  </w:r>
                  <w:r>
                    <w:rPr>
                      <w:rFonts w:hint="eastAsia" w:eastAsiaTheme="minorEastAsia"/>
                      <w:color w:val="auto"/>
                      <w:sz w:val="21"/>
                      <w:szCs w:val="21"/>
                      <w:highlight w:val="none"/>
                      <w:lang w:eastAsia="zh-CN"/>
                    </w:rPr>
                    <w:t>m³</w:t>
                  </w:r>
                  <w:r>
                    <w:rPr>
                      <w:rFonts w:hint="eastAsia" w:ascii="Times New Roman" w:hAnsi="Times New Roman" w:eastAsia="宋体"/>
                      <w:color w:val="auto"/>
                      <w:highlight w:val="none"/>
                    </w:rPr>
                    <w:t>。</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highlight w:val="none"/>
                    </w:rPr>
                  </w:pPr>
                  <w:r>
                    <w:rPr>
                      <w:rFonts w:hint="eastAsia" w:ascii="Times New Roman" w:hAnsi="Times New Roman" w:eastAsia="宋体"/>
                      <w:color w:val="auto"/>
                      <w:highlight w:val="none"/>
                    </w:rPr>
                    <w:t>d）配备通讯设备、计量设备、照明设施、视频监控设施。</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highlight w:val="none"/>
                    </w:rPr>
                  </w:pPr>
                  <w:r>
                    <w:rPr>
                      <w:rFonts w:hint="eastAsia" w:ascii="Times New Roman" w:hAnsi="Times New Roman" w:eastAsia="宋体"/>
                      <w:color w:val="auto"/>
                      <w:highlight w:val="none"/>
                    </w:rPr>
                    <w:t>e）设立警示标志，只允许收集废铅蓄电池的专门人员进入。</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highlight w:val="none"/>
                    </w:rPr>
                  </w:pPr>
                  <w:r>
                    <w:rPr>
                      <w:rFonts w:hint="eastAsia" w:ascii="Times New Roman" w:hAnsi="Times New Roman" w:eastAsia="宋体"/>
                      <w:color w:val="auto"/>
                      <w:highlight w:val="none"/>
                    </w:rPr>
                    <w:t>f）有排风换气系统，保证良好通风。</w:t>
                  </w:r>
                </w:p>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rPr>
                  </w:pPr>
                  <w:r>
                    <w:rPr>
                      <w:rFonts w:hint="eastAsia" w:ascii="Times New Roman" w:hAnsi="Times New Roman" w:eastAsia="宋体"/>
                      <w:color w:val="auto"/>
                      <w:highlight w:val="none"/>
                    </w:rPr>
                    <w:t>g）</w:t>
                  </w:r>
                  <w:r>
                    <w:rPr>
                      <w:rFonts w:hint="eastAsia"/>
                      <w:color w:val="auto"/>
                      <w:lang w:val="en-US" w:eastAsia="zh-CN"/>
                    </w:rPr>
                    <w:t>完整电池先用塑料薄膜包装后再装入</w:t>
                  </w:r>
                  <w:r>
                    <w:rPr>
                      <w:color w:val="auto"/>
                      <w:highlight w:val="none"/>
                    </w:rPr>
                    <w:t>塑料托盘</w:t>
                  </w:r>
                  <w:r>
                    <w:rPr>
                      <w:rFonts w:hint="eastAsia"/>
                      <w:color w:val="auto"/>
                      <w:highlight w:val="none"/>
                      <w:lang w:val="en-US" w:eastAsia="zh-CN"/>
                    </w:rPr>
                    <w:t>中储存</w:t>
                  </w:r>
                  <w:r>
                    <w:rPr>
                      <w:rFonts w:hint="eastAsia"/>
                      <w:color w:val="auto"/>
                    </w:rPr>
                    <w:t>；破损的废铅蓄电池</w:t>
                  </w:r>
                  <w:r>
                    <w:rPr>
                      <w:rFonts w:hint="eastAsia"/>
                      <w:color w:val="auto"/>
                      <w:lang w:val="en-US" w:eastAsia="zh-CN"/>
                    </w:rPr>
                    <w:t>采用</w:t>
                  </w:r>
                  <w:r>
                    <w:rPr>
                      <w:color w:val="auto"/>
                    </w:rPr>
                    <w:t>破损电池储存</w:t>
                  </w:r>
                  <w:r>
                    <w:rPr>
                      <w:rFonts w:hint="eastAsia"/>
                      <w:color w:val="auto"/>
                    </w:rPr>
                    <w:t>箱</w:t>
                  </w:r>
                  <w:r>
                    <w:rPr>
                      <w:rFonts w:hint="eastAsia"/>
                      <w:color w:val="auto"/>
                      <w:lang w:val="en-US" w:eastAsia="zh-CN"/>
                    </w:rPr>
                    <w:t>放置，</w:t>
                  </w:r>
                  <w:r>
                    <w:rPr>
                      <w:rFonts w:hint="eastAsia"/>
                      <w:color w:val="auto"/>
                      <w:lang w:eastAsia="zh-CN"/>
                    </w:rPr>
                    <w:t>容器</w:t>
                  </w:r>
                  <w:r>
                    <w:rPr>
                      <w:rFonts w:hint="eastAsia"/>
                      <w:color w:val="auto"/>
                      <w:lang w:val="en-US" w:eastAsia="zh-CN"/>
                    </w:rPr>
                    <w:t>均符合</w:t>
                  </w:r>
                  <w:r>
                    <w:rPr>
                      <w:rFonts w:hint="eastAsia" w:ascii="Times New Roman" w:hAnsi="Times New Roman" w:eastAsia="宋体"/>
                      <w:color w:val="auto"/>
                    </w:rPr>
                    <w:t>耐腐蚀、不易破损变形</w:t>
                  </w:r>
                  <w:r>
                    <w:rPr>
                      <w:rFonts w:hint="eastAsia"/>
                      <w:color w:val="auto"/>
                      <w:lang w:val="en-US" w:eastAsia="zh-CN"/>
                    </w:rPr>
                    <w:t>的要求</w:t>
                  </w:r>
                  <w:r>
                    <w:rPr>
                      <w:rFonts w:hint="eastAsia"/>
                      <w:color w:val="auto"/>
                      <w:lang w:eastAsia="zh-CN"/>
                    </w:rPr>
                    <w:t>。</w:t>
                  </w:r>
                </w:p>
              </w:tc>
              <w:tc>
                <w:tcPr>
                  <w:tcW w:w="620" w:type="dxa"/>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dxa"/>
                  <w:vMerge w:val="continue"/>
                  <w:vAlign w:val="center"/>
                </w:tcPr>
                <w:p>
                  <w:pPr>
                    <w:pStyle w:val="28"/>
                    <w:keepNext w:val="0"/>
                    <w:keepLines w:val="0"/>
                    <w:suppressLineNumbers w:val="0"/>
                    <w:bidi w:val="0"/>
                    <w:spacing w:before="0" w:beforeAutospacing="0" w:after="0" w:afterAutospacing="0"/>
                    <w:ind w:left="0" w:right="0"/>
                    <w:rPr>
                      <w:color w:val="auto"/>
                    </w:rPr>
                  </w:pPr>
                </w:p>
              </w:tc>
              <w:tc>
                <w:tcPr>
                  <w:tcW w:w="3010" w:type="dxa"/>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rPr>
                  </w:pPr>
                  <w:r>
                    <w:rPr>
                      <w:rFonts w:hint="eastAsia" w:ascii="Times New Roman" w:hAnsi="Times New Roman" w:eastAsia="宋体"/>
                      <w:color w:val="auto"/>
                    </w:rPr>
                    <w:t>禁止将废铅蓄电池堆放在露天场地，避免废铅蓄电池遭受雨淋水浸。</w:t>
                  </w:r>
                </w:p>
              </w:tc>
              <w:tc>
                <w:tcPr>
                  <w:tcW w:w="2678" w:type="dxa"/>
                  <w:vAlign w:val="center"/>
                </w:tcPr>
                <w:p>
                  <w:pPr>
                    <w:pStyle w:val="28"/>
                    <w:keepNext w:val="0"/>
                    <w:keepLines w:val="0"/>
                    <w:suppressLineNumbers w:val="0"/>
                    <w:bidi w:val="0"/>
                    <w:spacing w:before="0" w:beforeAutospacing="0" w:after="0" w:afterAutospacing="0"/>
                    <w:ind w:left="0" w:right="0"/>
                    <w:jc w:val="both"/>
                    <w:rPr>
                      <w:rFonts w:hint="eastAsia" w:ascii="Times New Roman" w:hAnsi="Times New Roman" w:eastAsia="宋体"/>
                      <w:color w:val="auto"/>
                    </w:rPr>
                  </w:pPr>
                  <w:r>
                    <w:rPr>
                      <w:rFonts w:hint="eastAsia" w:ascii="Times New Roman" w:hAnsi="Times New Roman" w:eastAsia="宋体"/>
                      <w:b w:val="0"/>
                      <w:bCs w:val="0"/>
                      <w:color w:val="auto"/>
                    </w:rPr>
                    <w:t>本项目废铅蓄电池在</w:t>
                  </w:r>
                  <w:r>
                    <w:rPr>
                      <w:rFonts w:hint="eastAsia"/>
                      <w:b w:val="0"/>
                      <w:bCs w:val="0"/>
                      <w:color w:val="auto"/>
                      <w:lang w:val="en-US" w:eastAsia="zh-CN"/>
                    </w:rPr>
                    <w:t>储存厂房内分区</w:t>
                  </w:r>
                  <w:r>
                    <w:rPr>
                      <w:rFonts w:hint="eastAsia" w:ascii="Times New Roman" w:hAnsi="Times New Roman" w:eastAsia="宋体"/>
                      <w:b w:val="0"/>
                      <w:bCs w:val="0"/>
                      <w:color w:val="auto"/>
                    </w:rPr>
                    <w:t>贮存，满足防雨要求。</w:t>
                  </w:r>
                </w:p>
              </w:tc>
              <w:tc>
                <w:tcPr>
                  <w:tcW w:w="620" w:type="dxa"/>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bl>
          <w:p>
            <w:pPr>
              <w:keepNext w:val="0"/>
              <w:keepLines w:val="0"/>
              <w:suppressLineNumbers w:val="0"/>
              <w:bidi w:val="0"/>
              <w:spacing w:before="0" w:beforeAutospacing="0" w:after="0" w:afterAutospacing="0"/>
              <w:ind w:left="0" w:right="0"/>
              <w:rPr>
                <w:b/>
                <w:bCs/>
                <w:color w:val="auto"/>
              </w:rPr>
            </w:pPr>
            <w:r>
              <w:rPr>
                <w:b/>
                <w:bCs/>
                <w:color w:val="auto"/>
              </w:rPr>
              <w:t>（4）与《</w:t>
            </w:r>
            <w:bookmarkStart w:id="95" w:name="OLE_LINK146"/>
            <w:r>
              <w:rPr>
                <w:b/>
                <w:bCs/>
                <w:color w:val="auto"/>
              </w:rPr>
              <w:t>废电池污染防治</w:t>
            </w:r>
            <w:bookmarkEnd w:id="95"/>
            <w:r>
              <w:rPr>
                <w:b/>
                <w:bCs/>
                <w:color w:val="auto"/>
              </w:rPr>
              <w:t>技术政策》（公告2016年第82号）符合性分析</w:t>
            </w:r>
          </w:p>
          <w:p>
            <w:pPr>
              <w:pStyle w:val="12"/>
              <w:keepNext w:val="0"/>
              <w:keepLines w:val="0"/>
              <w:suppressLineNumbers w:val="0"/>
              <w:bidi w:val="0"/>
              <w:spacing w:before="0" w:beforeAutospacing="0" w:after="0" w:afterAutospacing="0"/>
              <w:ind w:left="0" w:right="0"/>
              <w:rPr>
                <w:color w:val="auto"/>
              </w:rPr>
            </w:pPr>
            <w:r>
              <w:rPr>
                <w:color w:val="auto"/>
              </w:rPr>
              <w:t>表</w:t>
            </w:r>
            <w:r>
              <w:rPr>
                <w:rFonts w:hint="eastAsia"/>
                <w:color w:val="auto"/>
                <w:lang w:val="en-US" w:eastAsia="zh-CN"/>
              </w:rPr>
              <w:t xml:space="preserve"> 1-11</w:t>
            </w:r>
            <w:r>
              <w:rPr>
                <w:rFonts w:hint="eastAsia"/>
                <w:color w:val="auto"/>
              </w:rPr>
              <w:t xml:space="preserve">    </w:t>
            </w:r>
            <w:r>
              <w:rPr>
                <w:color w:val="auto"/>
              </w:rPr>
              <w:t>与《</w:t>
            </w:r>
            <w:bookmarkStart w:id="96" w:name="OLE_LINK147"/>
            <w:r>
              <w:rPr>
                <w:color w:val="auto"/>
              </w:rPr>
              <w:t>废电池污染防治技术政策</w:t>
            </w:r>
            <w:bookmarkEnd w:id="96"/>
            <w:r>
              <w:rPr>
                <w:color w:val="auto"/>
              </w:rPr>
              <w:t>》符合性分析</w:t>
            </w:r>
          </w:p>
          <w:tbl>
            <w:tblPr>
              <w:tblStyle w:val="22"/>
              <w:tblW w:w="495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97"/>
              <w:gridCol w:w="3095"/>
              <w:gridCol w:w="2899"/>
              <w:gridCol w:w="49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要求项目</w:t>
                  </w:r>
                </w:p>
              </w:tc>
              <w:tc>
                <w:tcPr>
                  <w:tcW w:w="3010"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规范内容</w:t>
                  </w:r>
                </w:p>
              </w:tc>
              <w:tc>
                <w:tcPr>
                  <w:tcW w:w="2820"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本项目</w:t>
                  </w:r>
                </w:p>
              </w:tc>
              <w:tc>
                <w:tcPr>
                  <w:tcW w:w="478"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收集</w:t>
                  </w:r>
                </w:p>
              </w:tc>
              <w:tc>
                <w:tcPr>
                  <w:tcW w:w="3010"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（一）在具备资源化利用条件的地区，鼓励分类收集废原电池。</w:t>
                  </w:r>
                </w:p>
                <w:p>
                  <w:pPr>
                    <w:pStyle w:val="28"/>
                    <w:keepNext w:val="0"/>
                    <w:keepLines w:val="0"/>
                    <w:suppressLineNumbers w:val="0"/>
                    <w:bidi w:val="0"/>
                    <w:spacing w:before="0" w:beforeAutospacing="0" w:after="0" w:afterAutospacing="0"/>
                    <w:ind w:left="0" w:right="0"/>
                    <w:jc w:val="both"/>
                    <w:rPr>
                      <w:color w:val="auto"/>
                    </w:rPr>
                  </w:pPr>
                  <w:r>
                    <w:rPr>
                      <w:color w:val="auto"/>
                    </w:rPr>
                    <w:t>（二）鼓励电池生产企业、废电池收集企业及利用企业等建设废电池收集体系。鼓励电池生产企业履行生产者延伸责任。</w:t>
                  </w:r>
                </w:p>
                <w:p>
                  <w:pPr>
                    <w:pStyle w:val="28"/>
                    <w:keepNext w:val="0"/>
                    <w:keepLines w:val="0"/>
                    <w:suppressLineNumbers w:val="0"/>
                    <w:bidi w:val="0"/>
                    <w:spacing w:before="0" w:beforeAutospacing="0" w:after="0" w:afterAutospacing="0"/>
                    <w:ind w:left="0" w:right="0"/>
                    <w:jc w:val="both"/>
                    <w:rPr>
                      <w:color w:val="auto"/>
                    </w:rPr>
                  </w:pPr>
                  <w:r>
                    <w:rPr>
                      <w:color w:val="auto"/>
                    </w:rPr>
                    <w:t>（三）鼓励废电池收集企业应用“物联网+”等信息化技术建立废电池收集体系，并通过信息公开等手段促进废电池的高效回收。</w:t>
                  </w:r>
                </w:p>
                <w:p>
                  <w:pPr>
                    <w:pStyle w:val="28"/>
                    <w:keepNext w:val="0"/>
                    <w:keepLines w:val="0"/>
                    <w:suppressLineNumbers w:val="0"/>
                    <w:bidi w:val="0"/>
                    <w:spacing w:before="0" w:beforeAutospacing="0" w:after="0" w:afterAutospacing="0"/>
                    <w:ind w:left="0" w:right="0"/>
                    <w:jc w:val="both"/>
                    <w:rPr>
                      <w:color w:val="auto"/>
                    </w:rPr>
                  </w:pPr>
                  <w:r>
                    <w:rPr>
                      <w:color w:val="auto"/>
                    </w:rPr>
                    <w:t>（四）废电池收集企业应设立具有显著标识的废电池分类收集</w:t>
                  </w:r>
                </w:p>
                <w:p>
                  <w:pPr>
                    <w:pStyle w:val="28"/>
                    <w:keepNext w:val="0"/>
                    <w:keepLines w:val="0"/>
                    <w:suppressLineNumbers w:val="0"/>
                    <w:bidi w:val="0"/>
                    <w:spacing w:before="0" w:beforeAutospacing="0" w:after="0" w:afterAutospacing="0"/>
                    <w:ind w:left="0" w:right="0"/>
                    <w:jc w:val="both"/>
                    <w:rPr>
                      <w:color w:val="auto"/>
                    </w:rPr>
                  </w:pPr>
                  <w:r>
                    <w:rPr>
                      <w:color w:val="auto"/>
                    </w:rPr>
                    <w:t>设施。鼓励消费者将废电池送到相应的废电池收集网点装置中。</w:t>
                  </w:r>
                </w:p>
                <w:p>
                  <w:pPr>
                    <w:pStyle w:val="28"/>
                    <w:keepNext w:val="0"/>
                    <w:keepLines w:val="0"/>
                    <w:suppressLineNumbers w:val="0"/>
                    <w:bidi w:val="0"/>
                    <w:spacing w:before="0" w:beforeAutospacing="0" w:after="0" w:afterAutospacing="0"/>
                    <w:ind w:left="0" w:right="0"/>
                    <w:jc w:val="both"/>
                    <w:rPr>
                      <w:color w:val="auto"/>
                    </w:rPr>
                  </w:pPr>
                  <w:r>
                    <w:rPr>
                      <w:color w:val="auto"/>
                    </w:rPr>
                    <w:t>（五）收集过程中应保持废电池的结构和外形完整，严禁私自破损废电池，已破损的废电池应单独存放。</w:t>
                  </w:r>
                </w:p>
              </w:tc>
              <w:tc>
                <w:tcPr>
                  <w:tcW w:w="2820"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本项目建成运行后，与废铅蓄电池运输及回收单位的建立完善的回收体系，并与当地环保部门联网；项目设有专门的废铅蓄电池贮存仓库，做到分类贮存；收集过程中采用专用容器存放，保持废电池的结构和外形完整，严禁私自破损废电池，破损的废电池单独存放。</w:t>
                  </w:r>
                </w:p>
              </w:tc>
              <w:tc>
                <w:tcPr>
                  <w:tcW w:w="478"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运输</w:t>
                  </w:r>
                </w:p>
              </w:tc>
              <w:tc>
                <w:tcPr>
                  <w:tcW w:w="3010"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（一）废电池应采取有效的包装措施，防止运输过程中有毒有害物质泄漏造成污染。</w:t>
                  </w:r>
                </w:p>
                <w:p>
                  <w:pPr>
                    <w:pStyle w:val="28"/>
                    <w:keepNext w:val="0"/>
                    <w:keepLines w:val="0"/>
                    <w:suppressLineNumbers w:val="0"/>
                    <w:bidi w:val="0"/>
                    <w:spacing w:before="0" w:beforeAutospacing="0" w:after="0" w:afterAutospacing="0"/>
                    <w:ind w:left="0" w:right="0"/>
                    <w:jc w:val="both"/>
                    <w:rPr>
                      <w:color w:val="auto"/>
                    </w:rPr>
                  </w:pPr>
                  <w:r>
                    <w:rPr>
                      <w:color w:val="auto"/>
                    </w:rPr>
                    <w:t>（二）废锂离子电池运输前应采取预放电、独立包装等措施，防止因撞击或短路发生爆炸等引起的环境风险。（三）禁止在运输过程中擅自倾倒和丢弃废电池。</w:t>
                  </w:r>
                </w:p>
              </w:tc>
              <w:tc>
                <w:tcPr>
                  <w:tcW w:w="2820"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建设单位在废铅蓄电池收集、运输过</w:t>
                  </w:r>
                  <w:r>
                    <w:rPr>
                      <w:rFonts w:hint="eastAsia"/>
                      <w:color w:val="auto"/>
                      <w:lang w:eastAsia="zh-CN"/>
                    </w:rPr>
                    <w:t>程中</w:t>
                  </w:r>
                  <w:r>
                    <w:rPr>
                      <w:color w:val="auto"/>
                    </w:rPr>
                    <w:t>，采用不易破损、变形、耐酸腐蚀、防渗漏、防遗撒的容器或包装；</w:t>
                  </w:r>
                </w:p>
                <w:p>
                  <w:pPr>
                    <w:pStyle w:val="28"/>
                    <w:keepNext w:val="0"/>
                    <w:keepLines w:val="0"/>
                    <w:suppressLineNumbers w:val="0"/>
                    <w:bidi w:val="0"/>
                    <w:spacing w:before="0" w:beforeAutospacing="0" w:after="0" w:afterAutospacing="0"/>
                    <w:ind w:left="0" w:right="0"/>
                    <w:jc w:val="both"/>
                    <w:rPr>
                      <w:color w:val="auto"/>
                    </w:rPr>
                  </w:pPr>
                  <w:r>
                    <w:rPr>
                      <w:color w:val="auto"/>
                    </w:rPr>
                    <w:t>不涉及废锂离子电池；</w:t>
                  </w:r>
                </w:p>
                <w:p>
                  <w:pPr>
                    <w:pStyle w:val="28"/>
                    <w:keepNext w:val="0"/>
                    <w:keepLines w:val="0"/>
                    <w:suppressLineNumbers w:val="0"/>
                    <w:bidi w:val="0"/>
                    <w:spacing w:before="0" w:beforeAutospacing="0" w:after="0" w:afterAutospacing="0"/>
                    <w:ind w:left="0" w:right="0"/>
                    <w:jc w:val="both"/>
                    <w:rPr>
                      <w:color w:val="auto"/>
                    </w:rPr>
                  </w:pPr>
                  <w:r>
                    <w:rPr>
                      <w:color w:val="auto"/>
                    </w:rPr>
                    <w:t>建设单位严禁在运输过程中擅自倾倒和丢弃废电池</w:t>
                  </w:r>
                </w:p>
              </w:tc>
              <w:tc>
                <w:tcPr>
                  <w:tcW w:w="478"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贮存</w:t>
                  </w:r>
                </w:p>
              </w:tc>
              <w:tc>
                <w:tcPr>
                  <w:tcW w:w="3010"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（一）废电池应分类贮存，禁止露天堆放。破损的废电池应单独贮存。贮存场所应定期清理、清运。</w:t>
                  </w:r>
                </w:p>
                <w:p>
                  <w:pPr>
                    <w:pStyle w:val="28"/>
                    <w:keepNext w:val="0"/>
                    <w:keepLines w:val="0"/>
                    <w:suppressLineNumbers w:val="0"/>
                    <w:bidi w:val="0"/>
                    <w:spacing w:before="0" w:beforeAutospacing="0" w:after="0" w:afterAutospacing="0"/>
                    <w:ind w:left="0" w:right="0"/>
                    <w:jc w:val="both"/>
                    <w:rPr>
                      <w:color w:val="auto"/>
                    </w:rPr>
                  </w:pPr>
                  <w:r>
                    <w:rPr>
                      <w:color w:val="auto"/>
                    </w:rPr>
                    <w:t>（二）废铅蓄电池的贮存场所应防止电解液泄漏。废铅蓄电池的贮存应避免遭受雨淋水浸。</w:t>
                  </w:r>
                </w:p>
                <w:p>
                  <w:pPr>
                    <w:pStyle w:val="28"/>
                    <w:keepNext w:val="0"/>
                    <w:keepLines w:val="0"/>
                    <w:suppressLineNumbers w:val="0"/>
                    <w:bidi w:val="0"/>
                    <w:spacing w:before="0" w:beforeAutospacing="0" w:after="0" w:afterAutospacing="0"/>
                    <w:ind w:left="0" w:right="0"/>
                    <w:jc w:val="both"/>
                    <w:rPr>
                      <w:color w:val="auto"/>
                    </w:rPr>
                  </w:pPr>
                  <w:r>
                    <w:rPr>
                      <w:color w:val="auto"/>
                    </w:rPr>
                    <w:t>（三）废锂离子电池贮存前应进行安全性检测，避光贮存，应控制贮存场所的环境温度，避免因高温自燃等引起的环境风险。</w:t>
                  </w:r>
                </w:p>
              </w:tc>
              <w:tc>
                <w:tcPr>
                  <w:tcW w:w="2820"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项目利用租赁厂房作为临时贮存场所，非露天；且破损废铅蓄电池单独存放；贮存的废铅蓄电池定期清理、清运；</w:t>
                  </w:r>
                </w:p>
                <w:p>
                  <w:pPr>
                    <w:pStyle w:val="28"/>
                    <w:keepNext w:val="0"/>
                    <w:keepLines w:val="0"/>
                    <w:suppressLineNumbers w:val="0"/>
                    <w:bidi w:val="0"/>
                    <w:spacing w:before="0" w:beforeAutospacing="0" w:after="0" w:afterAutospacing="0"/>
                    <w:ind w:left="0" w:right="0"/>
                    <w:jc w:val="both"/>
                    <w:rPr>
                      <w:color w:val="auto"/>
                    </w:rPr>
                  </w:pPr>
                  <w:r>
                    <w:rPr>
                      <w:color w:val="auto"/>
                    </w:rPr>
                    <w:t>项目废铅蓄电池贮存场非露天，且车间地面按要求防腐防渗处理，配置有废液收集池等，防止电解液</w:t>
                  </w:r>
                  <w:r>
                    <w:rPr>
                      <w:rFonts w:hint="eastAsia"/>
                      <w:color w:val="auto"/>
                      <w:lang w:eastAsia="zh-CN"/>
                    </w:rPr>
                    <w:t>泄漏</w:t>
                  </w:r>
                  <w:r>
                    <w:rPr>
                      <w:color w:val="auto"/>
                    </w:rPr>
                    <w:t>。</w:t>
                  </w:r>
                </w:p>
              </w:tc>
              <w:tc>
                <w:tcPr>
                  <w:tcW w:w="478"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bl>
          <w:p>
            <w:pPr>
              <w:keepNext w:val="0"/>
              <w:keepLines w:val="0"/>
              <w:suppressLineNumbers w:val="0"/>
              <w:bidi w:val="0"/>
              <w:spacing w:before="0" w:beforeAutospacing="0" w:after="0" w:afterAutospacing="0"/>
              <w:ind w:left="0" w:right="0"/>
              <w:rPr>
                <w:b/>
                <w:bCs/>
                <w:color w:val="auto"/>
              </w:rPr>
            </w:pPr>
            <w:r>
              <w:rPr>
                <w:b/>
                <w:bCs/>
                <w:color w:val="auto"/>
              </w:rPr>
              <w:t>（5）与《</w:t>
            </w:r>
            <w:bookmarkStart w:id="97" w:name="OLE_LINK148"/>
            <w:bookmarkStart w:id="98" w:name="OLE_LINK149"/>
            <w:r>
              <w:rPr>
                <w:b/>
                <w:bCs/>
                <w:color w:val="auto"/>
              </w:rPr>
              <w:t>废铅酸蓄电池</w:t>
            </w:r>
            <w:bookmarkEnd w:id="97"/>
            <w:r>
              <w:rPr>
                <w:b/>
                <w:bCs/>
                <w:color w:val="auto"/>
              </w:rPr>
              <w:t>回收技术规范</w:t>
            </w:r>
            <w:bookmarkEnd w:id="98"/>
            <w:r>
              <w:rPr>
                <w:b/>
                <w:bCs/>
                <w:color w:val="auto"/>
              </w:rPr>
              <w:t>》（GB/T37281-2019）相符性分析</w:t>
            </w:r>
          </w:p>
          <w:p>
            <w:pPr>
              <w:pStyle w:val="12"/>
              <w:keepNext w:val="0"/>
              <w:keepLines w:val="0"/>
              <w:suppressLineNumbers w:val="0"/>
              <w:bidi w:val="0"/>
              <w:spacing w:before="0" w:beforeAutospacing="0" w:after="0" w:afterAutospacing="0"/>
              <w:ind w:left="0" w:right="0"/>
              <w:rPr>
                <w:color w:val="auto"/>
              </w:rPr>
            </w:pPr>
            <w:r>
              <w:rPr>
                <w:color w:val="auto"/>
              </w:rPr>
              <w:t>表</w:t>
            </w:r>
            <w:r>
              <w:rPr>
                <w:rFonts w:hint="eastAsia"/>
                <w:color w:val="auto"/>
                <w:lang w:val="en-US" w:eastAsia="zh-CN"/>
              </w:rPr>
              <w:t xml:space="preserve"> 1-12</w:t>
            </w:r>
            <w:r>
              <w:rPr>
                <w:rFonts w:hint="eastAsia"/>
                <w:color w:val="auto"/>
              </w:rPr>
              <w:t xml:space="preserve">    </w:t>
            </w:r>
            <w:r>
              <w:rPr>
                <w:color w:val="auto"/>
              </w:rPr>
              <w:t>与《废铅酸蓄电池回收技术规范》相符性分析</w:t>
            </w:r>
          </w:p>
          <w:tbl>
            <w:tblPr>
              <w:tblStyle w:val="22"/>
              <w:tblW w:w="495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55"/>
              <w:gridCol w:w="3053"/>
              <w:gridCol w:w="2839"/>
              <w:gridCol w:w="63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92" w:type="pct"/>
                  <w:tcBorders>
                    <w:top w:val="single" w:color="auto" w:sz="8" w:space="0"/>
                    <w:bottom w:val="single" w:color="auto" w:sz="8" w:space="0"/>
                  </w:tcBorders>
                  <w:shd w:val="clear" w:color="auto" w:fill="auto"/>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类别</w:t>
                  </w:r>
                </w:p>
              </w:tc>
              <w:tc>
                <w:tcPr>
                  <w:tcW w:w="2155" w:type="pct"/>
                  <w:tcBorders>
                    <w:top w:val="single" w:color="auto" w:sz="8" w:space="0"/>
                    <w:bottom w:val="single" w:color="auto" w:sz="8" w:space="0"/>
                  </w:tcBorders>
                  <w:shd w:val="clear" w:color="auto" w:fill="auto"/>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GB/T37281-2019要求</w:t>
                  </w:r>
                </w:p>
              </w:tc>
              <w:tc>
                <w:tcPr>
                  <w:tcW w:w="2004" w:type="pct"/>
                  <w:tcBorders>
                    <w:top w:val="single" w:color="auto" w:sz="8" w:space="0"/>
                    <w:bottom w:val="single" w:color="auto" w:sz="8" w:space="0"/>
                  </w:tcBorders>
                  <w:shd w:val="clear" w:color="auto" w:fill="auto"/>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本项目</w:t>
                  </w:r>
                </w:p>
              </w:tc>
              <w:tc>
                <w:tcPr>
                  <w:tcW w:w="449" w:type="pct"/>
                  <w:tcBorders>
                    <w:top w:val="single" w:color="auto" w:sz="8" w:space="0"/>
                    <w:bottom w:val="single" w:color="auto" w:sz="8" w:space="0"/>
                  </w:tcBorders>
                  <w:shd w:val="clear" w:color="auto" w:fill="auto"/>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相符性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92" w:type="pct"/>
                  <w:vMerge w:val="restart"/>
                  <w:tcBorders>
                    <w:top w:val="single" w:color="auto" w:sz="8" w:space="0"/>
                  </w:tcBorders>
                  <w:shd w:val="clear" w:color="auto" w:fill="auto"/>
                  <w:vAlign w:val="center"/>
                </w:tcPr>
                <w:p>
                  <w:pPr>
                    <w:pStyle w:val="28"/>
                    <w:keepNext w:val="0"/>
                    <w:keepLines w:val="0"/>
                    <w:suppressLineNumbers w:val="0"/>
                    <w:bidi w:val="0"/>
                    <w:spacing w:before="0" w:beforeAutospacing="0" w:after="0" w:afterAutospacing="0"/>
                    <w:ind w:left="0" w:right="0"/>
                    <w:rPr>
                      <w:color w:val="auto"/>
                    </w:rPr>
                  </w:pPr>
                  <w:r>
                    <w:rPr>
                      <w:color w:val="auto"/>
                    </w:rPr>
                    <w:t>收集</w:t>
                  </w:r>
                </w:p>
              </w:tc>
              <w:tc>
                <w:tcPr>
                  <w:tcW w:w="2155" w:type="pct"/>
                  <w:tcBorders>
                    <w:top w:val="single" w:color="auto" w:sz="8" w:space="0"/>
                  </w:tcBorders>
                  <w:shd w:val="clear" w:color="auto" w:fill="auto"/>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1、废电池应处于独立状态，带有连接线（条）的应将连接线（条）拆除。</w:t>
                  </w:r>
                </w:p>
              </w:tc>
              <w:tc>
                <w:tcPr>
                  <w:tcW w:w="2004" w:type="pct"/>
                  <w:tcBorders>
                    <w:top w:val="single" w:color="auto" w:sz="8" w:space="0"/>
                  </w:tcBorders>
                  <w:shd w:val="clear" w:color="auto" w:fill="auto"/>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本项目在进行废铅酸蓄电池收集时，检查是否有连接线（条），有连接线（条）必须拆除。</w:t>
                  </w:r>
                </w:p>
              </w:tc>
              <w:tc>
                <w:tcPr>
                  <w:tcW w:w="449" w:type="pct"/>
                  <w:tcBorders>
                    <w:top w:val="single" w:color="auto" w:sz="8" w:space="0"/>
                  </w:tcBorders>
                  <w:shd w:val="clear" w:color="auto" w:fill="auto"/>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92" w:type="pct"/>
                  <w:vMerge w:val="continue"/>
                  <w:shd w:val="clear" w:color="auto" w:fill="auto"/>
                  <w:vAlign w:val="center"/>
                </w:tcPr>
                <w:p>
                  <w:pPr>
                    <w:pStyle w:val="28"/>
                    <w:keepNext w:val="0"/>
                    <w:keepLines w:val="0"/>
                    <w:suppressLineNumbers w:val="0"/>
                    <w:bidi w:val="0"/>
                    <w:spacing w:before="0" w:beforeAutospacing="0" w:after="0" w:afterAutospacing="0"/>
                    <w:ind w:left="0" w:right="0"/>
                    <w:rPr>
                      <w:color w:val="auto"/>
                    </w:rPr>
                  </w:pPr>
                </w:p>
              </w:tc>
              <w:tc>
                <w:tcPr>
                  <w:tcW w:w="2155" w:type="pct"/>
                  <w:shd w:val="clear" w:color="auto" w:fill="auto"/>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2、废电池应按以下方法进行鉴别和分类：</w:t>
                  </w:r>
                </w:p>
                <w:p>
                  <w:pPr>
                    <w:pStyle w:val="28"/>
                    <w:keepNext w:val="0"/>
                    <w:keepLines w:val="0"/>
                    <w:suppressLineNumbers w:val="0"/>
                    <w:bidi w:val="0"/>
                    <w:spacing w:before="0" w:beforeAutospacing="0" w:after="0" w:afterAutospacing="0"/>
                    <w:ind w:left="0" w:right="0"/>
                    <w:jc w:val="both"/>
                    <w:rPr>
                      <w:color w:val="auto"/>
                    </w:rPr>
                  </w:pPr>
                  <w:r>
                    <w:rPr>
                      <w:color w:val="auto"/>
                    </w:rPr>
                    <w:t>a）铅酸蓄电池的鉴别：按废电池外壳上的回收标志鉴别或确认为铅酸蓄电池。额定电压通常为2的倍数，如2V、6V、12V等。</w:t>
                  </w:r>
                </w:p>
                <w:p>
                  <w:pPr>
                    <w:pStyle w:val="28"/>
                    <w:keepNext w:val="0"/>
                    <w:keepLines w:val="0"/>
                    <w:suppressLineNumbers w:val="0"/>
                    <w:bidi w:val="0"/>
                    <w:spacing w:before="0" w:beforeAutospacing="0" w:after="0" w:afterAutospacing="0"/>
                    <w:ind w:left="0" w:right="0"/>
                    <w:jc w:val="both"/>
                    <w:rPr>
                      <w:color w:val="auto"/>
                    </w:rPr>
                  </w:pPr>
                  <w:r>
                    <w:rPr>
                      <w:color w:val="auto"/>
                    </w:rPr>
                    <w:t>b）完整废电池和破损废电池的鉴别：目测法检查电池外观，无外壳破损、端子破裂和电解液渗漏的为完整废电池；若存在外壳破损、端子破裂或电解液</w:t>
                  </w:r>
                  <w:r>
                    <w:rPr>
                      <w:rFonts w:hint="eastAsia"/>
                      <w:color w:val="auto"/>
                      <w:lang w:eastAsia="zh-CN"/>
                    </w:rPr>
                    <w:t>泄漏</w:t>
                  </w:r>
                  <w:r>
                    <w:rPr>
                      <w:color w:val="auto"/>
                    </w:rPr>
                    <w:t>问题的应鉴定为破损废电池。</w:t>
                  </w:r>
                </w:p>
              </w:tc>
              <w:tc>
                <w:tcPr>
                  <w:tcW w:w="2004" w:type="pct"/>
                  <w:shd w:val="clear" w:color="auto" w:fill="auto"/>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本项目废铅酸蓄电池回收时，严格按照要求对其进行鉴别、分类</w:t>
                  </w:r>
                </w:p>
              </w:tc>
              <w:tc>
                <w:tcPr>
                  <w:tcW w:w="449" w:type="pct"/>
                  <w:shd w:val="clear" w:color="auto" w:fill="auto"/>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92" w:type="pct"/>
                  <w:vMerge w:val="restart"/>
                  <w:shd w:val="clear" w:color="auto" w:fill="auto"/>
                  <w:vAlign w:val="center"/>
                </w:tcPr>
                <w:p>
                  <w:pPr>
                    <w:pStyle w:val="28"/>
                    <w:keepNext w:val="0"/>
                    <w:keepLines w:val="0"/>
                    <w:suppressLineNumbers w:val="0"/>
                    <w:bidi w:val="0"/>
                    <w:spacing w:before="0" w:beforeAutospacing="0" w:after="0" w:afterAutospacing="0"/>
                    <w:ind w:left="0" w:right="0"/>
                    <w:rPr>
                      <w:color w:val="auto"/>
                    </w:rPr>
                  </w:pPr>
                  <w:r>
                    <w:rPr>
                      <w:color w:val="auto"/>
                    </w:rPr>
                    <w:t>贮存场所</w:t>
                  </w:r>
                </w:p>
              </w:tc>
              <w:tc>
                <w:tcPr>
                  <w:tcW w:w="2155" w:type="pct"/>
                  <w:shd w:val="clear" w:color="auto" w:fill="auto"/>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1、贮存场所按照GB18597的有关要求建设和管理。</w:t>
                  </w:r>
                </w:p>
              </w:tc>
              <w:tc>
                <w:tcPr>
                  <w:tcW w:w="2004" w:type="pct"/>
                  <w:shd w:val="clear" w:color="auto" w:fill="auto"/>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本项目属于废铅蓄电池集中转运点，车间严格按GB18597中要求建设、管理</w:t>
                  </w:r>
                </w:p>
              </w:tc>
              <w:tc>
                <w:tcPr>
                  <w:tcW w:w="449" w:type="pct"/>
                  <w:shd w:val="clear" w:color="auto" w:fill="auto"/>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92" w:type="pct"/>
                  <w:vMerge w:val="continue"/>
                  <w:shd w:val="clear" w:color="auto" w:fill="auto"/>
                  <w:vAlign w:val="center"/>
                </w:tcPr>
                <w:p>
                  <w:pPr>
                    <w:pStyle w:val="28"/>
                    <w:keepNext w:val="0"/>
                    <w:keepLines w:val="0"/>
                    <w:suppressLineNumbers w:val="0"/>
                    <w:bidi w:val="0"/>
                    <w:spacing w:before="0" w:beforeAutospacing="0" w:after="0" w:afterAutospacing="0"/>
                    <w:ind w:left="0" w:right="0"/>
                    <w:rPr>
                      <w:color w:val="auto"/>
                    </w:rPr>
                  </w:pPr>
                </w:p>
              </w:tc>
              <w:tc>
                <w:tcPr>
                  <w:tcW w:w="2155" w:type="pct"/>
                  <w:shd w:val="clear" w:color="auto" w:fill="auto"/>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2、贮存场所应选择在城市工业地块内，并符合当地环境保护和区域发展规范；新建的集中贮存场所建设项目应通过环境影响评价。</w:t>
                  </w:r>
                </w:p>
              </w:tc>
              <w:tc>
                <w:tcPr>
                  <w:tcW w:w="2004" w:type="pct"/>
                  <w:shd w:val="clear" w:color="auto" w:fill="auto"/>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本项目</w:t>
                  </w:r>
                  <w:r>
                    <w:rPr>
                      <w:rFonts w:hint="eastAsia"/>
                      <w:color w:val="auto"/>
                      <w:lang w:val="en-US" w:eastAsia="zh-CN"/>
                    </w:rPr>
                    <w:t>卫滨区人民路西环路交叉口向西300米路南，</w:t>
                  </w:r>
                  <w:r>
                    <w:rPr>
                      <w:rFonts w:hint="default" w:ascii="Times New Roman" w:hAnsi="Times New Roman" w:eastAsia="宋体"/>
                      <w:color w:val="auto"/>
                    </w:rPr>
                    <w:t>根据</w:t>
                  </w:r>
                  <w:r>
                    <w:rPr>
                      <w:rFonts w:hint="eastAsia" w:ascii="Times New Roman" w:hAnsi="Times New Roman" w:eastAsia="宋体"/>
                      <w:color w:val="auto"/>
                    </w:rPr>
                    <w:t>《新乡</w:t>
                  </w:r>
                  <w:r>
                    <w:rPr>
                      <w:rFonts w:hint="eastAsia" w:ascii="Times New Roman" w:hAnsi="Times New Roman" w:eastAsia="宋体"/>
                      <w:color w:val="auto"/>
                      <w:lang w:val="en-US" w:eastAsia="zh-CN"/>
                    </w:rPr>
                    <w:t>市平原镇</w:t>
                  </w:r>
                  <w:r>
                    <w:rPr>
                      <w:rFonts w:hint="eastAsia" w:ascii="Times New Roman" w:hAnsi="Times New Roman" w:eastAsia="宋体"/>
                      <w:color w:val="auto"/>
                    </w:rPr>
                    <w:t>总体</w:t>
                  </w:r>
                  <w:r>
                    <w:rPr>
                      <w:rFonts w:hint="eastAsia" w:ascii="Times New Roman" w:hAnsi="Times New Roman" w:eastAsia="宋体"/>
                      <w:color w:val="auto"/>
                      <w:lang w:val="en-US" w:eastAsia="zh-CN"/>
                    </w:rPr>
                    <w:t>规划</w:t>
                  </w:r>
                  <w:r>
                    <w:rPr>
                      <w:rFonts w:hint="eastAsia" w:ascii="Times New Roman" w:hAnsi="Times New Roman" w:eastAsia="宋体"/>
                      <w:color w:val="auto"/>
                    </w:rPr>
                    <w:t>（201</w:t>
                  </w:r>
                  <w:r>
                    <w:rPr>
                      <w:rFonts w:hint="eastAsia" w:ascii="Times New Roman" w:hAnsi="Times New Roman" w:eastAsia="宋体"/>
                      <w:color w:val="auto"/>
                      <w:lang w:val="en-US" w:eastAsia="zh-CN"/>
                    </w:rPr>
                    <w:t>7-2030</w:t>
                  </w:r>
                  <w:r>
                    <w:rPr>
                      <w:rFonts w:hint="eastAsia" w:ascii="Times New Roman" w:hAnsi="Times New Roman" w:eastAsia="宋体"/>
                      <w:color w:val="auto"/>
                    </w:rPr>
                    <w:t>）》可知，本项目</w:t>
                  </w:r>
                  <w:r>
                    <w:rPr>
                      <w:rFonts w:hint="eastAsia" w:ascii="Times New Roman" w:hAnsi="Times New Roman" w:eastAsia="宋体"/>
                      <w:color w:val="auto"/>
                      <w:lang w:val="en-US" w:eastAsia="zh-CN"/>
                    </w:rPr>
                    <w:t>为二类工业用地，</w:t>
                  </w:r>
                  <w:r>
                    <w:rPr>
                      <w:rFonts w:ascii="Times New Roman" w:hAnsi="Times New Roman" w:eastAsia="宋体"/>
                      <w:color w:val="auto"/>
                    </w:rPr>
                    <w:t>符合当地环境保护和区域发展规划；同时，本项目正在办理环境影响评价，通过审批后方可开工建设。</w:t>
                  </w:r>
                </w:p>
              </w:tc>
              <w:tc>
                <w:tcPr>
                  <w:tcW w:w="449" w:type="pct"/>
                  <w:shd w:val="clear" w:color="auto" w:fill="auto"/>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92" w:type="pct"/>
                  <w:vMerge w:val="continue"/>
                  <w:shd w:val="clear" w:color="auto" w:fill="auto"/>
                  <w:vAlign w:val="center"/>
                </w:tcPr>
                <w:p>
                  <w:pPr>
                    <w:pStyle w:val="28"/>
                    <w:keepNext w:val="0"/>
                    <w:keepLines w:val="0"/>
                    <w:suppressLineNumbers w:val="0"/>
                    <w:bidi w:val="0"/>
                    <w:spacing w:before="0" w:beforeAutospacing="0" w:after="0" w:afterAutospacing="0"/>
                    <w:ind w:left="0" w:right="0"/>
                    <w:rPr>
                      <w:color w:val="auto"/>
                    </w:rPr>
                  </w:pPr>
                </w:p>
              </w:tc>
              <w:tc>
                <w:tcPr>
                  <w:tcW w:w="2155" w:type="pct"/>
                  <w:shd w:val="clear" w:color="auto" w:fill="auto"/>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3、贮存规模应与贮存场所的容量相匹配，</w:t>
                  </w:r>
                  <w:r>
                    <w:rPr>
                      <w:rFonts w:ascii="Times New Roman" w:hAnsi="Times New Roman" w:eastAsia="宋体"/>
                      <w:color w:val="auto"/>
                      <w:highlight w:val="none"/>
                    </w:rPr>
                    <w:t>贮存场所面积应不小于500</w:t>
                  </w:r>
                  <w:r>
                    <w:rPr>
                      <w:rFonts w:hint="eastAsia" w:ascii="Times New Roman" w:hAnsi="Times New Roman" w:eastAsia="宋体"/>
                      <w:color w:val="auto"/>
                      <w:highlight w:val="none"/>
                      <w:lang w:eastAsia="zh-CN"/>
                    </w:rPr>
                    <w:t>m²</w:t>
                  </w:r>
                  <w:r>
                    <w:rPr>
                      <w:rFonts w:ascii="Times New Roman" w:hAnsi="Times New Roman" w:eastAsia="宋体"/>
                      <w:color w:val="auto"/>
                      <w:highlight w:val="none"/>
                    </w:rPr>
                    <w:t>，废电池贮存时间不应超过1年。</w:t>
                  </w:r>
                </w:p>
              </w:tc>
              <w:tc>
                <w:tcPr>
                  <w:tcW w:w="2004" w:type="pct"/>
                  <w:shd w:val="clear" w:color="auto" w:fill="auto"/>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本项目贮存规模应与贮存场所的容量相匹配，</w:t>
                  </w:r>
                  <w:r>
                    <w:rPr>
                      <w:rFonts w:hint="eastAsia"/>
                      <w:color w:val="auto"/>
                      <w:highlight w:val="none"/>
                      <w:lang w:val="en-US" w:eastAsia="zh-CN"/>
                    </w:rPr>
                    <w:t>存储区域</w:t>
                  </w:r>
                  <w:r>
                    <w:rPr>
                      <w:rFonts w:ascii="Times New Roman" w:hAnsi="Times New Roman" w:eastAsia="宋体"/>
                      <w:color w:val="auto"/>
                      <w:highlight w:val="none"/>
                    </w:rPr>
                    <w:t>面积</w:t>
                  </w:r>
                  <w:r>
                    <w:rPr>
                      <w:rFonts w:hint="eastAsia" w:ascii="Times New Roman" w:hAnsi="Times New Roman" w:eastAsia="宋体"/>
                      <w:color w:val="auto"/>
                      <w:highlight w:val="none"/>
                      <w:lang w:val="en-US" w:eastAsia="zh-CN"/>
                    </w:rPr>
                    <w:t>560</w:t>
                  </w:r>
                  <w:r>
                    <w:rPr>
                      <w:rFonts w:hint="eastAsia" w:ascii="Times New Roman" w:hAnsi="Times New Roman" w:eastAsia="宋体"/>
                      <w:color w:val="auto"/>
                      <w:highlight w:val="none"/>
                      <w:lang w:eastAsia="zh-CN"/>
                    </w:rPr>
                    <w:t>m²</w:t>
                  </w:r>
                  <w:r>
                    <w:rPr>
                      <w:rFonts w:ascii="Times New Roman" w:hAnsi="Times New Roman" w:eastAsia="宋体"/>
                      <w:color w:val="auto"/>
                      <w:highlight w:val="none"/>
                    </w:rPr>
                    <w:t>，废电池贮存时间最长不超过</w:t>
                  </w:r>
                  <w:r>
                    <w:rPr>
                      <w:rFonts w:hint="eastAsia"/>
                      <w:color w:val="auto"/>
                      <w:highlight w:val="none"/>
                      <w:lang w:val="en-US" w:eastAsia="zh-CN"/>
                    </w:rPr>
                    <w:t>3天</w:t>
                  </w:r>
                  <w:r>
                    <w:rPr>
                      <w:rFonts w:ascii="Times New Roman" w:hAnsi="Times New Roman" w:eastAsia="宋体"/>
                      <w:color w:val="auto"/>
                      <w:highlight w:val="none"/>
                    </w:rPr>
                    <w:t>。</w:t>
                  </w:r>
                </w:p>
              </w:tc>
              <w:tc>
                <w:tcPr>
                  <w:tcW w:w="449" w:type="pct"/>
                  <w:shd w:val="clear" w:color="auto" w:fill="auto"/>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92" w:type="pct"/>
                  <w:vMerge w:val="continue"/>
                  <w:shd w:val="clear" w:color="auto" w:fill="auto"/>
                  <w:vAlign w:val="center"/>
                </w:tcPr>
                <w:p>
                  <w:pPr>
                    <w:pStyle w:val="28"/>
                    <w:keepNext w:val="0"/>
                    <w:keepLines w:val="0"/>
                    <w:suppressLineNumbers w:val="0"/>
                    <w:bidi w:val="0"/>
                    <w:spacing w:before="0" w:beforeAutospacing="0" w:after="0" w:afterAutospacing="0"/>
                    <w:ind w:left="0" w:right="0"/>
                    <w:rPr>
                      <w:color w:val="auto"/>
                    </w:rPr>
                  </w:pPr>
                </w:p>
              </w:tc>
              <w:tc>
                <w:tcPr>
                  <w:tcW w:w="2155" w:type="pct"/>
                  <w:shd w:val="clear" w:color="auto" w:fill="auto"/>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4、应按GB15562.2的规定设立警示标志，禁止非专业工作人员进入。</w:t>
                  </w:r>
                </w:p>
              </w:tc>
              <w:tc>
                <w:tcPr>
                  <w:tcW w:w="2004" w:type="pct"/>
                  <w:shd w:val="clear" w:color="auto" w:fill="auto"/>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本项目严格按照GB15562.2的规定设立警示标志，禁止非专业工作人员进入。</w:t>
                  </w:r>
                </w:p>
              </w:tc>
              <w:tc>
                <w:tcPr>
                  <w:tcW w:w="449" w:type="pct"/>
                  <w:shd w:val="clear" w:color="auto" w:fill="auto"/>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92" w:type="pct"/>
                  <w:vMerge w:val="continue"/>
                  <w:shd w:val="clear" w:color="auto" w:fill="auto"/>
                  <w:vAlign w:val="center"/>
                </w:tcPr>
                <w:p>
                  <w:pPr>
                    <w:pStyle w:val="28"/>
                    <w:keepNext w:val="0"/>
                    <w:keepLines w:val="0"/>
                    <w:suppressLineNumbers w:val="0"/>
                    <w:bidi w:val="0"/>
                    <w:spacing w:before="0" w:beforeAutospacing="0" w:after="0" w:afterAutospacing="0"/>
                    <w:ind w:left="0" w:right="0"/>
                    <w:rPr>
                      <w:color w:val="auto"/>
                    </w:rPr>
                  </w:pPr>
                </w:p>
              </w:tc>
              <w:tc>
                <w:tcPr>
                  <w:tcW w:w="2155" w:type="pct"/>
                  <w:shd w:val="clear" w:color="auto" w:fill="auto"/>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5</w:t>
                  </w:r>
                  <w:r>
                    <w:rPr>
                      <w:rFonts w:ascii="Times New Roman" w:hAnsi="Times New Roman" w:eastAsia="宋体"/>
                      <w:color w:val="auto"/>
                      <w:highlight w:val="none"/>
                    </w:rPr>
                    <w:t>、贮存场所应划分装卸区、暂存区、完整废电池存放区和破损废电池存放区，并做好标识。</w:t>
                  </w:r>
                </w:p>
              </w:tc>
              <w:tc>
                <w:tcPr>
                  <w:tcW w:w="2004" w:type="pct"/>
                  <w:shd w:val="clear" w:color="auto" w:fill="auto"/>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本项目贮存场所设置装卸区、完整废电池存放区、破损电池存放区，并按要求做好标识。</w:t>
                  </w:r>
                </w:p>
              </w:tc>
              <w:tc>
                <w:tcPr>
                  <w:tcW w:w="449" w:type="pct"/>
                  <w:shd w:val="clear" w:color="auto" w:fill="auto"/>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92" w:type="pct"/>
                  <w:vMerge w:val="continue"/>
                  <w:shd w:val="clear" w:color="auto" w:fill="auto"/>
                  <w:vAlign w:val="center"/>
                </w:tcPr>
                <w:p>
                  <w:pPr>
                    <w:pStyle w:val="28"/>
                    <w:keepNext w:val="0"/>
                    <w:keepLines w:val="0"/>
                    <w:suppressLineNumbers w:val="0"/>
                    <w:bidi w:val="0"/>
                    <w:spacing w:before="0" w:beforeAutospacing="0" w:after="0" w:afterAutospacing="0"/>
                    <w:ind w:left="0" w:right="0"/>
                    <w:rPr>
                      <w:color w:val="auto"/>
                    </w:rPr>
                  </w:pPr>
                </w:p>
              </w:tc>
              <w:tc>
                <w:tcPr>
                  <w:tcW w:w="2155" w:type="pct"/>
                  <w:shd w:val="clear" w:color="auto" w:fill="auto"/>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6、贮存场所应有废水收集系统，以便对搬运过程废电池溢出的液体进行收集。</w:t>
                  </w:r>
                </w:p>
              </w:tc>
              <w:tc>
                <w:tcPr>
                  <w:tcW w:w="2004" w:type="pct"/>
                  <w:shd w:val="clear" w:color="auto" w:fill="auto"/>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本项目贮存场所设置导流</w:t>
                  </w:r>
                  <w:r>
                    <w:rPr>
                      <w:rFonts w:hint="eastAsia" w:ascii="Times New Roman" w:hAnsi="Times New Roman" w:eastAsia="宋体"/>
                      <w:color w:val="auto"/>
                      <w:lang w:val="en-US" w:eastAsia="zh-CN"/>
                    </w:rPr>
                    <w:t>槽</w:t>
                  </w:r>
                  <w:r>
                    <w:rPr>
                      <w:rFonts w:ascii="Times New Roman" w:hAnsi="Times New Roman" w:eastAsia="宋体"/>
                      <w:color w:val="auto"/>
                    </w:rPr>
                    <w:t>、废液收集池，对废电池溢出的液体进行收集。</w:t>
                  </w:r>
                </w:p>
              </w:tc>
              <w:tc>
                <w:tcPr>
                  <w:tcW w:w="449" w:type="pct"/>
                  <w:shd w:val="clear" w:color="auto" w:fill="auto"/>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92" w:type="pct"/>
                  <w:vMerge w:val="restart"/>
                  <w:shd w:val="clear" w:color="auto" w:fill="auto"/>
                  <w:vAlign w:val="center"/>
                </w:tcPr>
                <w:p>
                  <w:pPr>
                    <w:pStyle w:val="28"/>
                    <w:keepNext w:val="0"/>
                    <w:keepLines w:val="0"/>
                    <w:suppressLineNumbers w:val="0"/>
                    <w:bidi w:val="0"/>
                    <w:spacing w:before="0" w:beforeAutospacing="0" w:after="0" w:afterAutospacing="0"/>
                    <w:ind w:left="0" w:right="0"/>
                    <w:rPr>
                      <w:color w:val="auto"/>
                    </w:rPr>
                  </w:pPr>
                  <w:r>
                    <w:rPr>
                      <w:color w:val="auto"/>
                    </w:rPr>
                    <w:t>贮存要求</w:t>
                  </w:r>
                </w:p>
              </w:tc>
              <w:tc>
                <w:tcPr>
                  <w:tcW w:w="2155" w:type="pct"/>
                  <w:shd w:val="clear" w:color="auto" w:fill="auto"/>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1、贮存单位应按照最新版《危险废物经营许可证管理办法》的规定取得《国家危险废物名录》代码为HW49（900-044-49）的废铅酸蓄电池类危险废物经营许可证。</w:t>
                  </w:r>
                </w:p>
              </w:tc>
              <w:tc>
                <w:tcPr>
                  <w:tcW w:w="2004" w:type="pct"/>
                  <w:shd w:val="clear" w:color="auto" w:fill="auto"/>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本项目投产前必须按要求办理相关许可，代码为《国家危险废物名录（2021年版）》中HW31（900-052-31）。</w:t>
                  </w:r>
                </w:p>
              </w:tc>
              <w:tc>
                <w:tcPr>
                  <w:tcW w:w="449" w:type="pct"/>
                  <w:shd w:val="clear" w:color="auto" w:fill="auto"/>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92" w:type="pct"/>
                  <w:vMerge w:val="continue"/>
                  <w:shd w:val="clear" w:color="auto" w:fill="auto"/>
                  <w:vAlign w:val="center"/>
                </w:tcPr>
                <w:p>
                  <w:pPr>
                    <w:pStyle w:val="28"/>
                    <w:keepNext w:val="0"/>
                    <w:keepLines w:val="0"/>
                    <w:suppressLineNumbers w:val="0"/>
                    <w:bidi w:val="0"/>
                    <w:spacing w:before="0" w:beforeAutospacing="0" w:after="0" w:afterAutospacing="0"/>
                    <w:ind w:left="0" w:right="0"/>
                    <w:rPr>
                      <w:color w:val="auto"/>
                    </w:rPr>
                  </w:pPr>
                </w:p>
              </w:tc>
              <w:tc>
                <w:tcPr>
                  <w:tcW w:w="2155" w:type="pct"/>
                  <w:shd w:val="clear" w:color="auto" w:fill="auto"/>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2、应有符合国家环境保护标准或者技术规范要求的包装工件，暂存和集中贮存设施、设备。</w:t>
                  </w:r>
                </w:p>
              </w:tc>
              <w:tc>
                <w:tcPr>
                  <w:tcW w:w="2004" w:type="pct"/>
                  <w:shd w:val="clear" w:color="auto" w:fill="auto"/>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本项目严格按照《废铅蓄电池处理污染控制技术规范》（HJ519-2020）等文件要求，设置包装工件，暂存和集中贮存设施、设备。</w:t>
                  </w:r>
                </w:p>
              </w:tc>
              <w:tc>
                <w:tcPr>
                  <w:tcW w:w="449" w:type="pct"/>
                  <w:shd w:val="clear" w:color="auto" w:fill="auto"/>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92" w:type="pct"/>
                  <w:vMerge w:val="continue"/>
                  <w:shd w:val="clear" w:color="auto" w:fill="auto"/>
                  <w:vAlign w:val="center"/>
                </w:tcPr>
                <w:p>
                  <w:pPr>
                    <w:pStyle w:val="28"/>
                    <w:keepNext w:val="0"/>
                    <w:keepLines w:val="0"/>
                    <w:suppressLineNumbers w:val="0"/>
                    <w:bidi w:val="0"/>
                    <w:spacing w:before="0" w:beforeAutospacing="0" w:after="0" w:afterAutospacing="0"/>
                    <w:ind w:left="0" w:right="0"/>
                    <w:rPr>
                      <w:color w:val="auto"/>
                    </w:rPr>
                  </w:pPr>
                </w:p>
              </w:tc>
              <w:tc>
                <w:tcPr>
                  <w:tcW w:w="2155" w:type="pct"/>
                  <w:shd w:val="clear" w:color="auto" w:fill="auto"/>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3、应制定废电池集中贮存管理办法、操作规程、污染防治措施、事故应急救援措施等相关制度和办法。</w:t>
                  </w:r>
                </w:p>
              </w:tc>
              <w:tc>
                <w:tcPr>
                  <w:tcW w:w="2004" w:type="pct"/>
                  <w:shd w:val="clear" w:color="auto" w:fill="auto"/>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本项目投产前，必须制定废电池集中贮存管理办法、操作规程、污染防治措施、事故应急救援措施等相关制度和办法。</w:t>
                  </w:r>
                </w:p>
              </w:tc>
              <w:tc>
                <w:tcPr>
                  <w:tcW w:w="449" w:type="pct"/>
                  <w:shd w:val="clear" w:color="auto" w:fill="auto"/>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92" w:type="pct"/>
                  <w:vMerge w:val="continue"/>
                  <w:shd w:val="clear" w:color="auto" w:fill="auto"/>
                  <w:vAlign w:val="center"/>
                </w:tcPr>
                <w:p>
                  <w:pPr>
                    <w:pStyle w:val="28"/>
                    <w:keepNext w:val="0"/>
                    <w:keepLines w:val="0"/>
                    <w:suppressLineNumbers w:val="0"/>
                    <w:bidi w:val="0"/>
                    <w:spacing w:before="0" w:beforeAutospacing="0" w:after="0" w:afterAutospacing="0"/>
                    <w:ind w:left="0" w:right="0"/>
                    <w:rPr>
                      <w:color w:val="auto"/>
                    </w:rPr>
                  </w:pPr>
                </w:p>
              </w:tc>
              <w:tc>
                <w:tcPr>
                  <w:tcW w:w="2155" w:type="pct"/>
                  <w:shd w:val="clear" w:color="auto" w:fill="auto"/>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4、作业人员应配备4.3.2.1的个人防护装备。</w:t>
                  </w:r>
                </w:p>
              </w:tc>
              <w:tc>
                <w:tcPr>
                  <w:tcW w:w="2004" w:type="pct"/>
                  <w:shd w:val="clear" w:color="auto" w:fill="auto"/>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本项目运营过程为工作人员配备耐酸工作服、专用眼镜、耐酸手套等个人防护装备。</w:t>
                  </w:r>
                </w:p>
              </w:tc>
              <w:tc>
                <w:tcPr>
                  <w:tcW w:w="449" w:type="pct"/>
                  <w:shd w:val="clear" w:color="auto" w:fill="auto"/>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92" w:type="pct"/>
                  <w:vMerge w:val="continue"/>
                  <w:shd w:val="clear" w:color="auto" w:fill="auto"/>
                  <w:vAlign w:val="center"/>
                </w:tcPr>
                <w:p>
                  <w:pPr>
                    <w:pStyle w:val="28"/>
                    <w:keepNext w:val="0"/>
                    <w:keepLines w:val="0"/>
                    <w:suppressLineNumbers w:val="0"/>
                    <w:bidi w:val="0"/>
                    <w:spacing w:before="0" w:beforeAutospacing="0" w:after="0" w:afterAutospacing="0"/>
                    <w:ind w:left="0" w:right="0"/>
                    <w:rPr>
                      <w:color w:val="auto"/>
                    </w:rPr>
                  </w:pPr>
                </w:p>
              </w:tc>
              <w:tc>
                <w:tcPr>
                  <w:tcW w:w="2155" w:type="pct"/>
                  <w:shd w:val="clear" w:color="auto" w:fill="auto"/>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5、运输的废电池应先进入装卸区，采用叉车进行装卸，然后由叉车运至地磅计量称重，称重后经叉车运入暂存区，然后对废电池状态进行检查，并做好记录。</w:t>
                  </w:r>
                </w:p>
              </w:tc>
              <w:tc>
                <w:tcPr>
                  <w:tcW w:w="2004" w:type="pct"/>
                  <w:shd w:val="clear" w:color="auto" w:fill="auto"/>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本项目废铅酸蓄电池运输进场，严格按照操作规程：装卸→地磅称重→分类</w:t>
                  </w:r>
                  <w:r>
                    <w:rPr>
                      <w:rFonts w:hint="eastAsia"/>
                      <w:color w:val="auto"/>
                      <w:lang w:val="en-US" w:eastAsia="zh-CN"/>
                    </w:rPr>
                    <w:t>储存</w:t>
                  </w:r>
                  <w:r>
                    <w:rPr>
                      <w:rFonts w:ascii="Times New Roman" w:hAnsi="Times New Roman" w:eastAsia="宋体"/>
                      <w:color w:val="auto"/>
                    </w:rPr>
                    <w:t>、记录→入库暂存。</w:t>
                  </w:r>
                </w:p>
              </w:tc>
              <w:tc>
                <w:tcPr>
                  <w:tcW w:w="449" w:type="pct"/>
                  <w:shd w:val="clear" w:color="auto" w:fill="auto"/>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92" w:type="pct"/>
                  <w:vMerge w:val="continue"/>
                  <w:shd w:val="clear" w:color="auto" w:fill="auto"/>
                  <w:vAlign w:val="center"/>
                </w:tcPr>
                <w:p>
                  <w:pPr>
                    <w:pStyle w:val="28"/>
                    <w:keepNext w:val="0"/>
                    <w:keepLines w:val="0"/>
                    <w:suppressLineNumbers w:val="0"/>
                    <w:bidi w:val="0"/>
                    <w:spacing w:before="0" w:beforeAutospacing="0" w:after="0" w:afterAutospacing="0"/>
                    <w:ind w:left="0" w:right="0"/>
                    <w:rPr>
                      <w:color w:val="auto"/>
                    </w:rPr>
                  </w:pPr>
                </w:p>
              </w:tc>
              <w:tc>
                <w:tcPr>
                  <w:tcW w:w="2155" w:type="pct"/>
                  <w:shd w:val="clear" w:color="auto" w:fill="auto"/>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6、对检查完毕的废电池进行分类存放，码放整齐。</w:t>
                  </w:r>
                </w:p>
              </w:tc>
              <w:tc>
                <w:tcPr>
                  <w:tcW w:w="2004" w:type="pct"/>
                  <w:shd w:val="clear" w:color="auto" w:fill="auto"/>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highlight w:val="none"/>
                    </w:rPr>
                  </w:pPr>
                  <w:r>
                    <w:rPr>
                      <w:rFonts w:ascii="Times New Roman" w:hAnsi="Times New Roman" w:eastAsia="宋体"/>
                      <w:color w:val="auto"/>
                      <w:highlight w:val="none"/>
                    </w:rPr>
                    <w:t>本项目废铅酸蓄电池进场</w:t>
                  </w:r>
                  <w:r>
                    <w:rPr>
                      <w:rFonts w:hint="eastAsia"/>
                      <w:color w:val="auto"/>
                      <w:highlight w:val="none"/>
                      <w:lang w:val="en-US" w:eastAsia="zh-CN"/>
                    </w:rPr>
                    <w:t>分类存放、</w:t>
                  </w:r>
                  <w:r>
                    <w:rPr>
                      <w:rFonts w:ascii="Times New Roman" w:hAnsi="Times New Roman" w:eastAsia="宋体"/>
                      <w:color w:val="auto"/>
                      <w:highlight w:val="none"/>
                    </w:rPr>
                    <w:t>记录后，码放整齐。</w:t>
                  </w:r>
                </w:p>
              </w:tc>
              <w:tc>
                <w:tcPr>
                  <w:tcW w:w="449" w:type="pct"/>
                  <w:shd w:val="clear" w:color="auto" w:fill="auto"/>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92" w:type="pct"/>
                  <w:vMerge w:val="continue"/>
                  <w:shd w:val="clear" w:color="auto" w:fill="auto"/>
                  <w:vAlign w:val="center"/>
                </w:tcPr>
                <w:p>
                  <w:pPr>
                    <w:pStyle w:val="28"/>
                    <w:keepNext w:val="0"/>
                    <w:keepLines w:val="0"/>
                    <w:suppressLineNumbers w:val="0"/>
                    <w:bidi w:val="0"/>
                    <w:spacing w:before="0" w:beforeAutospacing="0" w:after="0" w:afterAutospacing="0"/>
                    <w:ind w:left="0" w:right="0"/>
                    <w:rPr>
                      <w:color w:val="auto"/>
                    </w:rPr>
                  </w:pPr>
                </w:p>
              </w:tc>
              <w:tc>
                <w:tcPr>
                  <w:tcW w:w="2155" w:type="pct"/>
                  <w:shd w:val="clear" w:color="auto" w:fill="auto"/>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7、收集的溢出液体应运至酸性电解液处理站，不得自行处置。</w:t>
                  </w:r>
                </w:p>
              </w:tc>
              <w:tc>
                <w:tcPr>
                  <w:tcW w:w="2004" w:type="pct"/>
                  <w:shd w:val="clear" w:color="auto" w:fill="auto"/>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highlight w:val="none"/>
                    </w:rPr>
                  </w:pPr>
                  <w:r>
                    <w:rPr>
                      <w:rFonts w:ascii="Times New Roman" w:hAnsi="Times New Roman" w:eastAsia="宋体"/>
                      <w:color w:val="auto"/>
                      <w:highlight w:val="none"/>
                    </w:rPr>
                    <w:t>本项目收集的溢出电解液等液体委托有相应资质的危废处置单位安全处置，严禁自行处置。</w:t>
                  </w:r>
                </w:p>
              </w:tc>
              <w:tc>
                <w:tcPr>
                  <w:tcW w:w="449" w:type="pct"/>
                  <w:shd w:val="clear" w:color="auto" w:fill="auto"/>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92" w:type="pct"/>
                  <w:vMerge w:val="continue"/>
                  <w:shd w:val="clear" w:color="auto" w:fill="auto"/>
                  <w:vAlign w:val="center"/>
                </w:tcPr>
                <w:p>
                  <w:pPr>
                    <w:pStyle w:val="28"/>
                    <w:keepNext w:val="0"/>
                    <w:keepLines w:val="0"/>
                    <w:suppressLineNumbers w:val="0"/>
                    <w:bidi w:val="0"/>
                    <w:spacing w:before="0" w:beforeAutospacing="0" w:after="0" w:afterAutospacing="0"/>
                    <w:ind w:left="0" w:right="0"/>
                    <w:rPr>
                      <w:color w:val="auto"/>
                    </w:rPr>
                  </w:pPr>
                </w:p>
              </w:tc>
              <w:tc>
                <w:tcPr>
                  <w:tcW w:w="2155" w:type="pct"/>
                  <w:shd w:val="clear" w:color="auto" w:fill="auto"/>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8、禁止擅自倾倒电解液，拆解、破碎、丢弃废电池。</w:t>
                  </w:r>
                </w:p>
              </w:tc>
              <w:tc>
                <w:tcPr>
                  <w:tcW w:w="2004" w:type="pct"/>
                  <w:shd w:val="clear" w:color="auto" w:fill="auto"/>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highlight w:val="none"/>
                    </w:rPr>
                  </w:pPr>
                  <w:r>
                    <w:rPr>
                      <w:rFonts w:ascii="Times New Roman" w:hAnsi="Times New Roman" w:eastAsia="宋体"/>
                      <w:color w:val="auto"/>
                      <w:highlight w:val="none"/>
                    </w:rPr>
                    <w:t>本项目严禁擅自倾倒电解液，拆解、破碎、丢弃废电池。</w:t>
                  </w:r>
                </w:p>
              </w:tc>
              <w:tc>
                <w:tcPr>
                  <w:tcW w:w="449" w:type="pct"/>
                  <w:shd w:val="clear" w:color="auto" w:fill="auto"/>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92" w:type="pct"/>
                  <w:vMerge w:val="continue"/>
                  <w:shd w:val="clear" w:color="auto" w:fill="auto"/>
                  <w:vAlign w:val="center"/>
                </w:tcPr>
                <w:p>
                  <w:pPr>
                    <w:pStyle w:val="28"/>
                    <w:keepNext w:val="0"/>
                    <w:keepLines w:val="0"/>
                    <w:suppressLineNumbers w:val="0"/>
                    <w:bidi w:val="0"/>
                    <w:spacing w:before="0" w:beforeAutospacing="0" w:after="0" w:afterAutospacing="0"/>
                    <w:ind w:left="0" w:right="0"/>
                    <w:rPr>
                      <w:color w:val="auto"/>
                    </w:rPr>
                  </w:pPr>
                </w:p>
              </w:tc>
              <w:tc>
                <w:tcPr>
                  <w:tcW w:w="2155" w:type="pct"/>
                  <w:shd w:val="clear" w:color="auto" w:fill="auto"/>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9、贮存标志、贮存记录、安全防护和污染控制等内容参照GB/T26493有关规定执行，贮存记录至少保存3年。</w:t>
                  </w:r>
                </w:p>
              </w:tc>
              <w:tc>
                <w:tcPr>
                  <w:tcW w:w="2004" w:type="pct"/>
                  <w:shd w:val="clear" w:color="auto" w:fill="auto"/>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本项目按照GB/T26493有关规定进行贮存标志、贮存记录、安全防护和污染控制等工作，且贮存记录保存3年以上。</w:t>
                  </w:r>
                </w:p>
              </w:tc>
              <w:tc>
                <w:tcPr>
                  <w:tcW w:w="449" w:type="pct"/>
                  <w:shd w:val="clear" w:color="auto" w:fill="auto"/>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92" w:type="pct"/>
                  <w:vMerge w:val="continue"/>
                  <w:shd w:val="clear" w:color="auto" w:fill="auto"/>
                  <w:vAlign w:val="center"/>
                </w:tcPr>
                <w:p>
                  <w:pPr>
                    <w:pStyle w:val="28"/>
                    <w:keepNext w:val="0"/>
                    <w:keepLines w:val="0"/>
                    <w:suppressLineNumbers w:val="0"/>
                    <w:bidi w:val="0"/>
                    <w:spacing w:before="0" w:beforeAutospacing="0" w:after="0" w:afterAutospacing="0"/>
                    <w:ind w:left="0" w:right="0"/>
                    <w:rPr>
                      <w:color w:val="auto"/>
                    </w:rPr>
                  </w:pPr>
                </w:p>
              </w:tc>
              <w:tc>
                <w:tcPr>
                  <w:tcW w:w="2155" w:type="pct"/>
                  <w:shd w:val="clear" w:color="auto" w:fill="auto"/>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10、贮存场所应配有准确称量设施，并定期校准。</w:t>
                  </w:r>
                </w:p>
              </w:tc>
              <w:tc>
                <w:tcPr>
                  <w:tcW w:w="2004" w:type="pct"/>
                  <w:shd w:val="clear" w:color="auto" w:fill="auto"/>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本项目贮存场所设置地磅，对进出场废铅酸蓄电池进行准确称量，地磅定期进行校准。</w:t>
                  </w:r>
                </w:p>
              </w:tc>
              <w:tc>
                <w:tcPr>
                  <w:tcW w:w="449" w:type="pct"/>
                  <w:shd w:val="clear" w:color="auto" w:fill="auto"/>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92" w:type="pct"/>
                  <w:vMerge w:val="continue"/>
                  <w:shd w:val="clear" w:color="auto" w:fill="auto"/>
                  <w:vAlign w:val="center"/>
                </w:tcPr>
                <w:p>
                  <w:pPr>
                    <w:pStyle w:val="28"/>
                    <w:keepNext w:val="0"/>
                    <w:keepLines w:val="0"/>
                    <w:suppressLineNumbers w:val="0"/>
                    <w:bidi w:val="0"/>
                    <w:spacing w:before="0" w:beforeAutospacing="0" w:after="0" w:afterAutospacing="0"/>
                    <w:ind w:left="0" w:right="0"/>
                    <w:rPr>
                      <w:color w:val="auto"/>
                    </w:rPr>
                  </w:pPr>
                </w:p>
              </w:tc>
              <w:tc>
                <w:tcPr>
                  <w:tcW w:w="2155" w:type="pct"/>
                  <w:shd w:val="clear" w:color="auto" w:fill="auto"/>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11、贮存场所的进出口、地磅及磅秤安置处应设置必要的监控设备，录像资料应至少保存3个月。</w:t>
                  </w:r>
                </w:p>
              </w:tc>
              <w:tc>
                <w:tcPr>
                  <w:tcW w:w="2004" w:type="pct"/>
                  <w:shd w:val="clear" w:color="auto" w:fill="auto"/>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本项目贮存车间进出口（地磅安装处）安装视频监控，录像资料保存3个月以上。</w:t>
                  </w:r>
                </w:p>
              </w:tc>
              <w:tc>
                <w:tcPr>
                  <w:tcW w:w="449" w:type="pct"/>
                  <w:shd w:val="clear" w:color="auto" w:fill="auto"/>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92" w:type="pct"/>
                  <w:shd w:val="clear" w:color="auto" w:fill="auto"/>
                  <w:vAlign w:val="center"/>
                </w:tcPr>
                <w:p>
                  <w:pPr>
                    <w:pStyle w:val="28"/>
                    <w:keepNext w:val="0"/>
                    <w:keepLines w:val="0"/>
                    <w:suppressLineNumbers w:val="0"/>
                    <w:bidi w:val="0"/>
                    <w:spacing w:before="0" w:beforeAutospacing="0" w:after="0" w:afterAutospacing="0"/>
                    <w:ind w:left="0" w:right="0"/>
                    <w:rPr>
                      <w:color w:val="auto"/>
                    </w:rPr>
                  </w:pPr>
                  <w:r>
                    <w:rPr>
                      <w:color w:val="auto"/>
                    </w:rPr>
                    <w:t>转移</w:t>
                  </w:r>
                </w:p>
              </w:tc>
              <w:tc>
                <w:tcPr>
                  <w:tcW w:w="2155" w:type="pct"/>
                  <w:shd w:val="clear" w:color="auto" w:fill="auto"/>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废电池转移过程应采用符合GB13392、GB21668要求的危险货物车辆运输，并应严格按照最新版《危险废物转移联单管理办法》的相关要求执行。</w:t>
                  </w:r>
                </w:p>
              </w:tc>
              <w:tc>
                <w:tcPr>
                  <w:tcW w:w="2004" w:type="pct"/>
                  <w:shd w:val="clear" w:color="auto" w:fill="auto"/>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本项目废铅酸蓄电池转移委托</w:t>
                  </w:r>
                  <w:r>
                    <w:rPr>
                      <w:rFonts w:hint="eastAsia" w:ascii="Times New Roman" w:hAnsi="Times New Roman" w:eastAsia="宋体"/>
                      <w:color w:val="auto"/>
                      <w:lang w:val="en-US" w:eastAsia="zh-CN"/>
                    </w:rPr>
                    <w:t>相关有资质企业进行处置</w:t>
                  </w:r>
                  <w:r>
                    <w:rPr>
                      <w:rFonts w:ascii="Times New Roman" w:hAnsi="Times New Roman" w:eastAsia="宋体"/>
                      <w:color w:val="auto"/>
                    </w:rPr>
                    <w:t>，并严格按照最新版《危险废物转移联单管理办法》进行管理。</w:t>
                  </w:r>
                </w:p>
              </w:tc>
              <w:tc>
                <w:tcPr>
                  <w:tcW w:w="449" w:type="pct"/>
                  <w:shd w:val="clear" w:color="auto" w:fill="auto"/>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bl>
          <w:p>
            <w:pPr>
              <w:keepNext w:val="0"/>
              <w:keepLines w:val="0"/>
              <w:suppressLineNumbers w:val="0"/>
              <w:bidi w:val="0"/>
              <w:spacing w:before="0" w:beforeAutospacing="0" w:after="0" w:afterAutospacing="0"/>
              <w:ind w:left="0" w:right="0"/>
              <w:rPr>
                <w:b/>
                <w:bCs/>
                <w:color w:val="auto"/>
              </w:rPr>
            </w:pPr>
            <w:r>
              <w:rPr>
                <w:b/>
                <w:bCs/>
                <w:color w:val="auto"/>
              </w:rPr>
              <w:t>（6）与《新乡市生态环境局新乡市交通运输局关于开展铅蓄电池集中收集和跨区域转运试点工作的通知》（新环〔2021〕110号）相符性分析</w:t>
            </w:r>
          </w:p>
          <w:p>
            <w:pPr>
              <w:keepNext w:val="0"/>
              <w:keepLines w:val="0"/>
              <w:suppressLineNumbers w:val="0"/>
              <w:bidi w:val="0"/>
              <w:spacing w:before="0" w:beforeAutospacing="0" w:after="0" w:afterAutospacing="0"/>
              <w:ind w:left="0" w:right="0"/>
              <w:rPr>
                <w:color w:val="auto"/>
              </w:rPr>
            </w:pPr>
            <w:r>
              <w:rPr>
                <w:color w:val="auto"/>
              </w:rPr>
              <w:t>针对废铅蓄电池集中收集工作，河南省生态环境厅印发了《河南省铅蓄电池集中收集和跨区域转运试点方案》（豫环文[2021]134号），新乡市也出台了《关于开展铅蓄电池集中收集和跨区域转运试点工作的通知》（新环〔2021〕110号），省市两级要求基本一致，本次评价对照新环〔2021〕110号文的要求进行分析。</w:t>
            </w:r>
          </w:p>
          <w:p>
            <w:pPr>
              <w:pStyle w:val="12"/>
              <w:keepNext w:val="0"/>
              <w:keepLines w:val="0"/>
              <w:suppressLineNumbers w:val="0"/>
              <w:bidi w:val="0"/>
              <w:spacing w:before="0" w:beforeAutospacing="0" w:after="0" w:afterAutospacing="0"/>
              <w:ind w:left="0" w:right="0"/>
              <w:rPr>
                <w:color w:val="auto"/>
              </w:rPr>
            </w:pPr>
            <w:r>
              <w:rPr>
                <w:color w:val="auto"/>
              </w:rPr>
              <w:t>表</w:t>
            </w:r>
            <w:r>
              <w:rPr>
                <w:rFonts w:hint="eastAsia"/>
                <w:color w:val="auto"/>
                <w:lang w:val="en-US" w:eastAsia="zh-CN"/>
              </w:rPr>
              <w:t xml:space="preserve"> 1-13</w:t>
            </w:r>
            <w:r>
              <w:rPr>
                <w:rFonts w:hint="eastAsia"/>
                <w:color w:val="auto"/>
              </w:rPr>
              <w:t xml:space="preserve">  </w:t>
            </w:r>
            <w:r>
              <w:rPr>
                <w:rFonts w:hint="eastAsia"/>
                <w:color w:val="auto"/>
                <w:lang w:val="en-US" w:eastAsia="zh-CN"/>
              </w:rPr>
              <w:t xml:space="preserve">  </w:t>
            </w:r>
            <w:r>
              <w:rPr>
                <w:color w:val="auto"/>
              </w:rPr>
              <w:t>与新环〔2021〕110号相符性分析</w:t>
            </w:r>
          </w:p>
          <w:tbl>
            <w:tblPr>
              <w:tblStyle w:val="22"/>
              <w:tblW w:w="495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18"/>
              <w:gridCol w:w="3370"/>
              <w:gridCol w:w="2605"/>
              <w:gridCol w:w="49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6" w:type="pct"/>
                  <w:tcBorders>
                    <w:top w:val="single" w:color="auto" w:sz="8" w:space="0"/>
                    <w:bottom w:val="single" w:color="auto" w:sz="8" w:space="0"/>
                  </w:tcBorders>
                  <w:shd w:val="clear" w:color="auto" w:fill="auto"/>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类别</w:t>
                  </w:r>
                </w:p>
              </w:tc>
              <w:tc>
                <w:tcPr>
                  <w:tcW w:w="2379" w:type="pct"/>
                  <w:tcBorders>
                    <w:top w:val="single" w:color="auto" w:sz="8" w:space="0"/>
                    <w:bottom w:val="single" w:color="auto" w:sz="8" w:space="0"/>
                  </w:tcBorders>
                  <w:shd w:val="clear" w:color="auto" w:fill="auto"/>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要求内容</w:t>
                  </w:r>
                </w:p>
              </w:tc>
              <w:tc>
                <w:tcPr>
                  <w:tcW w:w="1839" w:type="pct"/>
                  <w:tcBorders>
                    <w:top w:val="single" w:color="auto" w:sz="8" w:space="0"/>
                    <w:bottom w:val="single" w:color="auto" w:sz="8" w:space="0"/>
                  </w:tcBorders>
                  <w:shd w:val="clear" w:color="auto" w:fill="auto"/>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本项目</w:t>
                  </w:r>
                </w:p>
              </w:tc>
              <w:tc>
                <w:tcPr>
                  <w:tcW w:w="346" w:type="pct"/>
                  <w:tcBorders>
                    <w:top w:val="single" w:color="auto" w:sz="8" w:space="0"/>
                    <w:bottom w:val="single" w:color="auto" w:sz="8" w:space="0"/>
                  </w:tcBorders>
                  <w:shd w:val="clear" w:color="auto" w:fill="auto"/>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相符性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6" w:type="pct"/>
                  <w:tcBorders>
                    <w:top w:val="single" w:color="auto" w:sz="8" w:space="0"/>
                    <w:bottom w:val="single" w:color="auto" w:sz="8" w:space="0"/>
                  </w:tcBorders>
                  <w:shd w:val="clear" w:color="auto" w:fill="auto"/>
                  <w:vAlign w:val="center"/>
                </w:tcPr>
                <w:p>
                  <w:pPr>
                    <w:pStyle w:val="28"/>
                    <w:keepNext w:val="0"/>
                    <w:keepLines w:val="0"/>
                    <w:suppressLineNumbers w:val="0"/>
                    <w:bidi w:val="0"/>
                    <w:spacing w:before="0" w:beforeAutospacing="0" w:after="0" w:afterAutospacing="0"/>
                    <w:ind w:left="0" w:right="0"/>
                    <w:rPr>
                      <w:color w:val="auto"/>
                    </w:rPr>
                  </w:pPr>
                  <w:r>
                    <w:rPr>
                      <w:color w:val="auto"/>
                    </w:rPr>
                    <w:t>一、总体要求</w:t>
                  </w:r>
                </w:p>
              </w:tc>
              <w:tc>
                <w:tcPr>
                  <w:tcW w:w="2379" w:type="pct"/>
                  <w:tcBorders>
                    <w:top w:val="single" w:color="auto" w:sz="8" w:space="0"/>
                    <w:bottom w:val="single" w:color="auto" w:sz="8" w:space="0"/>
                  </w:tcBorders>
                  <w:shd w:val="clear" w:color="auto" w:fill="auto"/>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以习近平新时代中国特色社会主义思想为指导，深入落实习近平生态文明思想，贯彻全国生态环境保护大会精神，坚持“企业自律、政府监管；多方参与、共建体系；分类管理、分级负责；管服结合、简政为民”的原则，在全市范围内全面推行试点工作。争取到2022年，铅蓄电池生产企业的生产者责任延伸制度基本落实，再生铅行业回收体系初步建立，废铅蓄电池回收利用行为纳入危险废物信息化监管系统，规范收集处理率达到50%左右。</w:t>
                  </w:r>
                </w:p>
              </w:tc>
              <w:tc>
                <w:tcPr>
                  <w:tcW w:w="1839" w:type="pct"/>
                  <w:tcBorders>
                    <w:top w:val="single" w:color="auto" w:sz="8" w:space="0"/>
                    <w:bottom w:val="single" w:color="auto" w:sz="8" w:space="0"/>
                  </w:tcBorders>
                  <w:shd w:val="clear" w:color="auto" w:fill="auto"/>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本项目建成后，废铅蓄电池回收将纳入危险废物信息化监管系统。</w:t>
                  </w:r>
                </w:p>
              </w:tc>
              <w:tc>
                <w:tcPr>
                  <w:tcW w:w="346" w:type="pct"/>
                  <w:tcBorders>
                    <w:top w:val="single" w:color="auto" w:sz="8" w:space="0"/>
                    <w:bottom w:val="single" w:color="auto" w:sz="8" w:space="0"/>
                  </w:tcBorders>
                  <w:shd w:val="clear" w:color="auto" w:fill="auto"/>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6" w:type="pct"/>
                  <w:tcBorders>
                    <w:top w:val="single" w:color="auto" w:sz="8" w:space="0"/>
                    <w:bottom w:val="single" w:color="auto" w:sz="8" w:space="0"/>
                  </w:tcBorders>
                  <w:shd w:val="clear" w:color="auto" w:fill="auto"/>
                  <w:vAlign w:val="center"/>
                </w:tcPr>
                <w:p>
                  <w:pPr>
                    <w:pStyle w:val="28"/>
                    <w:keepNext w:val="0"/>
                    <w:keepLines w:val="0"/>
                    <w:suppressLineNumbers w:val="0"/>
                    <w:bidi w:val="0"/>
                    <w:spacing w:before="0" w:beforeAutospacing="0" w:after="0" w:afterAutospacing="0"/>
                    <w:ind w:left="0" w:right="0"/>
                    <w:rPr>
                      <w:color w:val="auto"/>
                    </w:rPr>
                  </w:pPr>
                  <w:r>
                    <w:rPr>
                      <w:color w:val="auto"/>
                    </w:rPr>
                    <w:t>二、实行分类管理</w:t>
                  </w:r>
                </w:p>
              </w:tc>
              <w:tc>
                <w:tcPr>
                  <w:tcW w:w="2379" w:type="pct"/>
                  <w:tcBorders>
                    <w:top w:val="single" w:color="auto" w:sz="8" w:space="0"/>
                    <w:bottom w:val="single" w:color="auto" w:sz="8" w:space="0"/>
                  </w:tcBorders>
                  <w:shd w:val="clear" w:color="auto" w:fill="auto"/>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根据收集单位的规模和收集贮存运输等条件，及其在再生铅行业回收体系中的功能定位，分为以下三类单位：</w:t>
                  </w:r>
                </w:p>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1.第一类单位：一般收集、贮存网点，是指铅蓄电池销售网点、机动车4S店、汽车及电动自行车维修网点等单位。第一类单位收集、暂存外壳未破损的密封式免维护废铅蓄电池；可在耐腐蚀、不易破损的专用容器中，暂存自身生产经营活动中在贮存点现场产生的开口式废铅蓄电池和外壳有破损、拆封的密封式免维护废铅蓄电池。</w:t>
                  </w:r>
                </w:p>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2.第二类单位：具备从事废铅蓄电池收集转运相应条件的专业回收企业。</w:t>
                  </w:r>
                </w:p>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第二类单位可以收集、贮存、转运外壳未破损的密封式免维护废铅蓄电池，也可以收集、贮存、转运开口式废铅蓄电池和外壳有破损、拆封的密封式免维护废铅蓄电池，可以接收第一类单位收集、贮存的废铅蓄电池。</w:t>
                  </w:r>
                </w:p>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3.第三类单位：已经取得河南省危险废物经营许可证的废铅蓄电池收集、运输、拆解、再生利用等综合生产经营的企业，在我省境内另外选址设立的集中收集点。第三类单位可以收集、贮存、转运各种类型的废铅蓄电池。</w:t>
                  </w:r>
                </w:p>
              </w:tc>
              <w:tc>
                <w:tcPr>
                  <w:tcW w:w="1839" w:type="pct"/>
                  <w:tcBorders>
                    <w:top w:val="single" w:color="auto" w:sz="8" w:space="0"/>
                    <w:bottom w:val="single" w:color="auto" w:sz="8" w:space="0"/>
                  </w:tcBorders>
                  <w:shd w:val="clear" w:color="auto" w:fill="auto"/>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根据本单位收集规模和收集贮存运输等条件，本单位属于第二类单位，可以收集、贮存、转运外壳未破损的密封式免维护废铅蓄电池，也可以收集、贮存、转运开口式废铅蓄电池和外壳有破损、拆封的密封式免维护废铅蓄电池，可以接收第一类单位收集、贮存的废铅蓄电池。</w:t>
                  </w:r>
                </w:p>
              </w:tc>
              <w:tc>
                <w:tcPr>
                  <w:tcW w:w="346" w:type="pct"/>
                  <w:tcBorders>
                    <w:top w:val="single" w:color="auto" w:sz="8" w:space="0"/>
                    <w:bottom w:val="single" w:color="auto" w:sz="8" w:space="0"/>
                  </w:tcBorders>
                  <w:shd w:val="clear" w:color="auto" w:fill="auto"/>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6" w:type="pct"/>
                  <w:tcBorders>
                    <w:top w:val="single" w:color="auto" w:sz="8" w:space="0"/>
                    <w:bottom w:val="single" w:color="auto" w:sz="8" w:space="0"/>
                  </w:tcBorders>
                  <w:shd w:val="clear" w:color="auto" w:fill="auto"/>
                  <w:vAlign w:val="center"/>
                </w:tcPr>
                <w:p>
                  <w:pPr>
                    <w:pStyle w:val="28"/>
                    <w:keepNext w:val="0"/>
                    <w:keepLines w:val="0"/>
                    <w:suppressLineNumbers w:val="0"/>
                    <w:bidi w:val="0"/>
                    <w:spacing w:before="0" w:beforeAutospacing="0" w:after="0" w:afterAutospacing="0"/>
                    <w:ind w:left="0" w:right="0"/>
                    <w:rPr>
                      <w:color w:val="auto"/>
                    </w:rPr>
                  </w:pPr>
                  <w:r>
                    <w:rPr>
                      <w:rFonts w:hint="eastAsia"/>
                      <w:color w:val="auto"/>
                      <w:lang w:val="en-US" w:eastAsia="zh-CN"/>
                    </w:rPr>
                    <w:t>三</w:t>
                  </w:r>
                  <w:r>
                    <w:rPr>
                      <w:color w:val="auto"/>
                    </w:rPr>
                    <w:t>、试点单位备案、申领许可证要求</w:t>
                  </w:r>
                </w:p>
              </w:tc>
              <w:tc>
                <w:tcPr>
                  <w:tcW w:w="2379" w:type="pct"/>
                  <w:tcBorders>
                    <w:top w:val="single" w:color="auto" w:sz="8" w:space="0"/>
                    <w:bottom w:val="single" w:color="auto" w:sz="8" w:space="0"/>
                  </w:tcBorders>
                  <w:shd w:val="clear" w:color="auto" w:fill="auto"/>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2、第二类单位</w:t>
                  </w:r>
                </w:p>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需要具备以下条件：（1）具有独立的企业法人资格；（2）具有固定的经营场所；（3）具有负责收集贮存运输的专职技术人员；（4）具有符合国家或者地方环境保护标准和安全要求的仓储设施、包装设备和运输车辆；（5）具有保证危险废物收集贮存安全的规章制度、污染防治措施和环境应急预案；（6）与合法的电池生产企业或再生铅企业具有稳定的合作关系。</w:t>
                  </w:r>
                </w:p>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申领收集许可证应当提交以下材料：</w:t>
                  </w:r>
                </w:p>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1）废铅蓄电池危险废物收集（临时）许可证申请表。（2）有防雨、防渗、防遗撒、耐腐蚀的运输工具和专职收集运输人员的证明材料。主要包括：废铅蓄电池运输车辆照片、行驶证、相关参数说明；危险废物运输人员与申请单位签订的劳动合同等能证明劳动关系的证明材料，如驾驶执照、合同聘用文本及聘期、合同期间社保证明、工资银行流水单等；专业回收单位与危险废物运输公司签订运输协议的，需提供协议复印件。</w:t>
                  </w:r>
                </w:p>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3）有符合国家或者地方环境保护标准和安全要求的包装工具，贮存设施、设备的证明材料。主要包括：包装工具照片或图样及文字说明；贮存设施、设备的照片、设计文件及文字说明、施工报告；贮存设施、设备的名称、贮存能力、数量、贮存危险废物性质、其他技术参数等。</w:t>
                  </w:r>
                </w:p>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（4）有合法资质和审批手续的证明材料。主要包括：营业执照复印件；环境影响评价批复文件复印件；贮存设施产权或使用权证明。</w:t>
                  </w:r>
                </w:p>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5）有保证危险废物收集贮存安全的规章制度、污染防治措施和事故应急救援措施的证明材料。主要包括：意外突发事故应急救援预案及相关设备；有关应急装备、设施和器材的清单，包括应急预案、设备种类、名称、数量、存放位置、规格、性能、用途和用法等信息；人员培训制度。</w:t>
                  </w:r>
                </w:p>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（6）与电池生产企业或再生铅企业签订的有效期一年以上合作协议或合同。</w:t>
                  </w:r>
                </w:p>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（7）县（市、区）生态环境分局初审意见。</w:t>
                  </w:r>
                </w:p>
              </w:tc>
              <w:tc>
                <w:tcPr>
                  <w:tcW w:w="1839" w:type="pct"/>
                  <w:tcBorders>
                    <w:top w:val="single" w:color="auto" w:sz="8" w:space="0"/>
                    <w:bottom w:val="single" w:color="auto" w:sz="8" w:space="0"/>
                  </w:tcBorders>
                  <w:shd w:val="clear" w:color="auto" w:fill="auto"/>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本单位具备试点单位备案的条件：（1）具有独立的企业法人资格；（2）具有固定的经营场所；（3）具有负责收集贮存运输的专职技术人员；（4）具有符合国家或者地方环境保护标准和安全要求的仓储设施、包装设备和运输车辆；（5）具有保证危险废物收集贮存安全的规章制度、污染防治措施和环境应急预案；（6）已与</w:t>
                  </w:r>
                  <w:r>
                    <w:rPr>
                      <w:rFonts w:hint="eastAsia" w:ascii="Times New Roman" w:hAnsi="Times New Roman" w:eastAsia="宋体"/>
                      <w:color w:val="auto"/>
                    </w:rPr>
                    <w:t>济源市鸿达资源综合利用有限公司</w:t>
                  </w:r>
                  <w:r>
                    <w:rPr>
                      <w:rFonts w:ascii="Times New Roman" w:hAnsi="Times New Roman" w:eastAsia="宋体"/>
                      <w:color w:val="auto"/>
                    </w:rPr>
                    <w:t>建立稳定的合作关系。</w:t>
                  </w:r>
                </w:p>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本项目现处于环评阶段，将按照以下要求建设：</w:t>
                  </w:r>
                </w:p>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1）有防雨、防渗、防遗撒、耐腐蚀的运输工具和专职收集运输人员的证明材料。（2）有符合国家或者地方环境保护标准和安全要求的包装工具，贮存设施、设备的证明材料。（3）建立危险废物收集贮存安全的规章制度、污染防治措施和事故应急救援措施。</w:t>
                  </w:r>
                </w:p>
              </w:tc>
              <w:tc>
                <w:tcPr>
                  <w:tcW w:w="346" w:type="pct"/>
                  <w:tcBorders>
                    <w:top w:val="single" w:color="auto" w:sz="8" w:space="0"/>
                    <w:bottom w:val="single" w:color="auto" w:sz="8" w:space="0"/>
                  </w:tcBorders>
                  <w:shd w:val="clear" w:color="auto" w:fill="auto"/>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6" w:type="pct"/>
                  <w:tcBorders>
                    <w:top w:val="single" w:color="auto" w:sz="8" w:space="0"/>
                  </w:tcBorders>
                  <w:shd w:val="clear" w:color="auto" w:fill="auto"/>
                  <w:vAlign w:val="center"/>
                </w:tcPr>
                <w:p>
                  <w:pPr>
                    <w:pStyle w:val="28"/>
                    <w:keepNext w:val="0"/>
                    <w:keepLines w:val="0"/>
                    <w:suppressLineNumbers w:val="0"/>
                    <w:bidi w:val="0"/>
                    <w:spacing w:before="0" w:beforeAutospacing="0" w:after="0" w:afterAutospacing="0"/>
                    <w:ind w:left="0" w:right="0"/>
                    <w:rPr>
                      <w:color w:val="auto"/>
                    </w:rPr>
                  </w:pPr>
                  <w:r>
                    <w:rPr>
                      <w:rFonts w:hint="eastAsia"/>
                      <w:color w:val="auto"/>
                      <w:lang w:val="en-US" w:eastAsia="zh-CN"/>
                    </w:rPr>
                    <w:t>四</w:t>
                  </w:r>
                  <w:r>
                    <w:rPr>
                      <w:color w:val="auto"/>
                    </w:rPr>
                    <w:t>、其他要求</w:t>
                  </w:r>
                </w:p>
              </w:tc>
              <w:tc>
                <w:tcPr>
                  <w:tcW w:w="2379" w:type="pct"/>
                  <w:tcBorders>
                    <w:top w:val="single" w:color="auto" w:sz="8" w:space="0"/>
                    <w:bottom w:val="single" w:color="auto" w:sz="8" w:space="0"/>
                  </w:tcBorders>
                  <w:shd w:val="clear" w:color="auto" w:fill="auto"/>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3、完善废铅蓄电池信息化监管措施</w:t>
                  </w:r>
                </w:p>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县（市、区）生态环境分局要完善废铅蓄电池信息化监管措施，监督收集单位建立台账，如实记录收集、贮存、转移废铅蓄电池的数量、重量、去向等信息，并纳入全国固体废物管理信息系统，收集网点以危险废物产生单位的身份登录固体废物信息系统，专业回收单位和综合回收处置单位取得危险废物收集许可证或登记备案后以危险废物经营单位身份登录固体废物信息系统，执行危险废物转移电子联单制度。如收集网点不能以危险废物产生单位的身份登录固体废物信息系统，收集、转运废铅蓄电池应当填写纸质危险废物转移联单，并建立转运台账备查。</w:t>
                  </w:r>
                </w:p>
              </w:tc>
              <w:tc>
                <w:tcPr>
                  <w:tcW w:w="1839" w:type="pct"/>
                  <w:tcBorders>
                    <w:top w:val="single" w:color="auto" w:sz="8" w:space="0"/>
                    <w:bottom w:val="single" w:color="auto" w:sz="8" w:space="0"/>
                  </w:tcBorders>
                  <w:shd w:val="clear" w:color="auto" w:fill="auto"/>
                  <w:vAlign w:val="center"/>
                </w:tcPr>
                <w:p>
                  <w:pPr>
                    <w:pStyle w:val="28"/>
                    <w:keepNext w:val="0"/>
                    <w:keepLines w:val="0"/>
                    <w:suppressLineNumbers w:val="0"/>
                    <w:bidi w:val="0"/>
                    <w:spacing w:before="0" w:beforeAutospacing="0" w:after="0" w:afterAutospacing="0"/>
                    <w:ind w:left="0" w:right="0"/>
                    <w:jc w:val="both"/>
                    <w:rPr>
                      <w:rFonts w:ascii="Times New Roman" w:hAnsi="Times New Roman" w:eastAsia="宋体"/>
                      <w:color w:val="auto"/>
                    </w:rPr>
                  </w:pPr>
                  <w:r>
                    <w:rPr>
                      <w:rFonts w:ascii="Times New Roman" w:hAnsi="Times New Roman" w:eastAsia="宋体"/>
                      <w:color w:val="auto"/>
                    </w:rPr>
                    <w:t>本项目建成后，按要求建立台账，如实记录收集、贮存、转移废铅蓄电池的数量、重量、去向等信息，并纳入全国固体废物管理信息系统，待取得危险废物收集许可证或登记备案后以危险废物经营单位身份登录固体废物信息系统，执行危险废物转移电子联单制度。</w:t>
                  </w:r>
                </w:p>
              </w:tc>
              <w:tc>
                <w:tcPr>
                  <w:tcW w:w="346" w:type="pct"/>
                  <w:tcBorders>
                    <w:top w:val="single" w:color="auto" w:sz="8" w:space="0"/>
                    <w:bottom w:val="single" w:color="auto" w:sz="8" w:space="0"/>
                  </w:tcBorders>
                  <w:shd w:val="clear" w:color="auto" w:fill="auto"/>
                  <w:vAlign w:val="center"/>
                </w:tcPr>
                <w:p>
                  <w:pPr>
                    <w:pStyle w:val="28"/>
                    <w:keepNext w:val="0"/>
                    <w:keepLines w:val="0"/>
                    <w:suppressLineNumbers w:val="0"/>
                    <w:bidi w:val="0"/>
                    <w:spacing w:before="0" w:beforeAutospacing="0" w:after="0" w:afterAutospacing="0"/>
                    <w:ind w:left="0" w:right="0"/>
                    <w:rPr>
                      <w:color w:val="auto"/>
                    </w:rPr>
                  </w:pPr>
                  <w:r>
                    <w:rPr>
                      <w:color w:val="auto"/>
                    </w:rPr>
                    <w:t>符合</w:t>
                  </w:r>
                </w:p>
              </w:tc>
            </w:tr>
          </w:tbl>
          <w:p>
            <w:pPr>
              <w:keepNext w:val="0"/>
              <w:keepLines w:val="0"/>
              <w:suppressLineNumbers w:val="0"/>
              <w:spacing w:before="0" w:beforeAutospacing="0" w:after="0" w:afterAutospacing="0"/>
              <w:ind w:left="0" w:right="0"/>
              <w:rPr>
                <w:color w:val="auto"/>
                <w:highlight w:val="none"/>
              </w:rPr>
            </w:pPr>
          </w:p>
          <w:p>
            <w:pPr>
              <w:keepNext w:val="0"/>
              <w:keepLines w:val="0"/>
              <w:suppressLineNumbers w:val="0"/>
              <w:spacing w:before="0" w:beforeAutospacing="0" w:after="0" w:afterAutospacing="0"/>
              <w:ind w:left="0" w:right="0"/>
              <w:rPr>
                <w:color w:val="auto"/>
                <w:highlight w:val="none"/>
              </w:rPr>
            </w:pPr>
          </w:p>
          <w:p>
            <w:pPr>
              <w:keepNext w:val="0"/>
              <w:keepLines w:val="0"/>
              <w:suppressLineNumbers w:val="0"/>
              <w:spacing w:before="0" w:beforeAutospacing="0" w:after="0" w:afterAutospacing="0"/>
              <w:ind w:left="0" w:right="0"/>
              <w:rPr>
                <w:rFonts w:hAnsi="宋体"/>
                <w:color w:val="auto"/>
              </w:rPr>
            </w:pPr>
          </w:p>
          <w:p>
            <w:pPr>
              <w:keepNext w:val="0"/>
              <w:keepLines w:val="0"/>
              <w:suppressLineNumbers w:val="0"/>
              <w:spacing w:before="0" w:beforeAutospacing="0" w:after="0" w:afterAutospacing="0"/>
              <w:ind w:left="0" w:right="0"/>
              <w:rPr>
                <w:rFonts w:hAnsi="宋体"/>
                <w:color w:val="auto"/>
              </w:rPr>
            </w:pPr>
          </w:p>
          <w:p>
            <w:pPr>
              <w:keepNext w:val="0"/>
              <w:keepLines w:val="0"/>
              <w:suppressLineNumbers w:val="0"/>
              <w:spacing w:before="0" w:beforeAutospacing="0" w:after="0" w:afterAutospacing="0"/>
              <w:ind w:left="0" w:right="0"/>
              <w:rPr>
                <w:rFonts w:hAnsi="宋体"/>
                <w:color w:val="auto"/>
              </w:rPr>
            </w:pPr>
          </w:p>
          <w:p>
            <w:pPr>
              <w:keepNext w:val="0"/>
              <w:keepLines w:val="0"/>
              <w:suppressLineNumbers w:val="0"/>
              <w:spacing w:before="0" w:beforeAutospacing="0" w:after="0" w:afterAutospacing="0"/>
              <w:ind w:left="0" w:right="0"/>
              <w:rPr>
                <w:rFonts w:hAnsi="宋体"/>
                <w:color w:val="auto"/>
              </w:rPr>
            </w:pPr>
          </w:p>
          <w:p>
            <w:pPr>
              <w:keepNext w:val="0"/>
              <w:keepLines w:val="0"/>
              <w:suppressLineNumbers w:val="0"/>
              <w:spacing w:before="0" w:beforeAutospacing="0" w:after="0" w:afterAutospacing="0"/>
              <w:ind w:left="0" w:right="0"/>
              <w:rPr>
                <w:rFonts w:hAnsi="宋体"/>
                <w:color w:val="auto"/>
              </w:rPr>
            </w:pPr>
          </w:p>
          <w:p>
            <w:pPr>
              <w:keepNext w:val="0"/>
              <w:keepLines w:val="0"/>
              <w:suppressLineNumbers w:val="0"/>
              <w:spacing w:before="0" w:beforeAutospacing="0" w:after="0" w:afterAutospacing="0"/>
              <w:ind w:left="0" w:right="0"/>
              <w:rPr>
                <w:rFonts w:hAnsi="宋体"/>
                <w:color w:val="auto"/>
              </w:rPr>
            </w:pPr>
          </w:p>
          <w:p>
            <w:pPr>
              <w:keepNext w:val="0"/>
              <w:keepLines w:val="0"/>
              <w:suppressLineNumbers w:val="0"/>
              <w:spacing w:before="0" w:beforeAutospacing="0" w:after="0" w:afterAutospacing="0"/>
              <w:ind w:left="0" w:right="0"/>
              <w:rPr>
                <w:rFonts w:hAnsi="宋体"/>
                <w:color w:val="auto"/>
              </w:rPr>
            </w:pPr>
          </w:p>
          <w:p>
            <w:pPr>
              <w:keepNext w:val="0"/>
              <w:keepLines w:val="0"/>
              <w:suppressLineNumbers w:val="0"/>
              <w:spacing w:before="0" w:beforeAutospacing="0" w:after="0" w:afterAutospacing="0"/>
              <w:ind w:left="0" w:right="0"/>
              <w:rPr>
                <w:rFonts w:hAnsi="宋体"/>
                <w:color w:val="auto"/>
              </w:rPr>
            </w:pPr>
          </w:p>
          <w:p>
            <w:pPr>
              <w:keepNext w:val="0"/>
              <w:keepLines w:val="0"/>
              <w:suppressLineNumbers w:val="0"/>
              <w:spacing w:before="0" w:beforeAutospacing="0" w:after="0" w:afterAutospacing="0"/>
              <w:ind w:left="0" w:right="0"/>
              <w:rPr>
                <w:rFonts w:hAnsi="宋体"/>
                <w:color w:val="auto"/>
              </w:rPr>
            </w:pPr>
          </w:p>
          <w:p>
            <w:pPr>
              <w:keepNext w:val="0"/>
              <w:keepLines w:val="0"/>
              <w:suppressLineNumbers w:val="0"/>
              <w:spacing w:before="0" w:beforeAutospacing="0" w:after="0" w:afterAutospacing="0"/>
              <w:ind w:left="0" w:right="0"/>
              <w:rPr>
                <w:rFonts w:hAnsi="宋体"/>
                <w:color w:val="auto"/>
              </w:rPr>
            </w:pPr>
          </w:p>
          <w:p>
            <w:pPr>
              <w:keepNext w:val="0"/>
              <w:keepLines w:val="0"/>
              <w:suppressLineNumbers w:val="0"/>
              <w:spacing w:before="0" w:beforeAutospacing="0" w:after="0" w:afterAutospacing="0"/>
              <w:ind w:left="0" w:right="0"/>
              <w:rPr>
                <w:rFonts w:hAnsi="宋体"/>
                <w:color w:val="auto"/>
              </w:rPr>
            </w:pPr>
          </w:p>
          <w:p>
            <w:pPr>
              <w:keepNext w:val="0"/>
              <w:keepLines w:val="0"/>
              <w:suppressLineNumbers w:val="0"/>
              <w:spacing w:before="0" w:beforeAutospacing="0" w:after="0" w:afterAutospacing="0"/>
              <w:ind w:left="0" w:right="0"/>
              <w:rPr>
                <w:rFonts w:hAnsi="宋体"/>
                <w:color w:val="auto"/>
              </w:rPr>
            </w:pPr>
          </w:p>
          <w:p>
            <w:pPr>
              <w:keepNext w:val="0"/>
              <w:keepLines w:val="0"/>
              <w:suppressLineNumbers w:val="0"/>
              <w:spacing w:before="0" w:beforeAutospacing="0" w:after="0" w:afterAutospacing="0"/>
              <w:ind w:left="0" w:right="0"/>
              <w:rPr>
                <w:rFonts w:hAnsi="宋体"/>
                <w:color w:val="auto"/>
              </w:rPr>
            </w:pPr>
          </w:p>
          <w:p>
            <w:pPr>
              <w:keepNext w:val="0"/>
              <w:keepLines w:val="0"/>
              <w:suppressLineNumbers w:val="0"/>
              <w:bidi w:val="0"/>
              <w:spacing w:before="0" w:beforeAutospacing="0" w:after="0" w:afterAutospacing="0"/>
              <w:ind w:left="0" w:right="0"/>
              <w:rPr>
                <w:color w:val="auto"/>
              </w:rPr>
            </w:pPr>
          </w:p>
          <w:p>
            <w:pPr>
              <w:keepNext w:val="0"/>
              <w:keepLines w:val="0"/>
              <w:suppressLineNumbers w:val="0"/>
              <w:spacing w:before="0" w:beforeAutospacing="0" w:after="0" w:afterAutospacing="0"/>
              <w:ind w:left="0" w:right="0"/>
              <w:rPr>
                <w:rFonts w:hAnsi="宋体"/>
                <w:color w:val="auto"/>
              </w:rPr>
            </w:pPr>
          </w:p>
        </w:tc>
      </w:tr>
    </w:tbl>
    <w:p>
      <w:pPr>
        <w:spacing w:line="360" w:lineRule="auto"/>
        <w:outlineLvl w:val="0"/>
        <w:rPr>
          <w:rFonts w:eastAsia="黑体"/>
          <w:color w:val="auto"/>
          <w:sz w:val="30"/>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
        <w:bidi w:val="0"/>
        <w:rPr>
          <w:color w:val="auto"/>
        </w:rPr>
      </w:pPr>
      <w:bookmarkStart w:id="99" w:name="_Hlk117171104"/>
      <w:r>
        <w:rPr>
          <w:color w:val="auto"/>
        </w:rPr>
        <w:t>二、建设项目工程分析</w:t>
      </w:r>
    </w:p>
    <w:bookmarkEnd w:id="99"/>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5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51" w:hRule="atLeast"/>
          <w:jc w:val="center"/>
        </w:trPr>
        <w:tc>
          <w:tcPr>
            <w:tcW w:w="45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color w:val="auto"/>
                <w:szCs w:val="21"/>
              </w:rPr>
            </w:pPr>
            <w:bookmarkStart w:id="100" w:name="_Hlk118816099"/>
            <w:bookmarkStart w:id="101" w:name="_Hlk117171109"/>
            <w:r>
              <w:rPr>
                <w:color w:val="auto"/>
                <w:sz w:val="24"/>
              </w:rPr>
              <w:t>建设内容</w:t>
            </w:r>
          </w:p>
        </w:tc>
        <w:tc>
          <w:tcPr>
            <w:tcW w:w="8595"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2" w:firstLineChars="200"/>
              <w:jc w:val="both"/>
              <w:textAlignment w:val="auto"/>
              <w:rPr>
                <w:rFonts w:hint="default" w:ascii="Times New Roman" w:hAnsi="Times New Roman" w:eastAsia="宋体" w:cs="Times New Roman"/>
                <w:b/>
                <w:bCs/>
                <w:color w:val="auto"/>
                <w:sz w:val="24"/>
              </w:rPr>
            </w:pPr>
            <w:bookmarkStart w:id="102" w:name="_Toc262219100"/>
            <w:r>
              <w:rPr>
                <w:rFonts w:hint="default" w:ascii="Times New Roman" w:hAnsi="Times New Roman" w:eastAsia="宋体" w:cs="Times New Roman"/>
                <w:b/>
                <w:bCs/>
                <w:color w:val="auto"/>
                <w:sz w:val="24"/>
              </w:rPr>
              <w:t>一、项目由来</w:t>
            </w:r>
          </w:p>
          <w:bookmarkEnd w:id="102"/>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bookmarkStart w:id="103" w:name="OLE_LINK6"/>
            <w:bookmarkStart w:id="104" w:name="OLE_LINK90"/>
            <w:r>
              <w:rPr>
                <w:rFonts w:hint="eastAsia" w:ascii="Times New Roman" w:hAnsi="Times New Roman" w:eastAsia="宋体" w:cs="Times New Roman"/>
                <w:color w:val="auto"/>
                <w:sz w:val="24"/>
                <w:szCs w:val="24"/>
                <w:highlight w:val="none"/>
                <w:lang w:eastAsia="zh-CN"/>
              </w:rPr>
              <w:t>新乡市绩昌再生资源回收有限公司</w:t>
            </w:r>
            <w:r>
              <w:rPr>
                <w:rFonts w:hint="default" w:ascii="Times New Roman" w:hAnsi="Times New Roman" w:eastAsia="宋体" w:cs="Times New Roman"/>
                <w:color w:val="auto"/>
                <w:sz w:val="24"/>
                <w:szCs w:val="24"/>
                <w:highlight w:val="none"/>
              </w:rPr>
              <w:t>位于</w:t>
            </w:r>
            <w:r>
              <w:rPr>
                <w:rFonts w:hint="eastAsia" w:ascii="Times New Roman" w:hAnsi="Times New Roman" w:eastAsia="宋体" w:cs="Times New Roman"/>
                <w:color w:val="auto"/>
                <w:sz w:val="24"/>
                <w:szCs w:val="24"/>
                <w:highlight w:val="none"/>
                <w:lang w:eastAsia="zh-CN"/>
              </w:rPr>
              <w:t>河南省</w:t>
            </w:r>
            <w:r>
              <w:rPr>
                <w:rFonts w:hint="eastAsia" w:cs="Times New Roman"/>
                <w:color w:val="auto"/>
                <w:sz w:val="24"/>
                <w:szCs w:val="24"/>
                <w:highlight w:val="none"/>
                <w:lang w:eastAsia="zh-CN"/>
              </w:rPr>
              <w:t>新乡市卫滨区人民路西环路交叉口向西300米路南</w:t>
            </w:r>
            <w:r>
              <w:rPr>
                <w:rFonts w:hint="default" w:ascii="Times New Roman" w:hAnsi="Times New Roman" w:eastAsia="宋体" w:cs="Times New Roman"/>
                <w:color w:val="auto"/>
                <w:sz w:val="24"/>
                <w:szCs w:val="24"/>
                <w:highlight w:val="none"/>
              </w:rPr>
              <w:t>，企</w:t>
            </w:r>
            <w:bookmarkEnd w:id="103"/>
            <w:r>
              <w:rPr>
                <w:rFonts w:hint="default" w:ascii="Times New Roman" w:hAnsi="Times New Roman" w:eastAsia="宋体" w:cs="Times New Roman"/>
                <w:color w:val="auto"/>
                <w:sz w:val="24"/>
                <w:szCs w:val="24"/>
                <w:highlight w:val="none"/>
              </w:rPr>
              <w:t>业</w:t>
            </w:r>
            <w:r>
              <w:rPr>
                <w:rFonts w:hint="default" w:ascii="Times New Roman" w:hAnsi="Times New Roman" w:eastAsia="宋体" w:cs="Times New Roman"/>
                <w:color w:val="auto"/>
                <w:sz w:val="24"/>
                <w:szCs w:val="24"/>
                <w:highlight w:val="none"/>
                <w:lang w:val="en-US" w:eastAsia="zh-CN"/>
              </w:rPr>
              <w:t>租赁闲置厂房</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计划投资</w:t>
            </w:r>
            <w:r>
              <w:rPr>
                <w:rFonts w:hint="eastAsia" w:ascii="Times New Roman" w:hAnsi="Times New Roman" w:eastAsia="宋体" w:cs="Times New Roman"/>
                <w:color w:val="auto"/>
                <w:sz w:val="24"/>
                <w:szCs w:val="24"/>
                <w:highlight w:val="none"/>
                <w:lang w:val="en-US" w:eastAsia="zh-CN"/>
              </w:rPr>
              <w:t>100</w:t>
            </w:r>
            <w:r>
              <w:rPr>
                <w:rFonts w:hint="default" w:ascii="Times New Roman" w:hAnsi="Times New Roman" w:eastAsia="宋体" w:cs="Times New Roman"/>
                <w:color w:val="auto"/>
                <w:sz w:val="24"/>
                <w:szCs w:val="24"/>
                <w:highlight w:val="none"/>
                <w:lang w:val="en-US" w:eastAsia="zh-CN"/>
              </w:rPr>
              <w:t>万</w:t>
            </w:r>
            <w:r>
              <w:rPr>
                <w:rFonts w:hint="default" w:ascii="Times New Roman" w:hAnsi="Times New Roman" w:eastAsia="宋体" w:cs="Times New Roman"/>
                <w:color w:val="auto"/>
                <w:sz w:val="24"/>
                <w:szCs w:val="24"/>
                <w:highlight w:val="none"/>
              </w:rPr>
              <w:t>元新建</w:t>
            </w:r>
            <w:r>
              <w:rPr>
                <w:rFonts w:hint="eastAsia" w:cs="Times New Roman"/>
                <w:color w:val="auto"/>
                <w:sz w:val="24"/>
                <w:szCs w:val="24"/>
                <w:highlight w:val="none"/>
                <w:lang w:val="en-US" w:eastAsia="zh-CN"/>
              </w:rPr>
              <w:t>一个</w:t>
            </w:r>
            <w:r>
              <w:rPr>
                <w:rFonts w:hint="eastAsia" w:cs="Times New Roman"/>
                <w:color w:val="auto"/>
                <w:sz w:val="24"/>
                <w:szCs w:val="24"/>
                <w:highlight w:val="none"/>
                <w:lang w:eastAsia="zh-CN"/>
              </w:rPr>
              <w:t>废铅蓄电池回收项目</w:t>
            </w:r>
            <w:r>
              <w:rPr>
                <w:rFonts w:hint="default" w:ascii="Times New Roman" w:hAnsi="Times New Roman" w:eastAsia="宋体" w:cs="Times New Roman"/>
                <w:color w:val="auto"/>
                <w:sz w:val="24"/>
                <w:szCs w:val="24"/>
                <w:highlight w:val="none"/>
                <w:lang w:eastAsia="zh-CN"/>
              </w:rPr>
              <w:t>，</w:t>
            </w:r>
            <w:bookmarkStart w:id="105" w:name="OLE_LINK156"/>
            <w:r>
              <w:rPr>
                <w:rFonts w:hint="eastAsia" w:cs="Times New Roman"/>
                <w:color w:val="auto"/>
                <w:sz w:val="24"/>
                <w:szCs w:val="24"/>
                <w:highlight w:val="none"/>
                <w:lang w:val="en-US" w:eastAsia="zh-CN"/>
              </w:rPr>
              <w:t>年</w:t>
            </w:r>
            <w:r>
              <w:rPr>
                <w:rFonts w:hint="default" w:ascii="Times New Roman" w:hAnsi="Times New Roman" w:eastAsia="宋体" w:cs="Times New Roman"/>
                <w:color w:val="auto"/>
                <w:sz w:val="24"/>
                <w:szCs w:val="24"/>
                <w:highlight w:val="none"/>
                <w:lang w:eastAsia="zh-CN"/>
              </w:rPr>
              <w:t>回收</w:t>
            </w: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储存</w:t>
            </w:r>
            <w:r>
              <w:rPr>
                <w:rFonts w:hint="eastAsia" w:ascii="Times New Roman" w:hAnsi="Times New Roman" w:eastAsia="宋体" w:cs="Times New Roman"/>
                <w:color w:val="auto"/>
                <w:sz w:val="24"/>
                <w:szCs w:val="24"/>
                <w:highlight w:val="none"/>
                <w:lang w:eastAsia="zh-CN"/>
              </w:rPr>
              <w:t>废铅蓄电池</w:t>
            </w:r>
            <w:r>
              <w:rPr>
                <w:rFonts w:hint="eastAsia"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eastAsia="zh-CN"/>
              </w:rPr>
              <w:t>000吨</w:t>
            </w:r>
            <w:bookmarkEnd w:id="105"/>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jc w:val="both"/>
              <w:textAlignment w:val="auto"/>
              <w:rPr>
                <w:rFonts w:hint="default" w:ascii="Times New Roman" w:hAnsi="Times New Roman" w:eastAsia="宋体" w:cs="Times New Roman"/>
                <w:color w:val="auto"/>
                <w:kern w:val="36"/>
                <w:sz w:val="24"/>
                <w:szCs w:val="24"/>
                <w:highlight w:val="none"/>
              </w:rPr>
            </w:pPr>
            <w:r>
              <w:rPr>
                <w:rFonts w:hint="default" w:ascii="Times New Roman" w:hAnsi="Times New Roman" w:eastAsia="宋体" w:cs="Times New Roman"/>
                <w:color w:val="auto"/>
                <w:sz w:val="24"/>
                <w:szCs w:val="24"/>
                <w:highlight w:val="none"/>
              </w:rPr>
              <w:t>经现场勘察，本项目设备未到位，不具备生产能力，不属于未批先建。</w:t>
            </w:r>
            <w:bookmarkEnd w:id="104"/>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2" w:firstLineChars="200"/>
              <w:jc w:val="both"/>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二、工程内容及规模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66" w:firstLineChars="200"/>
              <w:jc w:val="both"/>
              <w:textAlignment w:val="auto"/>
              <w:rPr>
                <w:rFonts w:hint="default" w:ascii="Times New Roman" w:hAnsi="Times New Roman" w:eastAsia="宋体" w:cs="Times New Roman"/>
                <w:b/>
                <w:bCs/>
                <w:color w:val="auto"/>
                <w:spacing w:val="-4"/>
                <w:sz w:val="24"/>
                <w:szCs w:val="24"/>
              </w:rPr>
            </w:pPr>
            <w:r>
              <w:rPr>
                <w:rFonts w:hint="default" w:ascii="Times New Roman" w:hAnsi="Times New Roman" w:eastAsia="宋体" w:cs="Times New Roman"/>
                <w:b/>
                <w:bCs/>
                <w:color w:val="auto"/>
                <w:spacing w:val="-4"/>
                <w:sz w:val="24"/>
                <w:szCs w:val="24"/>
              </w:rPr>
              <w:t>1、</w:t>
            </w:r>
            <w:r>
              <w:rPr>
                <w:rFonts w:hint="default" w:ascii="Times New Roman" w:hAnsi="Times New Roman" w:eastAsia="宋体" w:cs="Times New Roman"/>
                <w:b/>
                <w:color w:val="auto"/>
                <w:sz w:val="24"/>
                <w:szCs w:val="24"/>
              </w:rPr>
              <w:t>项目概况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64" w:firstLineChars="200"/>
              <w:jc w:val="both"/>
              <w:textAlignment w:val="auto"/>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pacing w:val="-4"/>
                <w:sz w:val="24"/>
                <w:szCs w:val="24"/>
              </w:rPr>
              <w:t>本项目的基本情况见下表。</w:t>
            </w:r>
          </w:p>
          <w:p>
            <w:pPr>
              <w:pStyle w:val="12"/>
              <w:keepNext w:val="0"/>
              <w:keepLines w:val="0"/>
              <w:suppressLineNumbers w:val="0"/>
              <w:bidi w:val="0"/>
              <w:spacing w:before="0" w:beforeAutospacing="0" w:after="0" w:afterAutospacing="0"/>
              <w:ind w:left="0" w:right="0"/>
              <w:rPr>
                <w:rFonts w:hint="default"/>
                <w:color w:val="auto"/>
              </w:rPr>
            </w:pPr>
            <w:r>
              <w:rPr>
                <w:rFonts w:hint="default"/>
                <w:color w:val="auto"/>
              </w:rPr>
              <w:t>表</w:t>
            </w:r>
            <w:r>
              <w:rPr>
                <w:rFonts w:hint="eastAsia"/>
                <w:color w:val="auto"/>
                <w:lang w:val="en-US" w:eastAsia="zh-CN"/>
              </w:rPr>
              <w:t xml:space="preserve"> 2-1    </w:t>
            </w:r>
            <w:r>
              <w:rPr>
                <w:rFonts w:hint="default"/>
                <w:color w:val="auto"/>
              </w:rPr>
              <w:t>项目基本情况一览表</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3"/>
              <w:gridCol w:w="1779"/>
              <w:gridCol w:w="576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4"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b/>
                      <w:bCs/>
                      <w:color w:val="auto"/>
                      <w:kern w:val="2"/>
                      <w:sz w:val="21"/>
                      <w:lang w:val="pt-BR"/>
                    </w:rPr>
                  </w:pPr>
                  <w:r>
                    <w:rPr>
                      <w:b/>
                      <w:bCs/>
                      <w:color w:val="auto"/>
                      <w:kern w:val="2"/>
                      <w:sz w:val="21"/>
                      <w:lang w:val="pt-BR"/>
                    </w:rPr>
                    <w:t>序号</w:t>
                  </w:r>
                </w:p>
              </w:tc>
              <w:tc>
                <w:tcPr>
                  <w:tcW w:w="1609"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b/>
                      <w:bCs/>
                      <w:color w:val="auto"/>
                      <w:kern w:val="2"/>
                      <w:sz w:val="21"/>
                      <w:lang w:val="pt-BR"/>
                    </w:rPr>
                  </w:pPr>
                  <w:r>
                    <w:rPr>
                      <w:b/>
                      <w:bCs/>
                      <w:color w:val="auto"/>
                      <w:kern w:val="2"/>
                      <w:sz w:val="21"/>
                      <w:lang w:val="pt-BR"/>
                    </w:rPr>
                    <w:t>项目</w:t>
                  </w:r>
                </w:p>
              </w:tc>
              <w:tc>
                <w:tcPr>
                  <w:tcW w:w="5217"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b/>
                      <w:bCs/>
                      <w:color w:val="auto"/>
                      <w:kern w:val="2"/>
                      <w:sz w:val="21"/>
                    </w:rPr>
                  </w:pPr>
                  <w:r>
                    <w:rPr>
                      <w:b/>
                      <w:bCs/>
                      <w:color w:val="auto"/>
                      <w:kern w:val="2"/>
                      <w:sz w:val="21"/>
                    </w:rPr>
                    <w:t>内容</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4"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color w:val="auto"/>
                      <w:kern w:val="2"/>
                      <w:sz w:val="21"/>
                    </w:rPr>
                    <w:t>1</w:t>
                  </w:r>
                </w:p>
              </w:tc>
              <w:tc>
                <w:tcPr>
                  <w:tcW w:w="1609"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color w:val="auto"/>
                      <w:kern w:val="2"/>
                      <w:sz w:val="21"/>
                    </w:rPr>
                    <w:t>项目名称</w:t>
                  </w:r>
                </w:p>
              </w:tc>
              <w:tc>
                <w:tcPr>
                  <w:tcW w:w="5217"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eastAsia" w:ascii="Times New Roman" w:hAnsi="Times New Roman" w:eastAsia="宋体"/>
                      <w:color w:val="auto"/>
                      <w:kern w:val="2"/>
                      <w:sz w:val="21"/>
                      <w:lang w:eastAsia="zh-CN"/>
                    </w:rPr>
                  </w:pPr>
                  <w:r>
                    <w:rPr>
                      <w:rFonts w:hint="eastAsia" w:ascii="Times New Roman" w:hAnsi="Times New Roman" w:eastAsia="宋体"/>
                      <w:color w:val="auto"/>
                      <w:kern w:val="2"/>
                      <w:sz w:val="21"/>
                      <w:lang w:val="en-US" w:eastAsia="zh-CN"/>
                    </w:rPr>
                    <w:t>绩昌废铅蓄电池</w:t>
                  </w:r>
                  <w:bookmarkStart w:id="106" w:name="OLE_LINK4"/>
                  <w:r>
                    <w:rPr>
                      <w:rFonts w:hint="eastAsia" w:ascii="Times New Roman" w:hAnsi="Times New Roman" w:eastAsia="宋体"/>
                      <w:color w:val="auto"/>
                      <w:kern w:val="2"/>
                      <w:sz w:val="21"/>
                      <w:lang w:val="en-US" w:eastAsia="zh-CN"/>
                    </w:rPr>
                    <w:t>回收</w:t>
                  </w:r>
                  <w:bookmarkEnd w:id="106"/>
                  <w:r>
                    <w:rPr>
                      <w:rFonts w:hint="eastAsia" w:ascii="Times New Roman" w:hAnsi="Times New Roman" w:eastAsia="宋体"/>
                      <w:color w:val="auto"/>
                      <w:kern w:val="2"/>
                      <w:sz w:val="21"/>
                      <w:lang w:val="en-US" w:eastAsia="zh-CN"/>
                    </w:rPr>
                    <w:t>项目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4"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color w:val="auto"/>
                      <w:kern w:val="2"/>
                      <w:sz w:val="21"/>
                    </w:rPr>
                    <w:t>2</w:t>
                  </w:r>
                </w:p>
              </w:tc>
              <w:tc>
                <w:tcPr>
                  <w:tcW w:w="1609"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color w:val="auto"/>
                      <w:kern w:val="2"/>
                      <w:sz w:val="21"/>
                    </w:rPr>
                    <w:t>建设单位</w:t>
                  </w:r>
                </w:p>
              </w:tc>
              <w:tc>
                <w:tcPr>
                  <w:tcW w:w="5217"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eastAsia" w:ascii="Times New Roman" w:hAnsi="Times New Roman" w:eastAsia="宋体"/>
                      <w:color w:val="auto"/>
                      <w:kern w:val="2"/>
                      <w:sz w:val="21"/>
                      <w:lang w:eastAsia="zh-CN"/>
                    </w:rPr>
                  </w:pPr>
                  <w:r>
                    <w:rPr>
                      <w:rFonts w:hint="eastAsia" w:ascii="Times New Roman" w:hAnsi="Times New Roman" w:eastAsia="宋体"/>
                      <w:color w:val="auto"/>
                      <w:kern w:val="2"/>
                      <w:sz w:val="21"/>
                      <w:lang w:eastAsia="zh-CN"/>
                    </w:rPr>
                    <w:t>新乡市绩昌再生资源回收有限公司</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4"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color w:val="auto"/>
                      <w:kern w:val="2"/>
                      <w:sz w:val="21"/>
                    </w:rPr>
                    <w:t>3</w:t>
                  </w:r>
                </w:p>
              </w:tc>
              <w:tc>
                <w:tcPr>
                  <w:tcW w:w="1609"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color w:val="auto"/>
                      <w:kern w:val="2"/>
                      <w:sz w:val="21"/>
                    </w:rPr>
                    <w:t>产品方案</w:t>
                  </w:r>
                </w:p>
              </w:tc>
              <w:tc>
                <w:tcPr>
                  <w:tcW w:w="5217"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highlight w:val="none"/>
                      <w:lang w:val="en-US"/>
                    </w:rPr>
                  </w:pPr>
                  <w:r>
                    <w:rPr>
                      <w:rFonts w:hint="eastAsia" w:ascii="Times New Roman" w:hAnsi="Times New Roman" w:eastAsia="宋体"/>
                      <w:color w:val="auto"/>
                      <w:kern w:val="2"/>
                      <w:sz w:val="21"/>
                      <w:highlight w:val="none"/>
                      <w:lang w:val="en-US" w:eastAsia="zh-CN"/>
                    </w:rPr>
                    <w:t>年</w:t>
                  </w:r>
                  <w:r>
                    <w:rPr>
                      <w:rFonts w:hint="default" w:ascii="Times New Roman" w:hAnsi="Times New Roman" w:eastAsia="宋体"/>
                      <w:color w:val="auto"/>
                      <w:kern w:val="2"/>
                      <w:sz w:val="21"/>
                      <w:highlight w:val="none"/>
                      <w:lang w:eastAsia="zh-CN"/>
                    </w:rPr>
                    <w:t>回收</w:t>
                  </w:r>
                  <w:r>
                    <w:rPr>
                      <w:rFonts w:hint="eastAsia" w:ascii="Times New Roman" w:hAnsi="Times New Roman" w:eastAsia="宋体"/>
                      <w:color w:val="auto"/>
                      <w:kern w:val="2"/>
                      <w:sz w:val="21"/>
                      <w:highlight w:val="none"/>
                      <w:lang w:eastAsia="zh-CN"/>
                    </w:rPr>
                    <w:t>、</w:t>
                  </w:r>
                  <w:r>
                    <w:rPr>
                      <w:rFonts w:hint="eastAsia" w:ascii="Times New Roman" w:hAnsi="Times New Roman" w:eastAsia="宋体"/>
                      <w:color w:val="auto"/>
                      <w:kern w:val="2"/>
                      <w:sz w:val="21"/>
                      <w:highlight w:val="none"/>
                      <w:lang w:val="en-US" w:eastAsia="zh-CN"/>
                    </w:rPr>
                    <w:t>储存</w:t>
                  </w:r>
                  <w:r>
                    <w:rPr>
                      <w:rFonts w:hint="eastAsia" w:ascii="Times New Roman" w:hAnsi="Times New Roman" w:eastAsia="宋体"/>
                      <w:color w:val="auto"/>
                      <w:kern w:val="2"/>
                      <w:sz w:val="21"/>
                      <w:highlight w:val="none"/>
                      <w:lang w:eastAsia="zh-CN"/>
                    </w:rPr>
                    <w:t>废铅蓄电池</w:t>
                  </w:r>
                  <w:r>
                    <w:rPr>
                      <w:rFonts w:hint="eastAsia"/>
                      <w:color w:val="auto"/>
                      <w:kern w:val="2"/>
                      <w:sz w:val="21"/>
                      <w:highlight w:val="none"/>
                      <w:lang w:val="en-US" w:eastAsia="zh-CN"/>
                    </w:rPr>
                    <w:t>3</w:t>
                  </w:r>
                  <w:r>
                    <w:rPr>
                      <w:rFonts w:hint="eastAsia" w:ascii="Times New Roman" w:hAnsi="Times New Roman" w:eastAsia="宋体"/>
                      <w:color w:val="auto"/>
                      <w:kern w:val="2"/>
                      <w:sz w:val="21"/>
                      <w:highlight w:val="none"/>
                      <w:lang w:eastAsia="zh-CN"/>
                    </w:rPr>
                    <w:t>000吨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4"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color w:val="auto"/>
                      <w:kern w:val="2"/>
                      <w:sz w:val="21"/>
                    </w:rPr>
                    <w:t>4</w:t>
                  </w:r>
                </w:p>
              </w:tc>
              <w:tc>
                <w:tcPr>
                  <w:tcW w:w="1609"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color w:val="auto"/>
                      <w:kern w:val="2"/>
                      <w:sz w:val="21"/>
                    </w:rPr>
                    <w:t>项目地址</w:t>
                  </w:r>
                </w:p>
              </w:tc>
              <w:tc>
                <w:tcPr>
                  <w:tcW w:w="5217"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lang w:eastAsia="zh-CN"/>
                    </w:rPr>
                  </w:pPr>
                  <w:r>
                    <w:rPr>
                      <w:rFonts w:hint="eastAsia"/>
                      <w:color w:val="auto"/>
                      <w:kern w:val="2"/>
                      <w:sz w:val="21"/>
                      <w:lang w:eastAsia="zh-CN"/>
                    </w:rPr>
                    <w:t>河南省新乡市卫滨区人民路西环路交叉口向西300米路南</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4"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color w:val="auto"/>
                      <w:kern w:val="2"/>
                      <w:sz w:val="21"/>
                    </w:rPr>
                    <w:t>5</w:t>
                  </w:r>
                </w:p>
              </w:tc>
              <w:tc>
                <w:tcPr>
                  <w:tcW w:w="1609"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color w:val="auto"/>
                      <w:kern w:val="2"/>
                      <w:sz w:val="21"/>
                    </w:rPr>
                    <w:t>占地面积</w:t>
                  </w:r>
                </w:p>
              </w:tc>
              <w:tc>
                <w:tcPr>
                  <w:tcW w:w="5217"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highlight w:val="none"/>
                    </w:rPr>
                  </w:pPr>
                  <w:bookmarkStart w:id="107" w:name="OLE_LINK32"/>
                  <w:r>
                    <w:rPr>
                      <w:rFonts w:hint="eastAsia"/>
                      <w:color w:val="auto"/>
                      <w:kern w:val="2"/>
                      <w:sz w:val="21"/>
                      <w:highlight w:val="none"/>
                      <w:lang w:val="en-US" w:eastAsia="zh-CN"/>
                    </w:rPr>
                    <w:t>700</w:t>
                  </w:r>
                  <w:r>
                    <w:rPr>
                      <w:color w:val="auto"/>
                      <w:kern w:val="2"/>
                      <w:sz w:val="21"/>
                      <w:highlight w:val="none"/>
                    </w:rPr>
                    <w:t>m</w:t>
                  </w:r>
                  <w:r>
                    <w:rPr>
                      <w:rFonts w:hint="eastAsia" w:ascii="微软雅黑" w:hAnsi="微软雅黑" w:eastAsia="微软雅黑" w:cs="微软雅黑"/>
                      <w:color w:val="auto"/>
                      <w:kern w:val="2"/>
                      <w:sz w:val="21"/>
                      <w:highlight w:val="none"/>
                      <w:u w:val="none"/>
                      <w:lang w:val="en-US" w:eastAsia="zh-CN"/>
                    </w:rPr>
                    <w:t>²</w:t>
                  </w:r>
                  <w:bookmarkEnd w:id="107"/>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4"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color w:val="auto"/>
                      <w:kern w:val="2"/>
                      <w:sz w:val="21"/>
                    </w:rPr>
                    <w:t>6</w:t>
                  </w:r>
                </w:p>
              </w:tc>
              <w:tc>
                <w:tcPr>
                  <w:tcW w:w="1609"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color w:val="auto"/>
                      <w:kern w:val="2"/>
                      <w:sz w:val="21"/>
                    </w:rPr>
                    <w:t>总投资（万元）</w:t>
                  </w:r>
                </w:p>
              </w:tc>
              <w:tc>
                <w:tcPr>
                  <w:tcW w:w="5217"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lang w:val="en-US" w:eastAsia="zh-CN"/>
                    </w:rPr>
                  </w:pPr>
                  <w:r>
                    <w:rPr>
                      <w:rFonts w:hint="eastAsia"/>
                      <w:color w:val="auto"/>
                      <w:kern w:val="2"/>
                      <w:sz w:val="21"/>
                      <w:lang w:val="en-US" w:eastAsia="zh-CN"/>
                    </w:rPr>
                    <w:t>100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4"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rFonts w:hint="eastAsia"/>
                      <w:color w:val="auto"/>
                      <w:kern w:val="2"/>
                      <w:sz w:val="21"/>
                    </w:rPr>
                    <w:t>7</w:t>
                  </w:r>
                </w:p>
              </w:tc>
              <w:tc>
                <w:tcPr>
                  <w:tcW w:w="1609"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color w:val="auto"/>
                      <w:kern w:val="2"/>
                      <w:sz w:val="21"/>
                    </w:rPr>
                    <w:t>定员与工作制度</w:t>
                  </w:r>
                </w:p>
              </w:tc>
              <w:tc>
                <w:tcPr>
                  <w:tcW w:w="5217"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color w:val="auto"/>
                      <w:kern w:val="2"/>
                      <w:sz w:val="21"/>
                    </w:rPr>
                    <w:t>本项目定员</w:t>
                  </w:r>
                  <w:r>
                    <w:rPr>
                      <w:rFonts w:hint="eastAsia"/>
                      <w:color w:val="auto"/>
                      <w:kern w:val="2"/>
                      <w:sz w:val="21"/>
                      <w:lang w:val="en-US" w:eastAsia="zh-CN"/>
                    </w:rPr>
                    <w:t>10</w:t>
                  </w:r>
                  <w:r>
                    <w:rPr>
                      <w:color w:val="auto"/>
                      <w:kern w:val="2"/>
                      <w:sz w:val="21"/>
                    </w:rPr>
                    <w:t>人，年工作</w:t>
                  </w:r>
                  <w:r>
                    <w:rPr>
                      <w:rFonts w:hint="eastAsia"/>
                      <w:color w:val="auto"/>
                      <w:kern w:val="2"/>
                      <w:sz w:val="21"/>
                      <w:lang w:val="en-US" w:eastAsia="zh-CN"/>
                    </w:rPr>
                    <w:t>300</w:t>
                  </w:r>
                  <w:r>
                    <w:rPr>
                      <w:color w:val="auto"/>
                      <w:kern w:val="2"/>
                      <w:sz w:val="21"/>
                    </w:rPr>
                    <w:t>天，</w:t>
                  </w:r>
                  <w:r>
                    <w:rPr>
                      <w:rFonts w:hAnsiTheme="minorEastAsia" w:eastAsiaTheme="minorEastAsia"/>
                      <w:color w:val="auto"/>
                      <w:kern w:val="36"/>
                      <w:sz w:val="21"/>
                      <w:szCs w:val="21"/>
                    </w:rPr>
                    <w:t>单班生产</w:t>
                  </w:r>
                </w:p>
              </w:tc>
            </w:tr>
          </w:tbl>
          <w:p>
            <w:pPr>
              <w:keepNext w:val="0"/>
              <w:keepLines w:val="0"/>
              <w:suppressLineNumbers w:val="0"/>
              <w:bidi w:val="0"/>
              <w:spacing w:before="0" w:beforeAutospacing="0" w:after="0" w:afterAutospacing="0"/>
              <w:ind w:left="0" w:right="0"/>
              <w:rPr>
                <w:b/>
                <w:bCs/>
                <w:color w:val="auto"/>
              </w:rPr>
            </w:pPr>
            <w:r>
              <w:rPr>
                <w:rFonts w:hint="eastAsia"/>
                <w:b/>
                <w:bCs/>
                <w:color w:val="auto"/>
              </w:rPr>
              <w:t>2</w:t>
            </w:r>
            <w:r>
              <w:rPr>
                <w:b/>
                <w:bCs/>
                <w:color w:val="auto"/>
              </w:rPr>
              <w:t>、项目组成及建设情况</w:t>
            </w:r>
          </w:p>
          <w:p>
            <w:pPr>
              <w:keepNext w:val="0"/>
              <w:keepLines w:val="0"/>
              <w:suppressLineNumbers w:val="0"/>
              <w:bidi w:val="0"/>
              <w:spacing w:before="0" w:beforeAutospacing="0" w:after="0" w:afterAutospacing="0"/>
              <w:ind w:left="0" w:right="0"/>
              <w:rPr>
                <w:rFonts w:hint="default"/>
                <w:color w:val="auto"/>
              </w:rPr>
            </w:pPr>
            <w:r>
              <w:rPr>
                <w:color w:val="auto"/>
              </w:rPr>
              <w:t>本项目主要工程组成见下表。</w:t>
            </w:r>
          </w:p>
          <w:p>
            <w:pPr>
              <w:pStyle w:val="12"/>
              <w:keepNext w:val="0"/>
              <w:keepLines w:val="0"/>
              <w:suppressLineNumbers w:val="0"/>
              <w:bidi w:val="0"/>
              <w:spacing w:before="0" w:beforeAutospacing="0" w:after="0" w:afterAutospacing="0"/>
              <w:ind w:left="0" w:right="0"/>
              <w:rPr>
                <w:rFonts w:hint="default"/>
                <w:color w:val="auto"/>
              </w:rPr>
            </w:pPr>
            <w:r>
              <w:rPr>
                <w:rFonts w:hint="default"/>
                <w:color w:val="auto"/>
              </w:rPr>
              <w:t>表</w:t>
            </w:r>
            <w:r>
              <w:rPr>
                <w:rFonts w:hint="eastAsia"/>
                <w:color w:val="auto"/>
                <w:lang w:val="en-US" w:eastAsia="zh-CN"/>
              </w:rPr>
              <w:t xml:space="preserve"> 2-2    </w:t>
            </w:r>
            <w:r>
              <w:rPr>
                <w:rFonts w:hint="default"/>
                <w:color w:val="auto"/>
              </w:rPr>
              <w:t>项目组成情况</w:t>
            </w:r>
            <w:r>
              <w:rPr>
                <w:rFonts w:hint="eastAsia"/>
                <w:color w:val="auto"/>
              </w:rPr>
              <w:t>一览表</w:t>
            </w:r>
          </w:p>
          <w:tbl>
            <w:tblPr>
              <w:tblStyle w:val="22"/>
              <w:tblpPr w:leftFromText="180" w:rightFromText="180" w:vertAnchor="text" w:tblpXSpec="center" w:tblpY="1"/>
              <w:tblOverlap w:val="never"/>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294"/>
              <w:gridCol w:w="1256"/>
              <w:gridCol w:w="4194"/>
              <w:gridCol w:w="93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15"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b/>
                      <w:bCs/>
                      <w:color w:val="auto"/>
                      <w:kern w:val="2"/>
                      <w:sz w:val="21"/>
                    </w:rPr>
                  </w:pPr>
                  <w:r>
                    <w:rPr>
                      <w:b/>
                      <w:bCs/>
                      <w:color w:val="auto"/>
                      <w:kern w:val="2"/>
                      <w:sz w:val="21"/>
                    </w:rPr>
                    <w:t>序号</w:t>
                  </w:r>
                </w:p>
              </w:tc>
              <w:tc>
                <w:tcPr>
                  <w:tcW w:w="772"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b/>
                      <w:bCs/>
                      <w:color w:val="auto"/>
                      <w:kern w:val="2"/>
                      <w:sz w:val="21"/>
                    </w:rPr>
                  </w:pPr>
                  <w:r>
                    <w:rPr>
                      <w:b/>
                      <w:bCs/>
                      <w:color w:val="auto"/>
                      <w:kern w:val="2"/>
                      <w:sz w:val="21"/>
                    </w:rPr>
                    <w:t>项目</w:t>
                  </w:r>
                </w:p>
              </w:tc>
              <w:tc>
                <w:tcPr>
                  <w:tcW w:w="749"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b/>
                      <w:bCs/>
                      <w:color w:val="auto"/>
                      <w:kern w:val="2"/>
                      <w:sz w:val="21"/>
                    </w:rPr>
                  </w:pPr>
                  <w:r>
                    <w:rPr>
                      <w:b/>
                      <w:bCs/>
                      <w:color w:val="auto"/>
                      <w:kern w:val="2"/>
                      <w:sz w:val="21"/>
                    </w:rPr>
                    <w:t>建设内容</w:t>
                  </w:r>
                </w:p>
              </w:tc>
              <w:tc>
                <w:tcPr>
                  <w:tcW w:w="2502"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b/>
                      <w:bCs/>
                      <w:color w:val="auto"/>
                      <w:kern w:val="2"/>
                      <w:sz w:val="21"/>
                    </w:rPr>
                  </w:pPr>
                  <w:r>
                    <w:rPr>
                      <w:b/>
                      <w:bCs/>
                      <w:color w:val="auto"/>
                      <w:kern w:val="2"/>
                      <w:sz w:val="21"/>
                    </w:rPr>
                    <w:t>数量、规模或要求</w:t>
                  </w:r>
                </w:p>
              </w:tc>
              <w:tc>
                <w:tcPr>
                  <w:tcW w:w="560"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eastAsia"/>
                      <w:b/>
                      <w:bCs/>
                      <w:color w:val="auto"/>
                      <w:kern w:val="2"/>
                      <w:sz w:val="21"/>
                      <w:lang w:val="en-US" w:eastAsia="zh-CN"/>
                    </w:rPr>
                  </w:pPr>
                  <w:r>
                    <w:rPr>
                      <w:rFonts w:hint="eastAsia"/>
                      <w:b/>
                      <w:bCs/>
                      <w:color w:val="auto"/>
                      <w:kern w:val="2"/>
                      <w:sz w:val="21"/>
                      <w:lang w:val="en-US" w:eastAsia="zh-CN"/>
                    </w:rPr>
                    <w:t>备注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5"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color w:val="auto"/>
                      <w:kern w:val="2"/>
                      <w:sz w:val="21"/>
                    </w:rPr>
                    <w:t>1</w:t>
                  </w:r>
                </w:p>
              </w:tc>
              <w:tc>
                <w:tcPr>
                  <w:tcW w:w="772"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color w:val="auto"/>
                      <w:kern w:val="2"/>
                      <w:sz w:val="21"/>
                    </w:rPr>
                    <w:t>主体工程</w:t>
                  </w:r>
                </w:p>
              </w:tc>
              <w:tc>
                <w:tcPr>
                  <w:tcW w:w="749"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lang w:eastAsia="zh-CN"/>
                    </w:rPr>
                  </w:pPr>
                  <w:bookmarkStart w:id="108" w:name="OLE_LINK255"/>
                  <w:r>
                    <w:rPr>
                      <w:rFonts w:hint="eastAsia"/>
                      <w:color w:val="auto"/>
                      <w:kern w:val="2"/>
                      <w:sz w:val="21"/>
                      <w:lang w:val="en-US" w:eastAsia="zh-CN"/>
                    </w:rPr>
                    <w:t>储存</w:t>
                  </w:r>
                  <w:bookmarkEnd w:id="108"/>
                  <w:r>
                    <w:rPr>
                      <w:rFonts w:hint="eastAsia"/>
                      <w:color w:val="auto"/>
                      <w:kern w:val="2"/>
                      <w:sz w:val="21"/>
                      <w:lang w:val="en-US" w:eastAsia="zh-CN"/>
                    </w:rPr>
                    <w:t>区域</w:t>
                  </w:r>
                </w:p>
              </w:tc>
              <w:tc>
                <w:tcPr>
                  <w:tcW w:w="2502"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default" w:eastAsiaTheme="minorEastAsia"/>
                      <w:color w:val="auto"/>
                      <w:kern w:val="2"/>
                      <w:sz w:val="21"/>
                      <w:highlight w:val="green"/>
                      <w:lang w:val="en-US" w:eastAsia="zh-CN"/>
                    </w:rPr>
                  </w:pPr>
                  <w:bookmarkStart w:id="109" w:name="OLE_LINK256"/>
                  <w:r>
                    <w:rPr>
                      <w:rFonts w:hint="eastAsia"/>
                      <w:color w:val="auto"/>
                      <w:kern w:val="2"/>
                      <w:sz w:val="21"/>
                      <w:lang w:val="en-US" w:eastAsia="zh-CN"/>
                    </w:rPr>
                    <w:t>储存区域</w:t>
                  </w:r>
                  <w:r>
                    <w:rPr>
                      <w:rFonts w:hAnsiTheme="minorEastAsia" w:eastAsiaTheme="minorEastAsia"/>
                      <w:color w:val="auto"/>
                      <w:sz w:val="21"/>
                      <w:szCs w:val="21"/>
                    </w:rPr>
                    <w:t>占地面积为</w:t>
                  </w:r>
                  <w:r>
                    <w:rPr>
                      <w:rFonts w:hint="eastAsia" w:hAnsiTheme="minorEastAsia" w:eastAsiaTheme="minorEastAsia"/>
                      <w:color w:val="auto"/>
                      <w:sz w:val="21"/>
                      <w:szCs w:val="21"/>
                      <w:lang w:val="en-US" w:eastAsia="zh-CN"/>
                    </w:rPr>
                    <w:t>56</w:t>
                  </w:r>
                  <w:r>
                    <w:rPr>
                      <w:rFonts w:hAnsiTheme="minorEastAsia" w:eastAsiaTheme="minorEastAsia"/>
                      <w:color w:val="auto"/>
                      <w:sz w:val="21"/>
                      <w:szCs w:val="21"/>
                    </w:rPr>
                    <w:t>0</w:t>
                  </w:r>
                  <w:bookmarkStart w:id="110" w:name="OLE_LINK13"/>
                  <w:r>
                    <w:rPr>
                      <w:rFonts w:hint="eastAsia" w:hAnsiTheme="minorEastAsia" w:eastAsiaTheme="minorEastAsia"/>
                      <w:color w:val="auto"/>
                      <w:sz w:val="21"/>
                      <w:szCs w:val="21"/>
                      <w:lang w:eastAsia="zh-CN"/>
                    </w:rPr>
                    <w:t>m²</w:t>
                  </w:r>
                  <w:bookmarkEnd w:id="109"/>
                  <w:bookmarkEnd w:id="110"/>
                  <w:r>
                    <w:rPr>
                      <w:rFonts w:hAnsiTheme="minorEastAsia" w:eastAsiaTheme="minorEastAsia"/>
                      <w:color w:val="auto"/>
                      <w:sz w:val="21"/>
                      <w:szCs w:val="21"/>
                    </w:rPr>
                    <w:t>，</w:t>
                  </w:r>
                  <w:r>
                    <w:rPr>
                      <w:rFonts w:hint="eastAsia" w:hAnsiTheme="minorEastAsia" w:eastAsiaTheme="minorEastAsia"/>
                      <w:color w:val="auto"/>
                      <w:sz w:val="21"/>
                      <w:szCs w:val="21"/>
                      <w:lang w:val="en-US" w:eastAsia="zh-CN"/>
                    </w:rPr>
                    <w:t>其中</w:t>
                  </w:r>
                  <w:bookmarkStart w:id="111" w:name="OLE_LINK227"/>
                  <w:r>
                    <w:rPr>
                      <w:rFonts w:hint="eastAsia" w:hAnsiTheme="minorEastAsia" w:eastAsiaTheme="minorEastAsia"/>
                      <w:color w:val="auto"/>
                      <w:sz w:val="21"/>
                      <w:szCs w:val="21"/>
                      <w:lang w:val="en-US" w:eastAsia="zh-CN"/>
                    </w:rPr>
                    <w:t>完整电池</w:t>
                  </w:r>
                  <w:bookmarkStart w:id="112" w:name="OLE_LINK159"/>
                  <w:r>
                    <w:rPr>
                      <w:rFonts w:hint="eastAsia" w:hAnsiTheme="minorEastAsia" w:eastAsiaTheme="minorEastAsia"/>
                      <w:color w:val="auto"/>
                      <w:sz w:val="21"/>
                      <w:szCs w:val="21"/>
                      <w:lang w:val="en-US" w:eastAsia="zh-CN"/>
                    </w:rPr>
                    <w:t>存储区</w:t>
                  </w:r>
                  <w:bookmarkEnd w:id="111"/>
                  <w:bookmarkEnd w:id="112"/>
                  <w:r>
                    <w:rPr>
                      <w:rFonts w:hint="eastAsia" w:hAnsiTheme="minorEastAsia" w:eastAsiaTheme="minorEastAsia"/>
                      <w:color w:val="auto"/>
                      <w:sz w:val="21"/>
                      <w:szCs w:val="21"/>
                      <w:lang w:val="en-US" w:eastAsia="zh-CN"/>
                    </w:rPr>
                    <w:t>535</w:t>
                  </w:r>
                  <w:r>
                    <w:rPr>
                      <w:rFonts w:hint="eastAsia" w:hAnsiTheme="minorEastAsia" w:eastAsiaTheme="minorEastAsia"/>
                      <w:color w:val="auto"/>
                      <w:sz w:val="21"/>
                      <w:szCs w:val="21"/>
                      <w:lang w:eastAsia="zh-CN"/>
                    </w:rPr>
                    <w:t>m²，</w:t>
                  </w:r>
                  <w:bookmarkStart w:id="113" w:name="OLE_LINK228"/>
                  <w:r>
                    <w:rPr>
                      <w:rFonts w:hint="eastAsia" w:hAnsiTheme="minorEastAsia" w:eastAsiaTheme="minorEastAsia"/>
                      <w:color w:val="auto"/>
                      <w:sz w:val="21"/>
                      <w:szCs w:val="21"/>
                      <w:lang w:val="en-US" w:eastAsia="zh-CN"/>
                    </w:rPr>
                    <w:t>破损电池存储区</w:t>
                  </w:r>
                  <w:bookmarkEnd w:id="113"/>
                  <w:bookmarkStart w:id="114" w:name="OLE_LINK157"/>
                  <w:r>
                    <w:rPr>
                      <w:rFonts w:hint="eastAsia" w:hAnsiTheme="minorEastAsia" w:eastAsiaTheme="minorEastAsia"/>
                      <w:color w:val="auto"/>
                      <w:sz w:val="21"/>
                      <w:szCs w:val="21"/>
                      <w:lang w:val="en-US" w:eastAsia="zh-CN"/>
                    </w:rPr>
                    <w:t>25</w:t>
                  </w:r>
                  <w:r>
                    <w:rPr>
                      <w:rFonts w:hint="eastAsia" w:hAnsiTheme="minorEastAsia" w:eastAsiaTheme="minorEastAsia"/>
                      <w:color w:val="auto"/>
                      <w:sz w:val="21"/>
                      <w:szCs w:val="21"/>
                      <w:lang w:eastAsia="zh-CN"/>
                    </w:rPr>
                    <w:t>m²</w:t>
                  </w:r>
                  <w:bookmarkEnd w:id="114"/>
                  <w:r>
                    <w:rPr>
                      <w:rFonts w:hint="eastAsia" w:hAnsiTheme="minorEastAsia" w:eastAsiaTheme="minorEastAsia"/>
                      <w:color w:val="auto"/>
                      <w:sz w:val="21"/>
                      <w:szCs w:val="21"/>
                      <w:lang w:eastAsia="zh-CN"/>
                    </w:rPr>
                    <w:t>。</w:t>
                  </w:r>
                </w:p>
              </w:tc>
              <w:tc>
                <w:tcPr>
                  <w:tcW w:w="560"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rFonts w:hint="eastAsia"/>
                      <w:color w:val="auto"/>
                      <w:kern w:val="2"/>
                      <w:sz w:val="21"/>
                      <w:lang w:val="en-US" w:eastAsia="zh-CN"/>
                    </w:rPr>
                    <w:t>租赁已建成</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5" w:type="pct"/>
                  <w:vMerge w:val="restart"/>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eastAsia" w:eastAsia="宋体"/>
                      <w:color w:val="auto"/>
                      <w:kern w:val="2"/>
                      <w:sz w:val="21"/>
                      <w:lang w:eastAsia="zh-CN"/>
                    </w:rPr>
                  </w:pPr>
                  <w:r>
                    <w:rPr>
                      <w:rFonts w:hint="eastAsia"/>
                      <w:color w:val="auto"/>
                      <w:kern w:val="2"/>
                      <w:sz w:val="21"/>
                      <w:lang w:val="en-US" w:eastAsia="zh-CN"/>
                    </w:rPr>
                    <w:t>2</w:t>
                  </w:r>
                </w:p>
              </w:tc>
              <w:tc>
                <w:tcPr>
                  <w:tcW w:w="772" w:type="pct"/>
                  <w:vMerge w:val="restart"/>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color w:val="auto"/>
                      <w:kern w:val="2"/>
                      <w:sz w:val="21"/>
                    </w:rPr>
                    <w:t>公用工程</w:t>
                  </w:r>
                </w:p>
              </w:tc>
              <w:tc>
                <w:tcPr>
                  <w:tcW w:w="749"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lang w:val="en-US" w:eastAsia="zh-CN"/>
                    </w:rPr>
                  </w:pPr>
                  <w:r>
                    <w:rPr>
                      <w:rFonts w:hint="eastAsia"/>
                      <w:color w:val="auto"/>
                      <w:kern w:val="2"/>
                      <w:sz w:val="21"/>
                      <w:lang w:val="en-US" w:eastAsia="zh-CN"/>
                    </w:rPr>
                    <w:t>供水</w:t>
                  </w:r>
                </w:p>
              </w:tc>
              <w:tc>
                <w:tcPr>
                  <w:tcW w:w="2502"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AnsiTheme="minorEastAsia" w:eastAsiaTheme="minorEastAsia"/>
                      <w:color w:val="auto"/>
                      <w:sz w:val="21"/>
                      <w:szCs w:val="21"/>
                    </w:rPr>
                  </w:pPr>
                  <w:r>
                    <w:rPr>
                      <w:rFonts w:hint="eastAsia" w:hAnsiTheme="minorEastAsia" w:eastAsiaTheme="minorEastAsia"/>
                      <w:color w:val="auto"/>
                      <w:sz w:val="21"/>
                      <w:szCs w:val="21"/>
                      <w:lang w:val="en-US" w:eastAsia="zh-CN"/>
                    </w:rPr>
                    <w:t>当地统一供水</w:t>
                  </w:r>
                </w:p>
              </w:tc>
              <w:tc>
                <w:tcPr>
                  <w:tcW w:w="560"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lang w:val="en-US" w:eastAsia="zh-CN"/>
                    </w:rPr>
                  </w:pPr>
                  <w:r>
                    <w:rPr>
                      <w:rFonts w:hint="eastAsia"/>
                      <w:color w:val="auto"/>
                      <w:kern w:val="2"/>
                      <w:sz w:val="21"/>
                      <w:lang w:val="en-US"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5" w:type="pct"/>
                  <w:vMerge w:val="continue"/>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p>
              </w:tc>
              <w:tc>
                <w:tcPr>
                  <w:tcW w:w="772" w:type="pct"/>
                  <w:vMerge w:val="continue"/>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p>
              </w:tc>
              <w:tc>
                <w:tcPr>
                  <w:tcW w:w="749"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color w:val="auto"/>
                      <w:kern w:val="2"/>
                      <w:sz w:val="21"/>
                    </w:rPr>
                    <w:t>供电</w:t>
                  </w:r>
                </w:p>
              </w:tc>
              <w:tc>
                <w:tcPr>
                  <w:tcW w:w="2502"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AnsiTheme="minorEastAsia" w:eastAsiaTheme="minorEastAsia"/>
                      <w:color w:val="auto"/>
                      <w:sz w:val="21"/>
                      <w:szCs w:val="21"/>
                    </w:rPr>
                  </w:pPr>
                  <w:r>
                    <w:rPr>
                      <w:rFonts w:hint="eastAsia" w:hAnsiTheme="minorEastAsia" w:eastAsiaTheme="minorEastAsia"/>
                      <w:color w:val="auto"/>
                      <w:sz w:val="21"/>
                      <w:szCs w:val="21"/>
                      <w:lang w:val="en-US" w:eastAsia="zh-CN"/>
                    </w:rPr>
                    <w:t>当地统一供电</w:t>
                  </w:r>
                </w:p>
              </w:tc>
              <w:tc>
                <w:tcPr>
                  <w:tcW w:w="560"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lang w:val="en-US" w:eastAsia="zh-CN"/>
                    </w:rPr>
                  </w:pPr>
                  <w:r>
                    <w:rPr>
                      <w:rFonts w:hint="eastAsia"/>
                      <w:color w:val="auto"/>
                      <w:kern w:val="2"/>
                      <w:sz w:val="21"/>
                      <w:lang w:val="en-US"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5" w:type="pct"/>
                  <w:vMerge w:val="restart"/>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eastAsia" w:eastAsia="宋体"/>
                      <w:color w:val="auto"/>
                      <w:kern w:val="2"/>
                      <w:sz w:val="21"/>
                      <w:lang w:eastAsia="zh-CN"/>
                    </w:rPr>
                  </w:pPr>
                  <w:r>
                    <w:rPr>
                      <w:rFonts w:hint="eastAsia"/>
                      <w:color w:val="auto"/>
                      <w:kern w:val="2"/>
                      <w:sz w:val="21"/>
                      <w:lang w:val="en-US" w:eastAsia="zh-CN"/>
                    </w:rPr>
                    <w:t>3</w:t>
                  </w:r>
                </w:p>
              </w:tc>
              <w:tc>
                <w:tcPr>
                  <w:tcW w:w="772" w:type="pct"/>
                  <w:vMerge w:val="restart"/>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color w:val="auto"/>
                      <w:kern w:val="2"/>
                      <w:sz w:val="21"/>
                    </w:rPr>
                    <w:t>环保工程</w:t>
                  </w:r>
                </w:p>
              </w:tc>
              <w:tc>
                <w:tcPr>
                  <w:tcW w:w="749"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lang w:val="en-US" w:eastAsia="zh-CN"/>
                    </w:rPr>
                  </w:pPr>
                  <w:r>
                    <w:rPr>
                      <w:color w:val="auto"/>
                      <w:kern w:val="2"/>
                      <w:sz w:val="21"/>
                    </w:rPr>
                    <w:t>废气治理</w:t>
                  </w:r>
                </w:p>
              </w:tc>
              <w:tc>
                <w:tcPr>
                  <w:tcW w:w="2502"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jc w:val="both"/>
                    <w:rPr>
                      <w:color w:val="auto"/>
                      <w:kern w:val="2"/>
                      <w:sz w:val="21"/>
                      <w:highlight w:val="green"/>
                    </w:rPr>
                  </w:pPr>
                  <w:r>
                    <w:rPr>
                      <w:rFonts w:hAnsiTheme="minorEastAsia" w:eastAsiaTheme="minorEastAsia"/>
                      <w:color w:val="auto"/>
                      <w:sz w:val="21"/>
                      <w:szCs w:val="21"/>
                    </w:rPr>
                    <w:t>硫酸雾废气经收集后送至</w:t>
                  </w:r>
                  <w:r>
                    <w:rPr>
                      <w:rFonts w:eastAsiaTheme="minorEastAsia"/>
                      <w:color w:val="auto"/>
                      <w:sz w:val="21"/>
                      <w:szCs w:val="21"/>
                    </w:rPr>
                    <w:t>1</w:t>
                  </w:r>
                  <w:r>
                    <w:rPr>
                      <w:rFonts w:hAnsiTheme="minorEastAsia" w:eastAsiaTheme="minorEastAsia"/>
                      <w:color w:val="auto"/>
                      <w:sz w:val="21"/>
                      <w:szCs w:val="21"/>
                    </w:rPr>
                    <w:t>套酸雾吸收塔处理，后经</w:t>
                  </w:r>
                  <w:r>
                    <w:rPr>
                      <w:rFonts w:eastAsiaTheme="minorEastAsia"/>
                      <w:color w:val="auto"/>
                      <w:sz w:val="21"/>
                      <w:szCs w:val="21"/>
                    </w:rPr>
                    <w:t>1</w:t>
                  </w:r>
                  <w:r>
                    <w:rPr>
                      <w:rFonts w:hAnsiTheme="minorEastAsia" w:eastAsiaTheme="minorEastAsia"/>
                      <w:color w:val="auto"/>
                      <w:sz w:val="21"/>
                      <w:szCs w:val="21"/>
                    </w:rPr>
                    <w:t>根</w:t>
                  </w:r>
                  <w:r>
                    <w:rPr>
                      <w:rFonts w:eastAsiaTheme="minorEastAsia"/>
                      <w:color w:val="auto"/>
                      <w:sz w:val="21"/>
                      <w:szCs w:val="21"/>
                    </w:rPr>
                    <w:t>15m</w:t>
                  </w:r>
                  <w:r>
                    <w:rPr>
                      <w:rFonts w:hAnsiTheme="minorEastAsia" w:eastAsiaTheme="minorEastAsia"/>
                      <w:color w:val="auto"/>
                      <w:sz w:val="21"/>
                      <w:szCs w:val="21"/>
                    </w:rPr>
                    <w:t>高排气筒</w:t>
                  </w:r>
                  <w:r>
                    <w:rPr>
                      <w:rFonts w:hint="eastAsia" w:hAnsiTheme="minorEastAsia" w:eastAsiaTheme="minorEastAsia"/>
                      <w:color w:val="auto"/>
                      <w:sz w:val="21"/>
                      <w:szCs w:val="21"/>
                      <w:lang w:eastAsia="zh-CN"/>
                    </w:rPr>
                    <w:t>（</w:t>
                  </w:r>
                  <w:r>
                    <w:rPr>
                      <w:rFonts w:hint="eastAsia" w:hAnsiTheme="minorEastAsia" w:eastAsiaTheme="minorEastAsia"/>
                      <w:color w:val="auto"/>
                      <w:sz w:val="21"/>
                      <w:szCs w:val="21"/>
                      <w:lang w:val="en-US" w:eastAsia="zh-CN"/>
                    </w:rPr>
                    <w:t>DA001</w:t>
                  </w:r>
                  <w:r>
                    <w:rPr>
                      <w:rFonts w:hint="eastAsia" w:hAnsiTheme="minorEastAsia" w:eastAsiaTheme="minorEastAsia"/>
                      <w:color w:val="auto"/>
                      <w:sz w:val="21"/>
                      <w:szCs w:val="21"/>
                      <w:lang w:eastAsia="zh-CN"/>
                    </w:rPr>
                    <w:t>）</w:t>
                  </w:r>
                  <w:r>
                    <w:rPr>
                      <w:rFonts w:hAnsiTheme="minorEastAsia" w:eastAsiaTheme="minorEastAsia"/>
                      <w:color w:val="auto"/>
                      <w:sz w:val="21"/>
                      <w:szCs w:val="21"/>
                    </w:rPr>
                    <w:t>有组织排放</w:t>
                  </w:r>
                  <w:r>
                    <w:rPr>
                      <w:rFonts w:hint="eastAsia" w:hAnsiTheme="minorEastAsia" w:eastAsiaTheme="minorEastAsia"/>
                      <w:color w:val="auto"/>
                      <w:sz w:val="21"/>
                      <w:szCs w:val="21"/>
                      <w:lang w:eastAsia="zh-CN"/>
                    </w:rPr>
                    <w:t>。</w:t>
                  </w:r>
                </w:p>
              </w:tc>
              <w:tc>
                <w:tcPr>
                  <w:tcW w:w="560"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lang w:val="en-US" w:eastAsia="zh-CN"/>
                    </w:rPr>
                  </w:pPr>
                  <w:r>
                    <w:rPr>
                      <w:rFonts w:hint="eastAsia"/>
                      <w:color w:val="auto"/>
                      <w:kern w:val="2"/>
                      <w:sz w:val="21"/>
                      <w:lang w:val="en-US" w:eastAsia="zh-CN"/>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5" w:type="pct"/>
                  <w:vMerge w:val="continue"/>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p>
              </w:tc>
              <w:tc>
                <w:tcPr>
                  <w:tcW w:w="772" w:type="pct"/>
                  <w:vMerge w:val="continue"/>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p>
              </w:tc>
              <w:tc>
                <w:tcPr>
                  <w:tcW w:w="749"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color w:val="auto"/>
                      <w:kern w:val="2"/>
                      <w:sz w:val="21"/>
                    </w:rPr>
                    <w:t>废水治理</w:t>
                  </w:r>
                </w:p>
              </w:tc>
              <w:tc>
                <w:tcPr>
                  <w:tcW w:w="2502"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jc w:val="both"/>
                    <w:rPr>
                      <w:color w:val="auto"/>
                      <w:kern w:val="2"/>
                      <w:sz w:val="21"/>
                      <w:highlight w:val="green"/>
                    </w:rPr>
                  </w:pPr>
                  <w:bookmarkStart w:id="115" w:name="OLE_LINK61"/>
                  <w:bookmarkStart w:id="116" w:name="OLE_LINK92"/>
                  <w:r>
                    <w:rPr>
                      <w:rFonts w:hAnsiTheme="minorEastAsia" w:eastAsiaTheme="minorEastAsia"/>
                      <w:color w:val="auto"/>
                      <w:sz w:val="21"/>
                      <w:szCs w:val="21"/>
                    </w:rPr>
                    <w:t>本项目无生产废水，生活污水经化粪池处理后，</w:t>
                  </w:r>
                  <w:r>
                    <w:rPr>
                      <w:rFonts w:hint="eastAsia" w:hAnsiTheme="minorEastAsia" w:eastAsiaTheme="minorEastAsia"/>
                      <w:color w:val="auto"/>
                      <w:sz w:val="21"/>
                      <w:szCs w:val="21"/>
                      <w:lang w:val="en-US" w:eastAsia="zh-CN"/>
                    </w:rPr>
                    <w:t>定期清运</w:t>
                  </w:r>
                  <w:bookmarkEnd w:id="115"/>
                  <w:r>
                    <w:rPr>
                      <w:rFonts w:hint="eastAsia" w:hAnsiTheme="minorEastAsia" w:eastAsiaTheme="minorEastAsia"/>
                      <w:color w:val="auto"/>
                      <w:sz w:val="21"/>
                      <w:szCs w:val="21"/>
                      <w:lang w:eastAsia="zh-CN"/>
                    </w:rPr>
                    <w:t>。</w:t>
                  </w:r>
                  <w:bookmarkEnd w:id="116"/>
                </w:p>
              </w:tc>
              <w:tc>
                <w:tcPr>
                  <w:tcW w:w="560"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rPr>
                  </w:pPr>
                  <w:r>
                    <w:rPr>
                      <w:rFonts w:hint="eastAsia"/>
                      <w:color w:val="auto"/>
                      <w:kern w:val="2"/>
                      <w:sz w:val="21"/>
                      <w:lang w:val="en-US" w:eastAsia="zh-CN"/>
                    </w:rPr>
                    <w:t>依托现有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5" w:type="pct"/>
                  <w:vMerge w:val="continue"/>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p>
              </w:tc>
              <w:tc>
                <w:tcPr>
                  <w:tcW w:w="772" w:type="pct"/>
                  <w:vMerge w:val="continue"/>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p>
              </w:tc>
              <w:tc>
                <w:tcPr>
                  <w:tcW w:w="749"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default" w:eastAsia="宋体"/>
                      <w:color w:val="auto"/>
                      <w:kern w:val="2"/>
                      <w:sz w:val="21"/>
                      <w:lang w:val="en-US" w:eastAsia="zh-CN"/>
                    </w:rPr>
                  </w:pPr>
                  <w:r>
                    <w:rPr>
                      <w:rFonts w:hint="eastAsia"/>
                      <w:color w:val="auto"/>
                      <w:kern w:val="2"/>
                      <w:sz w:val="21"/>
                      <w:lang w:val="en-US" w:eastAsia="zh-CN"/>
                    </w:rPr>
                    <w:t>固废治理</w:t>
                  </w:r>
                </w:p>
              </w:tc>
              <w:tc>
                <w:tcPr>
                  <w:tcW w:w="2502"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jc w:val="center"/>
                    <w:rPr>
                      <w:rFonts w:hint="default" w:hAnsiTheme="minorEastAsia" w:eastAsiaTheme="minorEastAsia"/>
                      <w:color w:val="auto"/>
                      <w:sz w:val="21"/>
                      <w:szCs w:val="21"/>
                      <w:lang w:val="en-US" w:eastAsia="zh-CN"/>
                    </w:rPr>
                  </w:pPr>
                  <w:r>
                    <w:rPr>
                      <w:rFonts w:hint="eastAsia" w:hAnsiTheme="minorEastAsia" w:eastAsiaTheme="minorEastAsia"/>
                      <w:color w:val="auto"/>
                      <w:sz w:val="21"/>
                      <w:szCs w:val="21"/>
                      <w:lang w:val="en-US" w:eastAsia="zh-CN"/>
                    </w:rPr>
                    <w:t>危险废物暂存间1座（15</w:t>
                  </w:r>
                  <w:r>
                    <w:rPr>
                      <w:rFonts w:hint="eastAsia" w:hAnsiTheme="minorEastAsia" w:eastAsiaTheme="minorEastAsia"/>
                      <w:color w:val="auto"/>
                      <w:sz w:val="21"/>
                      <w:szCs w:val="21"/>
                      <w:lang w:eastAsia="zh-CN"/>
                    </w:rPr>
                    <w:t>m²</w:t>
                  </w:r>
                  <w:r>
                    <w:rPr>
                      <w:rFonts w:hint="eastAsia" w:hAnsiTheme="minorEastAsia" w:eastAsiaTheme="minorEastAsia"/>
                      <w:color w:val="auto"/>
                      <w:sz w:val="21"/>
                      <w:szCs w:val="21"/>
                      <w:lang w:val="en-US" w:eastAsia="zh-CN"/>
                    </w:rPr>
                    <w:t>）。</w:t>
                  </w:r>
                </w:p>
              </w:tc>
              <w:tc>
                <w:tcPr>
                  <w:tcW w:w="560"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lang w:val="en-US" w:eastAsia="zh-CN"/>
                    </w:rPr>
                  </w:pPr>
                  <w:r>
                    <w:rPr>
                      <w:rFonts w:hint="eastAsia"/>
                      <w:color w:val="auto"/>
                      <w:kern w:val="2"/>
                      <w:sz w:val="21"/>
                      <w:lang w:val="en-US" w:eastAsia="zh-CN"/>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5" w:type="pct"/>
                  <w:vMerge w:val="continue"/>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p>
              </w:tc>
              <w:tc>
                <w:tcPr>
                  <w:tcW w:w="772" w:type="pct"/>
                  <w:vMerge w:val="continue"/>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p>
              </w:tc>
              <w:tc>
                <w:tcPr>
                  <w:tcW w:w="749"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AnsiTheme="minorEastAsia" w:eastAsiaTheme="minorEastAsia"/>
                      <w:color w:val="auto"/>
                      <w:sz w:val="21"/>
                      <w:szCs w:val="21"/>
                    </w:rPr>
                  </w:pPr>
                  <w:r>
                    <w:rPr>
                      <w:rFonts w:hAnsiTheme="minorEastAsia" w:eastAsiaTheme="minorEastAsia"/>
                      <w:color w:val="auto"/>
                      <w:sz w:val="21"/>
                      <w:szCs w:val="21"/>
                    </w:rPr>
                    <w:t>地下水防渗</w:t>
                  </w:r>
                </w:p>
              </w:tc>
              <w:tc>
                <w:tcPr>
                  <w:tcW w:w="2502"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jc w:val="both"/>
                    <w:rPr>
                      <w:rFonts w:hAnsiTheme="minorEastAsia" w:eastAsiaTheme="minorEastAsia"/>
                      <w:color w:val="auto"/>
                      <w:sz w:val="21"/>
                      <w:szCs w:val="21"/>
                    </w:rPr>
                  </w:pPr>
                  <w:bookmarkStart w:id="117" w:name="OLE_LINK262"/>
                  <w:r>
                    <w:rPr>
                      <w:rFonts w:hAnsiTheme="minorEastAsia" w:eastAsiaTheme="minorEastAsia"/>
                      <w:color w:val="auto"/>
                      <w:sz w:val="21"/>
                      <w:szCs w:val="21"/>
                      <w:highlight w:val="none"/>
                    </w:rPr>
                    <w:t>厂区分区防渗，其中</w:t>
                  </w:r>
                  <w:r>
                    <w:rPr>
                      <w:rFonts w:hint="eastAsia" w:hAnsiTheme="minorEastAsia" w:eastAsiaTheme="minorEastAsia"/>
                      <w:color w:val="auto"/>
                      <w:sz w:val="21"/>
                      <w:szCs w:val="21"/>
                      <w:highlight w:val="none"/>
                      <w:lang w:val="en-US" w:eastAsia="zh-CN"/>
                    </w:rPr>
                    <w:t>储存</w:t>
                  </w:r>
                  <w:r>
                    <w:rPr>
                      <w:rFonts w:hAnsiTheme="minorEastAsia" w:eastAsiaTheme="minorEastAsia"/>
                      <w:color w:val="auto"/>
                      <w:sz w:val="21"/>
                      <w:szCs w:val="21"/>
                      <w:highlight w:val="none"/>
                    </w:rPr>
                    <w:t>区、导流</w:t>
                  </w:r>
                  <w:r>
                    <w:rPr>
                      <w:rFonts w:hint="eastAsia" w:hAnsiTheme="minorEastAsia" w:eastAsiaTheme="minorEastAsia"/>
                      <w:color w:val="auto"/>
                      <w:sz w:val="21"/>
                      <w:szCs w:val="21"/>
                      <w:highlight w:val="none"/>
                      <w:lang w:val="en-US" w:eastAsia="zh-CN"/>
                    </w:rPr>
                    <w:t>槽</w:t>
                  </w:r>
                  <w:r>
                    <w:rPr>
                      <w:rFonts w:hAnsiTheme="minorEastAsia" w:eastAsiaTheme="minorEastAsia"/>
                      <w:color w:val="auto"/>
                      <w:sz w:val="21"/>
                      <w:szCs w:val="21"/>
                      <w:highlight w:val="none"/>
                    </w:rPr>
                    <w:t>、废液收集池、应急事故池等重点防渗</w:t>
                  </w:r>
                  <w:bookmarkEnd w:id="117"/>
                </w:p>
              </w:tc>
              <w:tc>
                <w:tcPr>
                  <w:tcW w:w="560"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lang w:val="en-US" w:eastAsia="zh-CN"/>
                    </w:rPr>
                  </w:pPr>
                  <w:bookmarkStart w:id="118" w:name="OLE_LINK158"/>
                  <w:r>
                    <w:rPr>
                      <w:rFonts w:hint="eastAsia"/>
                      <w:color w:val="auto"/>
                      <w:kern w:val="2"/>
                      <w:sz w:val="21"/>
                      <w:lang w:val="en-US" w:eastAsia="zh-CN"/>
                    </w:rPr>
                    <w:t>新建</w:t>
                  </w:r>
                  <w:bookmarkEnd w:id="118"/>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5" w:type="pct"/>
                  <w:vMerge w:val="continue"/>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p>
              </w:tc>
              <w:tc>
                <w:tcPr>
                  <w:tcW w:w="772" w:type="pct"/>
                  <w:vMerge w:val="continue"/>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p>
              </w:tc>
              <w:tc>
                <w:tcPr>
                  <w:tcW w:w="749"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AnsiTheme="minorEastAsia" w:eastAsiaTheme="minorEastAsia"/>
                      <w:color w:val="auto"/>
                      <w:sz w:val="21"/>
                      <w:szCs w:val="21"/>
                    </w:rPr>
                  </w:pPr>
                  <w:r>
                    <w:rPr>
                      <w:rFonts w:hAnsiTheme="minorEastAsia" w:eastAsiaTheme="minorEastAsia"/>
                      <w:color w:val="auto"/>
                      <w:sz w:val="21"/>
                      <w:szCs w:val="21"/>
                    </w:rPr>
                    <w:t>运输</w:t>
                  </w:r>
                </w:p>
              </w:tc>
              <w:tc>
                <w:tcPr>
                  <w:tcW w:w="2502"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jc w:val="both"/>
                    <w:rPr>
                      <w:rFonts w:hAnsiTheme="minorEastAsia" w:eastAsiaTheme="minorEastAsia"/>
                      <w:color w:val="auto"/>
                      <w:sz w:val="21"/>
                      <w:szCs w:val="21"/>
                    </w:rPr>
                  </w:pPr>
                  <w:r>
                    <w:rPr>
                      <w:rFonts w:hAnsiTheme="minorEastAsia" w:eastAsiaTheme="minorEastAsia"/>
                      <w:color w:val="auto"/>
                      <w:sz w:val="21"/>
                      <w:szCs w:val="21"/>
                    </w:rPr>
                    <w:t>具有危险废物运输资质的专用运输车1辆，具有相关执照的运输司机和押运员各1名</w:t>
                  </w:r>
                </w:p>
              </w:tc>
              <w:tc>
                <w:tcPr>
                  <w:tcW w:w="560"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lang w:val="en-US" w:eastAsia="zh-CN"/>
                    </w:rPr>
                  </w:pPr>
                  <w:r>
                    <w:rPr>
                      <w:rFonts w:hint="eastAsia"/>
                      <w:color w:val="auto"/>
                      <w:kern w:val="2"/>
                      <w:sz w:val="21"/>
                      <w:lang w:val="en-US"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5" w:type="pct"/>
                  <w:vMerge w:val="continue"/>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p>
              </w:tc>
              <w:tc>
                <w:tcPr>
                  <w:tcW w:w="772" w:type="pct"/>
                  <w:vMerge w:val="continue"/>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p>
              </w:tc>
              <w:tc>
                <w:tcPr>
                  <w:tcW w:w="749" w:type="pct"/>
                  <w:vMerge w:val="restart"/>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AnsiTheme="minorEastAsia" w:eastAsiaTheme="minorEastAsia"/>
                      <w:color w:val="auto"/>
                      <w:sz w:val="21"/>
                      <w:szCs w:val="21"/>
                    </w:rPr>
                  </w:pPr>
                  <w:r>
                    <w:rPr>
                      <w:rFonts w:hAnsiTheme="minorEastAsia" w:eastAsiaTheme="minorEastAsia"/>
                      <w:color w:val="auto"/>
                      <w:sz w:val="21"/>
                      <w:szCs w:val="21"/>
                    </w:rPr>
                    <w:t>环境风险</w:t>
                  </w:r>
                </w:p>
              </w:tc>
              <w:tc>
                <w:tcPr>
                  <w:tcW w:w="2502"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jc w:val="both"/>
                    <w:rPr>
                      <w:rFonts w:hAnsiTheme="minorEastAsia" w:eastAsiaTheme="minorEastAsia"/>
                      <w:color w:val="auto"/>
                      <w:sz w:val="21"/>
                      <w:szCs w:val="21"/>
                      <w:highlight w:val="none"/>
                    </w:rPr>
                  </w:pPr>
                  <w:r>
                    <w:rPr>
                      <w:rFonts w:hAnsiTheme="minorEastAsia" w:eastAsiaTheme="minorEastAsia"/>
                      <w:color w:val="auto"/>
                      <w:sz w:val="21"/>
                      <w:szCs w:val="21"/>
                      <w:highlight w:val="none"/>
                    </w:rPr>
                    <w:t>废电池贮存区设置废液收集池（0.5m</w:t>
                  </w:r>
                  <w:r>
                    <w:rPr>
                      <w:rFonts w:hint="eastAsia" w:hAnsiTheme="minorEastAsia" w:eastAsiaTheme="minorEastAsia"/>
                      <w:color w:val="auto"/>
                      <w:sz w:val="21"/>
                      <w:szCs w:val="21"/>
                      <w:highlight w:val="none"/>
                    </w:rPr>
                    <w:t>³</w:t>
                  </w:r>
                  <w:r>
                    <w:rPr>
                      <w:rFonts w:hAnsiTheme="minorEastAsia" w:eastAsiaTheme="minorEastAsia"/>
                      <w:color w:val="auto"/>
                      <w:sz w:val="21"/>
                      <w:szCs w:val="21"/>
                      <w:highlight w:val="none"/>
                    </w:rPr>
                    <w:t>）+导流</w:t>
                  </w:r>
                  <w:r>
                    <w:rPr>
                      <w:rFonts w:hint="eastAsia" w:hAnsiTheme="minorEastAsia" w:eastAsiaTheme="minorEastAsia"/>
                      <w:color w:val="auto"/>
                      <w:sz w:val="21"/>
                      <w:szCs w:val="21"/>
                      <w:highlight w:val="none"/>
                      <w:lang w:val="en-US" w:eastAsia="zh-CN"/>
                    </w:rPr>
                    <w:t>槽</w:t>
                  </w:r>
                </w:p>
              </w:tc>
              <w:tc>
                <w:tcPr>
                  <w:tcW w:w="560"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bookmarkStart w:id="119" w:name="OLE_LINK11"/>
                  <w:r>
                    <w:rPr>
                      <w:rFonts w:hint="eastAsia"/>
                      <w:color w:val="auto"/>
                      <w:kern w:val="2"/>
                      <w:sz w:val="21"/>
                      <w:lang w:val="en-US" w:eastAsia="zh-CN"/>
                    </w:rPr>
                    <w:t>新建</w:t>
                  </w:r>
                  <w:bookmarkEnd w:id="119"/>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5" w:type="pct"/>
                  <w:vMerge w:val="continue"/>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p>
              </w:tc>
              <w:tc>
                <w:tcPr>
                  <w:tcW w:w="772" w:type="pct"/>
                  <w:vMerge w:val="continue"/>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p>
              </w:tc>
              <w:tc>
                <w:tcPr>
                  <w:tcW w:w="749" w:type="pct"/>
                  <w:vMerge w:val="continue"/>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AnsiTheme="minorEastAsia" w:eastAsiaTheme="minorEastAsia"/>
                      <w:color w:val="auto"/>
                      <w:sz w:val="21"/>
                      <w:szCs w:val="21"/>
                    </w:rPr>
                  </w:pPr>
                </w:p>
              </w:tc>
              <w:tc>
                <w:tcPr>
                  <w:tcW w:w="2502"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jc w:val="center"/>
                    <w:rPr>
                      <w:rFonts w:hAnsiTheme="minorEastAsia" w:eastAsiaTheme="minorEastAsia"/>
                      <w:color w:val="auto"/>
                      <w:sz w:val="21"/>
                      <w:szCs w:val="21"/>
                      <w:highlight w:val="none"/>
                    </w:rPr>
                  </w:pPr>
                  <w:r>
                    <w:rPr>
                      <w:rFonts w:hAnsiTheme="minorEastAsia" w:eastAsiaTheme="minorEastAsia"/>
                      <w:color w:val="auto"/>
                      <w:sz w:val="21"/>
                      <w:szCs w:val="21"/>
                      <w:highlight w:val="none"/>
                    </w:rPr>
                    <w:t>应急事故池1座，容积40m</w:t>
                  </w:r>
                  <w:r>
                    <w:rPr>
                      <w:rFonts w:hint="eastAsia" w:hAnsiTheme="minorEastAsia" w:eastAsiaTheme="minorEastAsia"/>
                      <w:color w:val="auto"/>
                      <w:sz w:val="21"/>
                      <w:szCs w:val="21"/>
                      <w:highlight w:val="none"/>
                    </w:rPr>
                    <w:t>³</w:t>
                  </w:r>
                </w:p>
              </w:tc>
              <w:tc>
                <w:tcPr>
                  <w:tcW w:w="560"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lang w:val="en-US" w:eastAsia="zh-CN"/>
                    </w:rPr>
                  </w:pPr>
                  <w:r>
                    <w:rPr>
                      <w:rFonts w:hint="eastAsia"/>
                      <w:color w:val="auto"/>
                      <w:kern w:val="2"/>
                      <w:sz w:val="21"/>
                      <w:lang w:val="en-US" w:eastAsia="zh-CN"/>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5" w:type="pct"/>
                  <w:vMerge w:val="continue"/>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p>
              </w:tc>
              <w:tc>
                <w:tcPr>
                  <w:tcW w:w="772" w:type="pct"/>
                  <w:vMerge w:val="continue"/>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p>
              </w:tc>
              <w:tc>
                <w:tcPr>
                  <w:tcW w:w="749" w:type="pct"/>
                  <w:vMerge w:val="continue"/>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AnsiTheme="minorEastAsia" w:eastAsiaTheme="minorEastAsia"/>
                      <w:color w:val="auto"/>
                      <w:sz w:val="21"/>
                      <w:szCs w:val="21"/>
                    </w:rPr>
                  </w:pPr>
                </w:p>
              </w:tc>
              <w:tc>
                <w:tcPr>
                  <w:tcW w:w="2502"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eastAsia" w:hAnsiTheme="minorEastAsia" w:eastAsiaTheme="minorEastAsia"/>
                      <w:color w:val="auto"/>
                      <w:sz w:val="21"/>
                      <w:szCs w:val="21"/>
                      <w:lang w:eastAsia="zh-CN"/>
                    </w:rPr>
                  </w:pPr>
                  <w:r>
                    <w:rPr>
                      <w:rFonts w:hAnsiTheme="minorEastAsia" w:eastAsiaTheme="minorEastAsia"/>
                      <w:color w:val="auto"/>
                      <w:sz w:val="21"/>
                      <w:szCs w:val="21"/>
                    </w:rPr>
                    <w:t>消防沙池1座，容积5</w:t>
                  </w:r>
                  <w:bookmarkStart w:id="120" w:name="OLE_LINK107"/>
                  <w:r>
                    <w:rPr>
                      <w:rFonts w:hAnsiTheme="minorEastAsia" w:eastAsiaTheme="minorEastAsia"/>
                      <w:color w:val="auto"/>
                      <w:sz w:val="21"/>
                      <w:szCs w:val="21"/>
                    </w:rPr>
                    <w:t>m</w:t>
                  </w:r>
                  <w:r>
                    <w:rPr>
                      <w:rFonts w:hint="eastAsia" w:hAnsiTheme="minorEastAsia" w:eastAsiaTheme="minorEastAsia"/>
                      <w:color w:val="auto"/>
                      <w:sz w:val="21"/>
                      <w:szCs w:val="21"/>
                    </w:rPr>
                    <w:t>³</w:t>
                  </w:r>
                  <w:bookmarkEnd w:id="120"/>
                </w:p>
              </w:tc>
              <w:tc>
                <w:tcPr>
                  <w:tcW w:w="560"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rFonts w:hint="eastAsia"/>
                      <w:color w:val="auto"/>
                      <w:kern w:val="2"/>
                      <w:sz w:val="21"/>
                      <w:lang w:val="en-US" w:eastAsia="zh-CN"/>
                    </w:rPr>
                    <w:t>新建</w:t>
                  </w:r>
                </w:p>
              </w:tc>
            </w:tr>
          </w:tbl>
          <w:p>
            <w:pPr>
              <w:keepNext w:val="0"/>
              <w:keepLines w:val="0"/>
              <w:suppressLineNumbers w:val="0"/>
              <w:bidi w:val="0"/>
              <w:spacing w:before="0" w:beforeAutospacing="0" w:after="0" w:afterAutospacing="0"/>
              <w:ind w:left="0" w:right="0"/>
              <w:jc w:val="both"/>
              <w:rPr>
                <w:rFonts w:hint="eastAsia" w:hAnsiTheme="minorEastAsia" w:eastAsiaTheme="minorEastAsia"/>
                <w:color w:val="auto"/>
                <w:sz w:val="24"/>
              </w:rPr>
            </w:pPr>
            <w:r>
              <w:rPr>
                <w:rFonts w:hAnsiTheme="minorEastAsia" w:eastAsiaTheme="minorEastAsia"/>
                <w:color w:val="auto"/>
                <w:sz w:val="24"/>
              </w:rPr>
              <w:t>根据</w:t>
            </w:r>
            <w:bookmarkStart w:id="121" w:name="OLE_LINK12"/>
            <w:r>
              <w:rPr>
                <w:rFonts w:hAnsiTheme="minorEastAsia" w:eastAsiaTheme="minorEastAsia"/>
                <w:color w:val="auto"/>
                <w:sz w:val="24"/>
              </w:rPr>
              <w:t>《废铅酸蓄电池回收技术规范》</w:t>
            </w:r>
            <w:bookmarkEnd w:id="121"/>
            <w:r>
              <w:rPr>
                <w:rFonts w:hAnsiTheme="minorEastAsia" w:eastAsiaTheme="minorEastAsia"/>
                <w:color w:val="auto"/>
                <w:sz w:val="24"/>
              </w:rPr>
              <w:t>（GB/T37281-2019）中关于</w:t>
            </w:r>
            <w:r>
              <w:rPr>
                <w:rFonts w:hint="eastAsia" w:hAnsiTheme="minorEastAsia" w:eastAsiaTheme="minorEastAsia"/>
                <w:color w:val="auto"/>
                <w:sz w:val="24"/>
                <w:lang w:eastAsia="zh-CN"/>
              </w:rPr>
              <w:t>“</w:t>
            </w:r>
            <w:r>
              <w:rPr>
                <w:rFonts w:hAnsiTheme="minorEastAsia" w:eastAsiaTheme="minorEastAsia"/>
                <w:color w:val="auto"/>
                <w:sz w:val="24"/>
              </w:rPr>
              <w:t>贮存规模应与贮存场所的容量相匹配，贮存场所面积应不小于500</w:t>
            </w:r>
            <w:bookmarkStart w:id="122" w:name="OLE_LINK151"/>
            <w:r>
              <w:rPr>
                <w:rFonts w:hint="eastAsia" w:hAnsiTheme="minorEastAsia" w:eastAsiaTheme="minorEastAsia"/>
                <w:color w:val="auto"/>
                <w:sz w:val="24"/>
                <w:lang w:eastAsia="zh-CN"/>
              </w:rPr>
              <w:t>m²</w:t>
            </w:r>
            <w:bookmarkEnd w:id="122"/>
            <w:r>
              <w:rPr>
                <w:rFonts w:hAnsiTheme="minorEastAsia" w:eastAsiaTheme="minorEastAsia"/>
                <w:color w:val="auto"/>
                <w:sz w:val="24"/>
              </w:rPr>
              <w:t>，废电池贮存时间不应超过1年</w:t>
            </w:r>
            <w:r>
              <w:rPr>
                <w:rFonts w:hint="eastAsia" w:hAnsiTheme="minorEastAsia" w:eastAsiaTheme="minorEastAsia"/>
                <w:color w:val="auto"/>
                <w:sz w:val="24"/>
                <w:lang w:eastAsia="zh-CN"/>
              </w:rPr>
              <w:t>”</w:t>
            </w:r>
            <w:r>
              <w:rPr>
                <w:rFonts w:hAnsiTheme="minorEastAsia" w:eastAsiaTheme="minorEastAsia"/>
                <w:color w:val="auto"/>
                <w:sz w:val="24"/>
              </w:rPr>
              <w:t>的要求。</w:t>
            </w:r>
            <w:bookmarkStart w:id="123" w:name="OLE_LINK14"/>
            <w:r>
              <w:rPr>
                <w:rFonts w:hAnsiTheme="minorEastAsia" w:eastAsiaTheme="minorEastAsia"/>
                <w:color w:val="auto"/>
                <w:sz w:val="24"/>
              </w:rPr>
              <w:t>本项目</w:t>
            </w:r>
            <w:r>
              <w:rPr>
                <w:rFonts w:hint="eastAsia" w:hAnsiTheme="minorEastAsia" w:eastAsiaTheme="minorEastAsia"/>
                <w:color w:val="auto"/>
                <w:sz w:val="24"/>
                <w:lang w:val="en-US" w:eastAsia="zh-CN"/>
              </w:rPr>
              <w:t>储存区域</w:t>
            </w:r>
            <w:r>
              <w:rPr>
                <w:rFonts w:hAnsiTheme="minorEastAsia" w:eastAsiaTheme="minorEastAsia"/>
                <w:color w:val="auto"/>
                <w:sz w:val="24"/>
              </w:rPr>
              <w:t>面积</w:t>
            </w:r>
            <w:r>
              <w:rPr>
                <w:rFonts w:hint="eastAsia" w:hAnsiTheme="minorEastAsia" w:eastAsiaTheme="minorEastAsia"/>
                <w:color w:val="auto"/>
                <w:sz w:val="24"/>
                <w:lang w:val="en-US" w:eastAsia="zh-CN"/>
              </w:rPr>
              <w:t>56</w:t>
            </w:r>
            <w:r>
              <w:rPr>
                <w:rFonts w:hAnsiTheme="minorEastAsia" w:eastAsiaTheme="minorEastAsia"/>
                <w:color w:val="auto"/>
                <w:sz w:val="24"/>
              </w:rPr>
              <w:t>0</w:t>
            </w:r>
            <w:bookmarkStart w:id="124" w:name="OLE_LINK106"/>
            <w:r>
              <w:rPr>
                <w:rFonts w:hint="eastAsia" w:hAnsiTheme="minorEastAsia" w:eastAsiaTheme="minorEastAsia"/>
                <w:color w:val="auto"/>
                <w:sz w:val="24"/>
                <w:lang w:eastAsia="zh-CN"/>
              </w:rPr>
              <w:t>m²</w:t>
            </w:r>
            <w:bookmarkEnd w:id="124"/>
            <w:r>
              <w:rPr>
                <w:rFonts w:hAnsiTheme="minorEastAsia" w:eastAsiaTheme="minorEastAsia"/>
                <w:color w:val="auto"/>
                <w:sz w:val="24"/>
              </w:rPr>
              <w:t>，及时转运，拟</w:t>
            </w:r>
            <w:r>
              <w:rPr>
                <w:rFonts w:hint="eastAsia" w:hAnsiTheme="minorEastAsia" w:eastAsiaTheme="minorEastAsia"/>
                <w:color w:val="auto"/>
                <w:sz w:val="24"/>
                <w:lang w:val="en-US" w:eastAsia="zh-CN"/>
              </w:rPr>
              <w:t>3</w:t>
            </w:r>
            <w:r>
              <w:rPr>
                <w:rFonts w:hAnsiTheme="minorEastAsia" w:eastAsiaTheme="minorEastAsia"/>
                <w:color w:val="auto"/>
                <w:sz w:val="24"/>
              </w:rPr>
              <w:t>天转运1次</w:t>
            </w:r>
            <w:r>
              <w:rPr>
                <w:rFonts w:hint="eastAsia" w:hAnsiTheme="minorEastAsia" w:eastAsiaTheme="minorEastAsia"/>
                <w:color w:val="auto"/>
                <w:sz w:val="24"/>
                <w:lang w:eastAsia="zh-CN"/>
              </w:rPr>
              <w:t>。</w:t>
            </w:r>
            <w:r>
              <w:rPr>
                <w:rFonts w:hAnsiTheme="minorEastAsia" w:eastAsiaTheme="minorEastAsia"/>
                <w:color w:val="auto"/>
                <w:sz w:val="24"/>
              </w:rPr>
              <w:t>综上，贮存规模与贮存场所的容量相匹配，贮存场所面积大小合理。</w:t>
            </w:r>
            <w:bookmarkEnd w:id="123"/>
          </w:p>
          <w:p>
            <w:pPr>
              <w:keepNext w:val="0"/>
              <w:keepLines w:val="0"/>
              <w:suppressLineNumbers w:val="0"/>
              <w:bidi w:val="0"/>
              <w:spacing w:before="0" w:beforeAutospacing="0" w:after="0" w:afterAutospacing="0"/>
              <w:ind w:left="0" w:right="0"/>
              <w:jc w:val="both"/>
              <w:rPr>
                <w:rFonts w:hint="eastAsia"/>
                <w:b/>
                <w:bCs/>
                <w:color w:val="auto"/>
              </w:rPr>
            </w:pPr>
            <w:r>
              <w:rPr>
                <w:rFonts w:hint="eastAsia"/>
                <w:b/>
                <w:bCs/>
                <w:color w:val="auto"/>
              </w:rPr>
              <w:t>3、</w:t>
            </w:r>
            <w:r>
              <w:rPr>
                <w:rFonts w:hint="eastAsia"/>
                <w:b/>
                <w:bCs/>
                <w:color w:val="auto"/>
                <w:lang w:val="en-US" w:eastAsia="zh-CN"/>
              </w:rPr>
              <w:t>项目</w:t>
            </w:r>
            <w:r>
              <w:rPr>
                <w:rFonts w:hint="eastAsia"/>
                <w:b/>
                <w:bCs/>
                <w:color w:val="auto"/>
              </w:rPr>
              <w:t>回收、贮存规模及来源</w:t>
            </w:r>
          </w:p>
          <w:p>
            <w:pPr>
              <w:keepNext w:val="0"/>
              <w:keepLines w:val="0"/>
              <w:suppressLineNumbers w:val="0"/>
              <w:bidi w:val="0"/>
              <w:spacing w:before="0" w:beforeAutospacing="0" w:after="0" w:afterAutospacing="0"/>
              <w:ind w:left="0" w:right="0"/>
              <w:rPr>
                <w:rFonts w:hint="eastAsia"/>
                <w:color w:val="auto"/>
              </w:rPr>
            </w:pPr>
            <w:r>
              <w:rPr>
                <w:rFonts w:hint="eastAsia"/>
                <w:color w:val="auto"/>
              </w:rPr>
              <w:t>本项目</w:t>
            </w:r>
            <w:r>
              <w:rPr>
                <w:rFonts w:hint="eastAsia"/>
                <w:color w:val="auto"/>
                <w:sz w:val="24"/>
                <w:szCs w:val="24"/>
              </w:rPr>
              <w:t>回收、贮存规模及来源</w:t>
            </w:r>
            <w:r>
              <w:rPr>
                <w:rFonts w:hint="eastAsia"/>
                <w:color w:val="auto"/>
              </w:rPr>
              <w:t>见下表。</w:t>
            </w:r>
          </w:p>
          <w:p>
            <w:pPr>
              <w:pStyle w:val="12"/>
              <w:keepNext w:val="0"/>
              <w:keepLines w:val="0"/>
              <w:suppressLineNumbers w:val="0"/>
              <w:bidi w:val="0"/>
              <w:spacing w:before="0" w:beforeAutospacing="0" w:after="0" w:afterAutospacing="0"/>
              <w:ind w:left="0" w:right="0"/>
              <w:rPr>
                <w:rFonts w:hint="eastAsia"/>
                <w:color w:val="auto"/>
              </w:rPr>
            </w:pPr>
            <w:r>
              <w:rPr>
                <w:rFonts w:hint="eastAsia"/>
                <w:color w:val="auto"/>
              </w:rPr>
              <w:t>表</w:t>
            </w:r>
            <w:r>
              <w:rPr>
                <w:rFonts w:hint="eastAsia"/>
                <w:color w:val="auto"/>
                <w:lang w:val="en-US" w:eastAsia="zh-CN"/>
              </w:rPr>
              <w:t xml:space="preserve"> 2-3    </w:t>
            </w:r>
            <w:r>
              <w:rPr>
                <w:rFonts w:hint="eastAsia"/>
                <w:color w:val="auto"/>
              </w:rPr>
              <w:t>本项目</w:t>
            </w:r>
            <w:r>
              <w:rPr>
                <w:rFonts w:hint="eastAsia"/>
                <w:color w:val="auto"/>
                <w:sz w:val="24"/>
                <w:szCs w:val="24"/>
              </w:rPr>
              <w:t>回收、贮存规模及来源</w:t>
            </w:r>
            <w:r>
              <w:rPr>
                <w:rFonts w:hint="eastAsia"/>
                <w:color w:val="auto"/>
              </w:rPr>
              <w:t>一览表</w:t>
            </w:r>
          </w:p>
          <w:tbl>
            <w:tblPr>
              <w:tblStyle w:val="23"/>
              <w:tblW w:w="5000" w:type="pct"/>
              <w:jc w:val="center"/>
              <w:tblBorders>
                <w:top w:val="single" w:color="000000" w:themeColor="text1" w:sz="8" w:space="0"/>
                <w:left w:val="none" w:color="auto" w:sz="0" w:space="0"/>
                <w:bottom w:val="single" w:color="000000" w:themeColor="text1" w:sz="8"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07"/>
              <w:gridCol w:w="1053"/>
              <w:gridCol w:w="2776"/>
              <w:gridCol w:w="1981"/>
              <w:gridCol w:w="681"/>
              <w:gridCol w:w="1281"/>
            </w:tblGrid>
            <w:tr>
              <w:tblPrEx>
                <w:tblBorders>
                  <w:top w:val="single" w:color="000000" w:themeColor="text1" w:sz="8" w:space="0"/>
                  <w:left w:val="none" w:color="auto" w:sz="0" w:space="0"/>
                  <w:bottom w:val="single" w:color="000000" w:themeColor="text1" w:sz="8"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362" w:type="pct"/>
                  <w:tcBorders>
                    <w:tl2br w:val="nil"/>
                    <w:tr2bl w:val="nil"/>
                  </w:tcBorders>
                  <w:vAlign w:val="center"/>
                </w:tcPr>
                <w:p>
                  <w:pPr>
                    <w:pStyle w:val="28"/>
                    <w:keepNext w:val="0"/>
                    <w:keepLines w:val="0"/>
                    <w:suppressLineNumbers w:val="0"/>
                    <w:bidi w:val="0"/>
                    <w:spacing w:before="0" w:beforeAutospacing="0" w:after="0" w:afterAutospacing="0"/>
                    <w:ind w:left="0" w:right="0"/>
                    <w:rPr>
                      <w:b/>
                      <w:bCs/>
                      <w:color w:val="auto"/>
                    </w:rPr>
                  </w:pPr>
                  <w:bookmarkStart w:id="125" w:name="OLE_LINK50" w:colFirst="0" w:colLast="5"/>
                  <w:r>
                    <w:rPr>
                      <w:b/>
                      <w:bCs/>
                      <w:color w:val="auto"/>
                    </w:rPr>
                    <w:t>名称</w:t>
                  </w:r>
                </w:p>
              </w:tc>
              <w:tc>
                <w:tcPr>
                  <w:tcW w:w="628" w:type="pct"/>
                  <w:tcBorders>
                    <w:tl2br w:val="nil"/>
                    <w:tr2bl w:val="nil"/>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设计回收量（t/a）</w:t>
                  </w:r>
                </w:p>
              </w:tc>
              <w:tc>
                <w:tcPr>
                  <w:tcW w:w="1655"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default"/>
                      <w:b/>
                      <w:bCs/>
                      <w:color w:val="auto"/>
                      <w:lang w:val="en-US" w:eastAsia="zh-CN"/>
                    </w:rPr>
                  </w:pPr>
                  <w:r>
                    <w:rPr>
                      <w:b/>
                      <w:bCs/>
                      <w:color w:val="auto"/>
                    </w:rPr>
                    <w:t>来源</w:t>
                  </w:r>
                </w:p>
              </w:tc>
              <w:tc>
                <w:tcPr>
                  <w:tcW w:w="1181"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default"/>
                      <w:b/>
                      <w:bCs/>
                      <w:color w:val="auto"/>
                      <w:lang w:val="en-US" w:eastAsia="zh-CN"/>
                    </w:rPr>
                  </w:pPr>
                  <w:r>
                    <w:rPr>
                      <w:b/>
                      <w:bCs/>
                      <w:color w:val="auto"/>
                    </w:rPr>
                    <w:t>厂区暂存量</w:t>
                  </w:r>
                </w:p>
              </w:tc>
              <w:tc>
                <w:tcPr>
                  <w:tcW w:w="406"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eastAsia"/>
                      <w:b/>
                      <w:bCs/>
                      <w:color w:val="auto"/>
                      <w:lang w:val="en-US" w:eastAsia="zh-CN"/>
                    </w:rPr>
                  </w:pPr>
                  <w:r>
                    <w:rPr>
                      <w:b/>
                      <w:bCs/>
                      <w:color w:val="auto"/>
                    </w:rPr>
                    <w:t>是否属于危险废物</w:t>
                  </w:r>
                </w:p>
              </w:tc>
              <w:tc>
                <w:tcPr>
                  <w:tcW w:w="764"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eastAsia"/>
                      <w:b/>
                      <w:bCs/>
                      <w:color w:val="auto"/>
                      <w:lang w:val="en-US" w:eastAsia="zh-CN"/>
                    </w:rPr>
                  </w:pPr>
                  <w:r>
                    <w:rPr>
                      <w:b/>
                      <w:bCs/>
                      <w:color w:val="auto"/>
                    </w:rPr>
                    <w:t>废物类别及代码</w:t>
                  </w:r>
                </w:p>
              </w:tc>
            </w:tr>
            <w:tr>
              <w:tblPrEx>
                <w:tblBorders>
                  <w:top w:val="single" w:color="000000" w:themeColor="text1" w:sz="8" w:space="0"/>
                  <w:left w:val="none" w:color="auto" w:sz="0" w:space="0"/>
                  <w:bottom w:val="single" w:color="000000" w:themeColor="text1" w:sz="8"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362"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default"/>
                      <w:color w:val="auto"/>
                      <w:lang w:val="en-US"/>
                    </w:rPr>
                  </w:pPr>
                  <w:r>
                    <w:rPr>
                      <w:color w:val="auto"/>
                    </w:rPr>
                    <w:t>废旧铅蓄电池</w:t>
                  </w:r>
                </w:p>
              </w:tc>
              <w:tc>
                <w:tcPr>
                  <w:tcW w:w="628"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eastAsia" w:eastAsia="宋体"/>
                      <w:color w:val="auto"/>
                      <w:lang w:val="en-US" w:eastAsia="zh-CN"/>
                    </w:rPr>
                  </w:pPr>
                  <w:r>
                    <w:rPr>
                      <w:rFonts w:hint="eastAsia"/>
                      <w:color w:val="auto"/>
                      <w:highlight w:val="none"/>
                      <w:lang w:val="en-US" w:eastAsia="zh-CN"/>
                    </w:rPr>
                    <w:t>3</w:t>
                  </w:r>
                  <w:r>
                    <w:rPr>
                      <w:color w:val="auto"/>
                      <w:highlight w:val="none"/>
                    </w:rPr>
                    <w:t>00</w:t>
                  </w:r>
                  <w:r>
                    <w:rPr>
                      <w:rFonts w:hint="eastAsia"/>
                      <w:color w:val="auto"/>
                      <w:highlight w:val="none"/>
                      <w:lang w:val="en-US" w:eastAsia="zh-CN"/>
                    </w:rPr>
                    <w:t>0</w:t>
                  </w:r>
                </w:p>
              </w:tc>
              <w:tc>
                <w:tcPr>
                  <w:tcW w:w="1655"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default"/>
                      <w:color w:val="auto"/>
                      <w:lang w:val="en-US" w:eastAsia="zh-CN"/>
                    </w:rPr>
                  </w:pPr>
                  <w:bookmarkStart w:id="126" w:name="OLE_LINK138"/>
                  <w:r>
                    <w:rPr>
                      <w:rFonts w:hint="eastAsia"/>
                      <w:color w:val="auto"/>
                      <w:lang w:val="en-US" w:eastAsia="zh-CN"/>
                    </w:rPr>
                    <w:t>卫滨区</w:t>
                  </w:r>
                  <w:r>
                    <w:rPr>
                      <w:color w:val="auto"/>
                    </w:rPr>
                    <w:t>及周边区域</w:t>
                  </w:r>
                  <w:bookmarkStart w:id="127" w:name="OLE_LINK145"/>
                  <w:r>
                    <w:rPr>
                      <w:color w:val="auto"/>
                    </w:rPr>
                    <w:t>电池销售点、电动车维修店及汽车修理厂</w:t>
                  </w:r>
                  <w:bookmarkEnd w:id="127"/>
                  <w:r>
                    <w:rPr>
                      <w:color w:val="auto"/>
                    </w:rPr>
                    <w:t>等产生的机动车铅酸蓄电池、电瓶车铅酸蓄电池、电力设施中的铅酸蓄电池等。</w:t>
                  </w:r>
                  <w:bookmarkEnd w:id="126"/>
                </w:p>
              </w:tc>
              <w:tc>
                <w:tcPr>
                  <w:tcW w:w="1181"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highlight w:val="none"/>
                    </w:rPr>
                    <w:t>厂区废旧铅蓄电池拟</w:t>
                  </w:r>
                  <w:bookmarkStart w:id="128" w:name="OLE_LINK140"/>
                  <w:r>
                    <w:rPr>
                      <w:rFonts w:hint="eastAsia"/>
                      <w:color w:val="auto"/>
                      <w:highlight w:val="none"/>
                      <w:lang w:val="en-US" w:eastAsia="zh-CN"/>
                    </w:rPr>
                    <w:t>3天</w:t>
                  </w:r>
                  <w:r>
                    <w:rPr>
                      <w:rFonts w:hint="eastAsia"/>
                      <w:color w:val="auto"/>
                      <w:highlight w:val="none"/>
                    </w:rPr>
                    <w:t>转运1次</w:t>
                  </w:r>
                  <w:bookmarkEnd w:id="128"/>
                  <w:r>
                    <w:rPr>
                      <w:rFonts w:hint="eastAsia"/>
                      <w:color w:val="auto"/>
                      <w:highlight w:val="none"/>
                    </w:rPr>
                    <w:t>，项目年工作3</w:t>
                  </w:r>
                  <w:r>
                    <w:rPr>
                      <w:rFonts w:hint="eastAsia"/>
                      <w:color w:val="auto"/>
                      <w:highlight w:val="none"/>
                      <w:lang w:val="en-US" w:eastAsia="zh-CN"/>
                    </w:rPr>
                    <w:t>0</w:t>
                  </w:r>
                  <w:r>
                    <w:rPr>
                      <w:rFonts w:hint="eastAsia"/>
                      <w:color w:val="auto"/>
                      <w:highlight w:val="none"/>
                    </w:rPr>
                    <w:t>0d，即最大暂存量为</w:t>
                  </w:r>
                  <w:r>
                    <w:rPr>
                      <w:rFonts w:hint="eastAsia"/>
                      <w:color w:val="auto"/>
                      <w:highlight w:val="none"/>
                      <w:lang w:val="en-US" w:eastAsia="zh-CN"/>
                    </w:rPr>
                    <w:t>30</w:t>
                  </w:r>
                  <w:r>
                    <w:rPr>
                      <w:rFonts w:hint="eastAsia"/>
                      <w:color w:val="auto"/>
                      <w:highlight w:val="none"/>
                    </w:rPr>
                    <w:t>t。</w:t>
                  </w:r>
                </w:p>
              </w:tc>
              <w:tc>
                <w:tcPr>
                  <w:tcW w:w="406"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eastAsia"/>
                      <w:color w:val="auto"/>
                      <w:lang w:val="en-US" w:eastAsia="zh-CN"/>
                    </w:rPr>
                  </w:pPr>
                  <w:r>
                    <w:rPr>
                      <w:color w:val="auto"/>
                    </w:rPr>
                    <w:t>是</w:t>
                  </w:r>
                </w:p>
              </w:tc>
              <w:tc>
                <w:tcPr>
                  <w:tcW w:w="764" w:type="pct"/>
                  <w:tcBorders>
                    <w:tl2br w:val="nil"/>
                    <w:tr2bl w:val="nil"/>
                  </w:tcBorders>
                  <w:vAlign w:val="center"/>
                </w:tcPr>
                <w:p>
                  <w:pPr>
                    <w:pStyle w:val="28"/>
                    <w:keepNext w:val="0"/>
                    <w:keepLines w:val="0"/>
                    <w:suppressLineNumbers w:val="0"/>
                    <w:bidi w:val="0"/>
                    <w:spacing w:before="0" w:beforeAutospacing="0" w:after="0" w:afterAutospacing="0"/>
                    <w:ind w:left="0" w:right="0"/>
                    <w:rPr>
                      <w:color w:val="auto"/>
                    </w:rPr>
                  </w:pPr>
                  <w:r>
                    <w:rPr>
                      <w:color w:val="auto"/>
                    </w:rPr>
                    <w:t>HW31</w:t>
                  </w:r>
                </w:p>
                <w:p>
                  <w:pPr>
                    <w:pStyle w:val="28"/>
                    <w:keepNext w:val="0"/>
                    <w:keepLines w:val="0"/>
                    <w:suppressLineNumbers w:val="0"/>
                    <w:bidi w:val="0"/>
                    <w:spacing w:before="0" w:beforeAutospacing="0" w:after="0" w:afterAutospacing="0"/>
                    <w:ind w:left="0" w:right="0"/>
                    <w:rPr>
                      <w:rFonts w:hint="eastAsia"/>
                      <w:color w:val="auto"/>
                      <w:lang w:val="en-US" w:eastAsia="zh-CN"/>
                    </w:rPr>
                  </w:pPr>
                  <w:r>
                    <w:rPr>
                      <w:color w:val="auto"/>
                    </w:rPr>
                    <w:t>900-052-31</w:t>
                  </w:r>
                </w:p>
              </w:tc>
            </w:tr>
            <w:bookmarkEnd w:id="125"/>
          </w:tbl>
          <w:p>
            <w:pPr>
              <w:keepNext w:val="0"/>
              <w:keepLines w:val="0"/>
              <w:suppressLineNumbers w:val="0"/>
              <w:bidi w:val="0"/>
              <w:spacing w:before="0" w:beforeAutospacing="0" w:after="0" w:afterAutospacing="0"/>
              <w:ind w:left="0" w:right="0"/>
              <w:rPr>
                <w:b/>
                <w:bCs/>
                <w:color w:val="auto"/>
              </w:rPr>
            </w:pPr>
            <w:r>
              <w:rPr>
                <w:rFonts w:hint="eastAsia"/>
                <w:b/>
                <w:bCs/>
                <w:color w:val="auto"/>
              </w:rPr>
              <w:t>4、</w:t>
            </w:r>
            <w:r>
              <w:rPr>
                <w:b/>
                <w:color w:val="auto"/>
                <w:sz w:val="24"/>
                <w:szCs w:val="24"/>
              </w:rPr>
              <w:t>废铅蓄电池构成及理化性质</w:t>
            </w:r>
          </w:p>
          <w:p>
            <w:pPr>
              <w:keepNext w:val="0"/>
              <w:keepLines w:val="0"/>
              <w:suppressLineNumbers w:val="0"/>
              <w:adjustRightInd w:val="0"/>
              <w:snapToGrid w:val="0"/>
              <w:spacing w:before="0" w:beforeAutospacing="0" w:after="0" w:afterAutospacing="0" w:line="440" w:lineRule="exact"/>
              <w:ind w:left="0" w:right="0" w:firstLine="480" w:firstLineChars="200"/>
              <w:rPr>
                <w:rFonts w:eastAsia="黑体"/>
                <w:bCs/>
                <w:color w:val="auto"/>
              </w:rPr>
            </w:pPr>
            <w:r>
              <w:rPr>
                <w:color w:val="auto"/>
                <w:sz w:val="24"/>
              </w:rPr>
              <w:t>废铅蓄电池：指在生产、生活和其他活动中产生的丧失原有利用价值或者虽未丧失利用价值但被抛弃或者放弃的废铅蓄电池。本项目收集的铅酸蓄电池主要以电动车蓄电池为主。铅酸蓄电池构成见</w:t>
            </w:r>
            <w:r>
              <w:rPr>
                <w:rFonts w:hint="eastAsia"/>
                <w:color w:val="auto"/>
                <w:sz w:val="24"/>
              </w:rPr>
              <w:t>下表</w:t>
            </w:r>
            <w:r>
              <w:rPr>
                <w:color w:val="auto"/>
                <w:sz w:val="24"/>
              </w:rPr>
              <w:t>。</w:t>
            </w:r>
          </w:p>
          <w:p>
            <w:pPr>
              <w:pStyle w:val="12"/>
              <w:keepNext w:val="0"/>
              <w:keepLines w:val="0"/>
              <w:suppressLineNumbers w:val="0"/>
              <w:bidi w:val="0"/>
              <w:spacing w:before="0" w:beforeAutospacing="0" w:after="0" w:afterAutospacing="0"/>
              <w:ind w:left="0" w:right="0"/>
              <w:rPr>
                <w:rFonts w:hint="default"/>
                <w:color w:val="auto"/>
              </w:rPr>
            </w:pPr>
            <w:r>
              <w:rPr>
                <w:rFonts w:hint="default" w:ascii="Times New Roman" w:hAnsi="Times New Roman" w:eastAsia="宋体" w:cs="Times New Roman"/>
                <w:color w:val="auto"/>
              </w:rPr>
              <w:t>表</w:t>
            </w:r>
            <w:r>
              <w:rPr>
                <w:rFonts w:hint="eastAsia" w:ascii="Times New Roman" w:hAnsi="Times New Roman" w:eastAsia="宋体" w:cs="Times New Roman"/>
                <w:color w:val="auto"/>
                <w:lang w:val="en-US" w:eastAsia="zh-CN"/>
              </w:rPr>
              <w:t xml:space="preserve"> 2-4    </w:t>
            </w:r>
            <w:r>
              <w:rPr>
                <w:rFonts w:hint="default" w:ascii="Times New Roman" w:hAnsi="Times New Roman" w:eastAsia="宋体" w:cs="Times New Roman"/>
                <w:color w:val="auto"/>
              </w:rPr>
              <w:t>铅酸蓄电池构成一览表</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1874"/>
              <w:gridCol w:w="1237"/>
              <w:gridCol w:w="418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46" w:type="pct"/>
                  <w:tcBorders>
                    <w:tl2br w:val="nil"/>
                    <w:tr2bl w:val="nil"/>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主要部件</w:t>
                  </w:r>
                </w:p>
              </w:tc>
              <w:tc>
                <w:tcPr>
                  <w:tcW w:w="1118" w:type="pct"/>
                  <w:tcBorders>
                    <w:tl2br w:val="nil"/>
                    <w:tr2bl w:val="nil"/>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主要成分</w:t>
                  </w:r>
                </w:p>
              </w:tc>
              <w:tc>
                <w:tcPr>
                  <w:tcW w:w="738" w:type="pct"/>
                  <w:tcBorders>
                    <w:tl2br w:val="nil"/>
                    <w:tr2bl w:val="nil"/>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所占比例</w:t>
                  </w:r>
                </w:p>
                <w:p>
                  <w:pPr>
                    <w:pStyle w:val="28"/>
                    <w:keepNext w:val="0"/>
                    <w:keepLines w:val="0"/>
                    <w:suppressLineNumbers w:val="0"/>
                    <w:bidi w:val="0"/>
                    <w:spacing w:before="0" w:beforeAutospacing="0" w:after="0" w:afterAutospacing="0"/>
                    <w:ind w:left="0" w:right="0"/>
                    <w:rPr>
                      <w:b/>
                      <w:bCs/>
                      <w:color w:val="auto"/>
                    </w:rPr>
                  </w:pPr>
                  <w:r>
                    <w:rPr>
                      <w:b/>
                      <w:bCs/>
                      <w:color w:val="auto"/>
                    </w:rPr>
                    <w:t>（%）</w:t>
                  </w:r>
                </w:p>
              </w:tc>
              <w:tc>
                <w:tcPr>
                  <w:tcW w:w="2497" w:type="pct"/>
                  <w:tcBorders>
                    <w:tl2br w:val="nil"/>
                    <w:tr2bl w:val="nil"/>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备注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46" w:type="pct"/>
                  <w:tcBorders>
                    <w:tl2br w:val="nil"/>
                    <w:tr2bl w:val="nil"/>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电解液</w:t>
                  </w:r>
                </w:p>
              </w:tc>
              <w:tc>
                <w:tcPr>
                  <w:tcW w:w="1118" w:type="pct"/>
                  <w:tcBorders>
                    <w:tl2br w:val="nil"/>
                    <w:tr2bl w:val="nil"/>
                  </w:tcBorders>
                  <w:vAlign w:val="center"/>
                </w:tcPr>
                <w:p>
                  <w:pPr>
                    <w:pStyle w:val="28"/>
                    <w:keepNext w:val="0"/>
                    <w:keepLines w:val="0"/>
                    <w:suppressLineNumbers w:val="0"/>
                    <w:bidi w:val="0"/>
                    <w:spacing w:before="0" w:beforeAutospacing="0" w:after="0" w:afterAutospacing="0"/>
                    <w:ind w:left="0" w:right="0"/>
                    <w:rPr>
                      <w:color w:val="auto"/>
                    </w:rPr>
                  </w:pPr>
                  <w:r>
                    <w:rPr>
                      <w:color w:val="auto"/>
                    </w:rPr>
                    <w:t>H</w:t>
                  </w:r>
                  <w:r>
                    <w:rPr>
                      <w:color w:val="auto"/>
                      <w:vertAlign w:val="subscript"/>
                    </w:rPr>
                    <w:t>2</w:t>
                  </w:r>
                  <w:r>
                    <w:rPr>
                      <w:color w:val="auto"/>
                    </w:rPr>
                    <w:t>SO</w:t>
                  </w:r>
                  <w:r>
                    <w:rPr>
                      <w:color w:val="auto"/>
                      <w:vertAlign w:val="subscript"/>
                    </w:rPr>
                    <w:t>4</w:t>
                  </w:r>
                  <w:r>
                    <w:rPr>
                      <w:color w:val="auto"/>
                    </w:rPr>
                    <w:t>、H</w:t>
                  </w:r>
                  <w:r>
                    <w:rPr>
                      <w:color w:val="auto"/>
                      <w:vertAlign w:val="subscript"/>
                    </w:rPr>
                    <w:t>2</w:t>
                  </w:r>
                  <w:r>
                    <w:rPr>
                      <w:color w:val="auto"/>
                    </w:rPr>
                    <w:t>O等</w:t>
                  </w:r>
                </w:p>
              </w:tc>
              <w:tc>
                <w:tcPr>
                  <w:tcW w:w="738" w:type="pct"/>
                  <w:tcBorders>
                    <w:tl2br w:val="nil"/>
                    <w:tr2bl w:val="nil"/>
                  </w:tcBorders>
                  <w:vAlign w:val="center"/>
                </w:tcPr>
                <w:p>
                  <w:pPr>
                    <w:pStyle w:val="28"/>
                    <w:keepNext w:val="0"/>
                    <w:keepLines w:val="0"/>
                    <w:suppressLineNumbers w:val="0"/>
                    <w:bidi w:val="0"/>
                    <w:spacing w:before="0" w:beforeAutospacing="0" w:after="0" w:afterAutospacing="0"/>
                    <w:ind w:left="0" w:right="0"/>
                    <w:rPr>
                      <w:color w:val="auto"/>
                    </w:rPr>
                  </w:pPr>
                  <w:r>
                    <w:rPr>
                      <w:color w:val="auto"/>
                    </w:rPr>
                    <w:t>10</w:t>
                  </w:r>
                </w:p>
              </w:tc>
              <w:tc>
                <w:tcPr>
                  <w:tcW w:w="2497" w:type="pct"/>
                  <w:tcBorders>
                    <w:tl2br w:val="nil"/>
                    <w:tr2bl w:val="nil"/>
                  </w:tcBorders>
                  <w:vAlign w:val="center"/>
                </w:tcPr>
                <w:p>
                  <w:pPr>
                    <w:pStyle w:val="28"/>
                    <w:keepNext w:val="0"/>
                    <w:keepLines w:val="0"/>
                    <w:suppressLineNumbers w:val="0"/>
                    <w:bidi w:val="0"/>
                    <w:spacing w:before="0" w:beforeAutospacing="0" w:after="0" w:afterAutospacing="0"/>
                    <w:ind w:left="0" w:right="0"/>
                    <w:jc w:val="both"/>
                    <w:rPr>
                      <w:rFonts w:hint="eastAsia" w:eastAsia="宋体"/>
                      <w:color w:val="auto"/>
                      <w:lang w:eastAsia="zh-CN"/>
                    </w:rPr>
                  </w:pPr>
                  <w:r>
                    <w:rPr>
                      <w:color w:val="auto"/>
                    </w:rPr>
                    <w:t>废酸液，</w:t>
                  </w:r>
                  <w:bookmarkStart w:id="129" w:name="OLE_LINK214"/>
                  <w:r>
                    <w:rPr>
                      <w:color w:val="auto"/>
                    </w:rPr>
                    <w:t>电解液中硫酸重量比为38%~40%</w:t>
                  </w:r>
                  <w:bookmarkEnd w:id="129"/>
                  <w:r>
                    <w:rPr>
                      <w:rFonts w:hint="eastAsia"/>
                      <w:color w:val="auto"/>
                      <w:lang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46"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eastAsia"/>
                      <w:color w:val="auto"/>
                      <w:lang w:val="en-US" w:eastAsia="zh-CN"/>
                    </w:rPr>
                  </w:pPr>
                  <w:r>
                    <w:rPr>
                      <w:color w:val="auto"/>
                    </w:rPr>
                    <w:t>正负极填料</w:t>
                  </w:r>
                </w:p>
              </w:tc>
              <w:tc>
                <w:tcPr>
                  <w:tcW w:w="1118" w:type="pct"/>
                  <w:tcBorders>
                    <w:tl2br w:val="nil"/>
                    <w:tr2bl w:val="nil"/>
                  </w:tcBorders>
                  <w:vAlign w:val="center"/>
                </w:tcPr>
                <w:p>
                  <w:pPr>
                    <w:pStyle w:val="28"/>
                    <w:keepNext w:val="0"/>
                    <w:keepLines w:val="0"/>
                    <w:suppressLineNumbers w:val="0"/>
                    <w:bidi w:val="0"/>
                    <w:spacing w:before="0" w:beforeAutospacing="0" w:after="0" w:afterAutospacing="0"/>
                    <w:ind w:left="0" w:right="0"/>
                    <w:rPr>
                      <w:color w:val="auto"/>
                    </w:rPr>
                  </w:pPr>
                  <w:r>
                    <w:rPr>
                      <w:color w:val="auto"/>
                    </w:rPr>
                    <w:t>PbSO</w:t>
                  </w:r>
                  <w:r>
                    <w:rPr>
                      <w:color w:val="auto"/>
                      <w:vertAlign w:val="subscript"/>
                    </w:rPr>
                    <w:t>4</w:t>
                  </w:r>
                  <w:r>
                    <w:rPr>
                      <w:color w:val="auto"/>
                    </w:rPr>
                    <w:t>、PbO</w:t>
                  </w:r>
                  <w:r>
                    <w:rPr>
                      <w:color w:val="auto"/>
                      <w:vertAlign w:val="subscript"/>
                    </w:rPr>
                    <w:t>2</w:t>
                  </w:r>
                </w:p>
              </w:tc>
              <w:tc>
                <w:tcPr>
                  <w:tcW w:w="738"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default"/>
                      <w:color w:val="auto"/>
                      <w:lang w:val="en-US" w:eastAsia="zh-CN"/>
                    </w:rPr>
                  </w:pPr>
                  <w:r>
                    <w:rPr>
                      <w:color w:val="auto"/>
                    </w:rPr>
                    <w:t>41.5</w:t>
                  </w:r>
                </w:p>
              </w:tc>
              <w:tc>
                <w:tcPr>
                  <w:tcW w:w="2497" w:type="pct"/>
                  <w:tcBorders>
                    <w:tl2br w:val="nil"/>
                    <w:tr2bl w:val="nil"/>
                  </w:tcBorders>
                  <w:vAlign w:val="center"/>
                </w:tcPr>
                <w:p>
                  <w:pPr>
                    <w:pStyle w:val="28"/>
                    <w:keepNext w:val="0"/>
                    <w:keepLines w:val="0"/>
                    <w:suppressLineNumbers w:val="0"/>
                    <w:bidi w:val="0"/>
                    <w:spacing w:before="0" w:beforeAutospacing="0" w:after="0" w:afterAutospacing="0"/>
                    <w:ind w:left="0" w:right="0"/>
                    <w:jc w:val="both"/>
                    <w:rPr>
                      <w:rFonts w:hint="default"/>
                      <w:color w:val="auto"/>
                      <w:lang w:val="en-US" w:eastAsia="zh-CN"/>
                    </w:rPr>
                  </w:pPr>
                  <w:r>
                    <w:rPr>
                      <w:color w:val="auto"/>
                    </w:rPr>
                    <w:t>正负极填料是指电池中的两个电极所用的材料，正极材料通常是由过渡金属氧化物或磷酸盐组成的复合材料，负极材料则是由碳材料（如石墨）或其他材料组成的。</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46"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eastAsia"/>
                      <w:color w:val="auto"/>
                      <w:lang w:val="en-US" w:eastAsia="zh-CN"/>
                    </w:rPr>
                  </w:pPr>
                  <w:r>
                    <w:rPr>
                      <w:color w:val="auto"/>
                    </w:rPr>
                    <w:t>极板</w:t>
                  </w:r>
                </w:p>
              </w:tc>
              <w:tc>
                <w:tcPr>
                  <w:tcW w:w="1118"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eastAsia"/>
                      <w:color w:val="auto"/>
                    </w:rPr>
                  </w:pPr>
                  <w:r>
                    <w:rPr>
                      <w:color w:val="auto"/>
                    </w:rPr>
                    <w:t>Pb、PbO</w:t>
                  </w:r>
                  <w:r>
                    <w:rPr>
                      <w:color w:val="auto"/>
                      <w:vertAlign w:val="subscript"/>
                    </w:rPr>
                    <w:t>2</w:t>
                  </w:r>
                </w:p>
              </w:tc>
              <w:tc>
                <w:tcPr>
                  <w:tcW w:w="738"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eastAsia"/>
                      <w:color w:val="auto"/>
                      <w:lang w:val="en-US" w:eastAsia="zh-CN"/>
                    </w:rPr>
                  </w:pPr>
                  <w:r>
                    <w:rPr>
                      <w:color w:val="auto"/>
                    </w:rPr>
                    <w:t>39</w:t>
                  </w:r>
                </w:p>
              </w:tc>
              <w:tc>
                <w:tcPr>
                  <w:tcW w:w="2497" w:type="pct"/>
                  <w:tcBorders>
                    <w:tl2br w:val="nil"/>
                    <w:tr2bl w:val="nil"/>
                  </w:tcBorders>
                  <w:vAlign w:val="center"/>
                </w:tcPr>
                <w:p>
                  <w:pPr>
                    <w:pStyle w:val="28"/>
                    <w:keepNext w:val="0"/>
                    <w:keepLines w:val="0"/>
                    <w:suppressLineNumbers w:val="0"/>
                    <w:bidi w:val="0"/>
                    <w:spacing w:before="0" w:beforeAutospacing="0" w:after="0" w:afterAutospacing="0"/>
                    <w:ind w:left="0" w:right="0"/>
                    <w:jc w:val="both"/>
                    <w:rPr>
                      <w:rFonts w:hint="default"/>
                      <w:color w:val="auto"/>
                      <w:lang w:val="en-US" w:eastAsia="zh-CN"/>
                    </w:rPr>
                  </w:pPr>
                  <w:r>
                    <w:rPr>
                      <w:color w:val="auto"/>
                    </w:rPr>
                    <w:t>极板一般是由棚架和活性物质组成，分正极板和负极板两种。铅蓄电池的充电过程是依靠极板上的活性物质和电解液中硫酸的化学反应来实现的；</w:t>
                  </w:r>
                  <w:r>
                    <w:rPr>
                      <w:rFonts w:hint="eastAsia"/>
                      <w:color w:val="auto"/>
                      <w:lang w:val="en-US" w:eastAsia="zh-CN"/>
                    </w:rPr>
                    <w:t>正</w:t>
                  </w:r>
                  <w:r>
                    <w:rPr>
                      <w:color w:val="auto"/>
                    </w:rPr>
                    <w:t>极板上的活性物质是深棕色的二氧化铅（PbO</w:t>
                  </w:r>
                  <w:r>
                    <w:rPr>
                      <w:color w:val="auto"/>
                      <w:vertAlign w:val="subscript"/>
                    </w:rPr>
                    <w:t>2</w:t>
                  </w:r>
                  <w:r>
                    <w:rPr>
                      <w:color w:val="auto"/>
                    </w:rPr>
                    <w:t>），负极板上的活性物质是海绵状、青灰色的纯铅（Pb）</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46"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default"/>
                      <w:color w:val="auto"/>
                      <w:lang w:val="en-US" w:eastAsia="zh-CN"/>
                    </w:rPr>
                  </w:pPr>
                  <w:r>
                    <w:rPr>
                      <w:color w:val="auto"/>
                    </w:rPr>
                    <w:t>隔膜</w:t>
                  </w:r>
                </w:p>
              </w:tc>
              <w:tc>
                <w:tcPr>
                  <w:tcW w:w="1118"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eastAsia"/>
                      <w:color w:val="auto"/>
                    </w:rPr>
                  </w:pPr>
                  <w:r>
                    <w:rPr>
                      <w:color w:val="auto"/>
                    </w:rPr>
                    <w:t>聚丙烯、聚乙烯等</w:t>
                  </w:r>
                </w:p>
              </w:tc>
              <w:tc>
                <w:tcPr>
                  <w:tcW w:w="738"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eastAsia"/>
                      <w:color w:val="auto"/>
                      <w:lang w:val="en-US" w:eastAsia="zh-CN"/>
                    </w:rPr>
                  </w:pPr>
                  <w:r>
                    <w:rPr>
                      <w:color w:val="auto"/>
                    </w:rPr>
                    <w:t>3</w:t>
                  </w:r>
                </w:p>
              </w:tc>
              <w:tc>
                <w:tcPr>
                  <w:tcW w:w="2497"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default"/>
                      <w:color w:val="auto"/>
                      <w:lang w:val="en-US" w:eastAsia="zh-CN"/>
                    </w:rPr>
                  </w:pPr>
                  <w:r>
                    <w:rPr>
                      <w:color w:val="auto"/>
                    </w:rPr>
                    <w:t>正负极极板间防止短路隔膜</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46"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default"/>
                      <w:color w:val="auto"/>
                      <w:lang w:val="en-US" w:eastAsia="zh-CN"/>
                    </w:rPr>
                  </w:pPr>
                  <w:r>
                    <w:rPr>
                      <w:color w:val="auto"/>
                    </w:rPr>
                    <w:t>外壳</w:t>
                  </w:r>
                </w:p>
              </w:tc>
              <w:tc>
                <w:tcPr>
                  <w:tcW w:w="1118"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eastAsia"/>
                      <w:color w:val="auto"/>
                    </w:rPr>
                  </w:pPr>
                  <w:r>
                    <w:rPr>
                      <w:color w:val="auto"/>
                    </w:rPr>
                    <w:t>聚丙烯、ABS树脂</w:t>
                  </w:r>
                </w:p>
              </w:tc>
              <w:tc>
                <w:tcPr>
                  <w:tcW w:w="738"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eastAsia"/>
                      <w:color w:val="auto"/>
                      <w:lang w:val="en-US" w:eastAsia="zh-CN"/>
                    </w:rPr>
                  </w:pPr>
                  <w:r>
                    <w:rPr>
                      <w:color w:val="auto"/>
                    </w:rPr>
                    <w:t>6.5</w:t>
                  </w:r>
                </w:p>
              </w:tc>
              <w:tc>
                <w:tcPr>
                  <w:tcW w:w="2497"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default"/>
                      <w:color w:val="auto"/>
                      <w:lang w:val="en-US" w:eastAsia="zh-CN"/>
                    </w:rPr>
                  </w:pPr>
                  <w:r>
                    <w:rPr>
                      <w:color w:val="auto"/>
                    </w:rPr>
                    <w:t>塑料外壳</w:t>
                  </w:r>
                </w:p>
              </w:tc>
            </w:tr>
          </w:tbl>
          <w:p>
            <w:pPr>
              <w:keepNext w:val="0"/>
              <w:keepLines w:val="0"/>
              <w:suppressLineNumbers w:val="0"/>
              <w:bidi w:val="0"/>
              <w:spacing w:before="0" w:beforeAutospacing="0" w:after="0" w:afterAutospacing="0"/>
              <w:ind w:left="0" w:right="0"/>
              <w:rPr>
                <w:color w:val="auto"/>
              </w:rPr>
            </w:pPr>
            <w:r>
              <w:rPr>
                <w:color w:val="auto"/>
                <w:sz w:val="24"/>
              </w:rPr>
              <w:t>铅酸蓄电池中有毒有害物质性质见</w:t>
            </w:r>
            <w:r>
              <w:rPr>
                <w:rFonts w:hint="eastAsia"/>
                <w:color w:val="auto"/>
                <w:sz w:val="24"/>
              </w:rPr>
              <w:t>下表。</w:t>
            </w:r>
          </w:p>
          <w:p>
            <w:pPr>
              <w:pStyle w:val="12"/>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rPr>
            </w:pPr>
            <w:r>
              <w:rPr>
                <w:rFonts w:hint="eastAsia" w:ascii="Times New Roman" w:hAnsi="Times New Roman" w:eastAsia="宋体" w:cs="Times New Roman"/>
                <w:color w:val="auto"/>
              </w:rPr>
              <w:t>表</w:t>
            </w:r>
            <w:r>
              <w:rPr>
                <w:rFonts w:hint="eastAsia" w:ascii="Times New Roman" w:hAnsi="Times New Roman" w:eastAsia="宋体" w:cs="Times New Roman"/>
                <w:color w:val="auto"/>
                <w:lang w:val="en-US" w:eastAsia="zh-CN"/>
              </w:rPr>
              <w:t xml:space="preserve"> 2-5    </w:t>
            </w:r>
            <w:r>
              <w:rPr>
                <w:rFonts w:hint="eastAsia" w:ascii="Times New Roman" w:hAnsi="Times New Roman" w:eastAsia="宋体" w:cs="Times New Roman"/>
                <w:color w:val="auto"/>
              </w:rPr>
              <w:t>铅酸蓄电池中有毒有害物质性质</w:t>
            </w:r>
            <w:r>
              <w:rPr>
                <w:rFonts w:hint="default" w:ascii="Times New Roman" w:hAnsi="Times New Roman" w:eastAsia="宋体" w:cs="Times New Roman"/>
                <w:color w:val="auto"/>
              </w:rPr>
              <w:t>一览表</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267"/>
              <w:gridCol w:w="4069"/>
              <w:gridCol w:w="304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756" w:type="pct"/>
                  <w:tcBorders>
                    <w:tl2br w:val="nil"/>
                    <w:tr2bl w:val="nil"/>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名称</w:t>
                  </w:r>
                </w:p>
              </w:tc>
              <w:tc>
                <w:tcPr>
                  <w:tcW w:w="2427" w:type="pct"/>
                  <w:tcBorders>
                    <w:tl2br w:val="nil"/>
                    <w:tr2bl w:val="nil"/>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规格</w:t>
                  </w:r>
                </w:p>
              </w:tc>
              <w:tc>
                <w:tcPr>
                  <w:tcW w:w="1815" w:type="pct"/>
                  <w:tcBorders>
                    <w:tl2br w:val="nil"/>
                    <w:tr2bl w:val="nil"/>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数量</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6" w:type="pct"/>
                  <w:tcBorders>
                    <w:tl2br w:val="nil"/>
                    <w:tr2bl w:val="nil"/>
                  </w:tcBorders>
                  <w:vAlign w:val="center"/>
                </w:tcPr>
                <w:p>
                  <w:pPr>
                    <w:pStyle w:val="28"/>
                    <w:keepNext w:val="0"/>
                    <w:keepLines w:val="0"/>
                    <w:suppressLineNumbers w:val="0"/>
                    <w:bidi w:val="0"/>
                    <w:spacing w:before="0" w:beforeAutospacing="0" w:after="0" w:afterAutospacing="0"/>
                    <w:ind w:left="0" w:right="0"/>
                    <w:rPr>
                      <w:color w:val="auto"/>
                    </w:rPr>
                  </w:pPr>
                  <w:r>
                    <w:rPr>
                      <w:color w:val="auto"/>
                    </w:rPr>
                    <w:t>铅</w:t>
                  </w:r>
                </w:p>
                <w:p>
                  <w:pPr>
                    <w:pStyle w:val="28"/>
                    <w:keepNext w:val="0"/>
                    <w:keepLines w:val="0"/>
                    <w:suppressLineNumbers w:val="0"/>
                    <w:bidi w:val="0"/>
                    <w:spacing w:before="0" w:beforeAutospacing="0" w:after="0" w:afterAutospacing="0"/>
                    <w:ind w:left="0" w:right="0"/>
                    <w:rPr>
                      <w:color w:val="auto"/>
                    </w:rPr>
                  </w:pPr>
                  <w:r>
                    <w:rPr>
                      <w:color w:val="auto"/>
                    </w:rPr>
                    <w:t>（Pb）</w:t>
                  </w:r>
                </w:p>
              </w:tc>
              <w:tc>
                <w:tcPr>
                  <w:tcW w:w="2427" w:type="pct"/>
                  <w:tcBorders>
                    <w:tl2br w:val="nil"/>
                    <w:tr2bl w:val="nil"/>
                  </w:tcBorders>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外观：灰白色质软的粉末，切削面有光泽，延性弱展性强；熔点：327℃；沸点：1620℃；相对密度（水=1）11.34</w:t>
                  </w:r>
                </w:p>
              </w:tc>
              <w:tc>
                <w:tcPr>
                  <w:tcW w:w="1815" w:type="pct"/>
                  <w:tcBorders>
                    <w:tl2br w:val="nil"/>
                    <w:tr2bl w:val="nil"/>
                  </w:tcBorders>
                  <w:vAlign w:val="center"/>
                </w:tcPr>
                <w:p>
                  <w:pPr>
                    <w:pStyle w:val="28"/>
                    <w:keepNext w:val="0"/>
                    <w:keepLines w:val="0"/>
                    <w:suppressLineNumbers w:val="0"/>
                    <w:bidi w:val="0"/>
                    <w:spacing w:before="0" w:beforeAutospacing="0" w:after="0" w:afterAutospacing="0"/>
                    <w:ind w:left="0" w:right="0"/>
                    <w:jc w:val="both"/>
                    <w:rPr>
                      <w:rFonts w:hint="eastAsia"/>
                      <w:color w:val="auto"/>
                      <w:lang w:val="en-US" w:eastAsia="zh-CN"/>
                    </w:rPr>
                  </w:pPr>
                  <w:r>
                    <w:rPr>
                      <w:color w:val="auto"/>
                    </w:rPr>
                    <w:t>LD</w:t>
                  </w:r>
                  <w:r>
                    <w:rPr>
                      <w:color w:val="auto"/>
                      <w:vertAlign w:val="subscript"/>
                    </w:rPr>
                    <w:t>50</w:t>
                  </w:r>
                  <w:r>
                    <w:rPr>
                      <w:color w:val="auto"/>
                    </w:rPr>
                    <w:t>：70mg/kg(大鼠经静脉）中等毒性；损害造血、神经、消化系统及肾脏。短时接触大剂量可发生急性铅中毒，表现类似重症慢性铅中毒。</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6" w:type="pct"/>
                  <w:tcBorders>
                    <w:tl2br w:val="nil"/>
                    <w:tr2bl w:val="nil"/>
                  </w:tcBorders>
                  <w:vAlign w:val="center"/>
                </w:tcPr>
                <w:p>
                  <w:pPr>
                    <w:pStyle w:val="28"/>
                    <w:keepNext w:val="0"/>
                    <w:keepLines w:val="0"/>
                    <w:suppressLineNumbers w:val="0"/>
                    <w:bidi w:val="0"/>
                    <w:spacing w:before="0" w:beforeAutospacing="0" w:after="0" w:afterAutospacing="0"/>
                    <w:ind w:left="0" w:right="0"/>
                    <w:rPr>
                      <w:color w:val="auto"/>
                    </w:rPr>
                  </w:pPr>
                  <w:r>
                    <w:rPr>
                      <w:color w:val="auto"/>
                    </w:rPr>
                    <w:t>二氧化铅</w:t>
                  </w:r>
                </w:p>
                <w:p>
                  <w:pPr>
                    <w:pStyle w:val="28"/>
                    <w:keepNext w:val="0"/>
                    <w:keepLines w:val="0"/>
                    <w:suppressLineNumbers w:val="0"/>
                    <w:bidi w:val="0"/>
                    <w:spacing w:before="0" w:beforeAutospacing="0" w:after="0" w:afterAutospacing="0"/>
                    <w:ind w:left="0" w:right="0"/>
                    <w:rPr>
                      <w:rFonts w:hint="eastAsia"/>
                      <w:color w:val="auto"/>
                      <w:lang w:val="en-US" w:eastAsia="zh-CN"/>
                    </w:rPr>
                  </w:pPr>
                  <w:r>
                    <w:rPr>
                      <w:color w:val="auto"/>
                    </w:rPr>
                    <w:t>（PbO</w:t>
                  </w:r>
                  <w:r>
                    <w:rPr>
                      <w:color w:val="auto"/>
                      <w:vertAlign w:val="subscript"/>
                    </w:rPr>
                    <w:t>2</w:t>
                  </w:r>
                  <w:r>
                    <w:rPr>
                      <w:color w:val="auto"/>
                    </w:rPr>
                    <w:t>）</w:t>
                  </w:r>
                </w:p>
              </w:tc>
              <w:tc>
                <w:tcPr>
                  <w:tcW w:w="2427" w:type="pct"/>
                  <w:tcBorders>
                    <w:tl2br w:val="nil"/>
                    <w:tr2bl w:val="nil"/>
                  </w:tcBorders>
                  <w:vAlign w:val="center"/>
                </w:tcPr>
                <w:p>
                  <w:pPr>
                    <w:pStyle w:val="28"/>
                    <w:keepNext w:val="0"/>
                    <w:keepLines w:val="0"/>
                    <w:suppressLineNumbers w:val="0"/>
                    <w:bidi w:val="0"/>
                    <w:spacing w:before="0" w:beforeAutospacing="0" w:after="0" w:afterAutospacing="0"/>
                    <w:ind w:left="0" w:right="0"/>
                    <w:jc w:val="both"/>
                    <w:rPr>
                      <w:rFonts w:hint="default"/>
                      <w:color w:val="auto"/>
                      <w:lang w:val="en-US" w:eastAsia="zh-CN"/>
                    </w:rPr>
                  </w:pPr>
                  <w:r>
                    <w:rPr>
                      <w:color w:val="auto"/>
                    </w:rPr>
                    <w:t>外观：棕褐色结晶或粉末；熔点：290℃；相对密度（水=1）9.38；</w:t>
                  </w:r>
                </w:p>
              </w:tc>
              <w:tc>
                <w:tcPr>
                  <w:tcW w:w="1815" w:type="pct"/>
                  <w:tcBorders>
                    <w:tl2br w:val="nil"/>
                    <w:tr2bl w:val="nil"/>
                  </w:tcBorders>
                  <w:vAlign w:val="center"/>
                </w:tcPr>
                <w:p>
                  <w:pPr>
                    <w:pStyle w:val="28"/>
                    <w:keepNext w:val="0"/>
                    <w:keepLines w:val="0"/>
                    <w:suppressLineNumbers w:val="0"/>
                    <w:bidi w:val="0"/>
                    <w:spacing w:before="0" w:beforeAutospacing="0" w:after="0" w:afterAutospacing="0"/>
                    <w:ind w:left="0" w:right="0"/>
                    <w:jc w:val="both"/>
                    <w:rPr>
                      <w:rFonts w:hint="default"/>
                      <w:color w:val="auto"/>
                      <w:lang w:val="en-US" w:eastAsia="zh-CN"/>
                    </w:rPr>
                  </w:pPr>
                  <w:r>
                    <w:rPr>
                      <w:color w:val="auto"/>
                    </w:rPr>
                    <w:t>LD</w:t>
                  </w:r>
                  <w:r>
                    <w:rPr>
                      <w:color w:val="auto"/>
                      <w:vertAlign w:val="subscript"/>
                    </w:rPr>
                    <w:t>50</w:t>
                  </w:r>
                  <w:r>
                    <w:rPr>
                      <w:color w:val="auto"/>
                    </w:rPr>
                    <w:t>：200mg/kg(豚鼠覆膜内注射）中等毒性；损害造血、神经、消化系统及肾脏。职业中毒主要为慢性。短时接触大剂量可发生急性铅中毒，表现类似重症慢性铅中毒。</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6" w:type="pct"/>
                  <w:tcBorders>
                    <w:tl2br w:val="nil"/>
                    <w:tr2bl w:val="nil"/>
                  </w:tcBorders>
                  <w:shd w:val="clear" w:color="auto" w:fill="auto"/>
                  <w:vAlign w:val="center"/>
                </w:tcPr>
                <w:p>
                  <w:pPr>
                    <w:pStyle w:val="28"/>
                    <w:keepNext w:val="0"/>
                    <w:keepLines w:val="0"/>
                    <w:suppressLineNumbers w:val="0"/>
                    <w:bidi w:val="0"/>
                    <w:spacing w:before="0" w:beforeAutospacing="0" w:after="0" w:afterAutospacing="0"/>
                    <w:ind w:left="0" w:right="0"/>
                    <w:rPr>
                      <w:color w:val="auto"/>
                    </w:rPr>
                  </w:pPr>
                  <w:r>
                    <w:rPr>
                      <w:color w:val="auto"/>
                    </w:rPr>
                    <w:t>硫酸铅</w:t>
                  </w:r>
                </w:p>
                <w:p>
                  <w:pPr>
                    <w:pStyle w:val="28"/>
                    <w:keepNext w:val="0"/>
                    <w:keepLines w:val="0"/>
                    <w:suppressLineNumbers w:val="0"/>
                    <w:bidi w:val="0"/>
                    <w:spacing w:before="0" w:beforeAutospacing="0" w:after="0" w:afterAutospacing="0"/>
                    <w:ind w:left="0" w:right="0"/>
                    <w:rPr>
                      <w:color w:val="auto"/>
                    </w:rPr>
                  </w:pPr>
                  <w:r>
                    <w:rPr>
                      <w:color w:val="auto"/>
                    </w:rPr>
                    <w:t>（PbSO</w:t>
                  </w:r>
                  <w:r>
                    <w:rPr>
                      <w:color w:val="auto"/>
                      <w:vertAlign w:val="subscript"/>
                    </w:rPr>
                    <w:t>4</w:t>
                  </w:r>
                  <w:r>
                    <w:rPr>
                      <w:color w:val="auto"/>
                    </w:rPr>
                    <w:t>）</w:t>
                  </w:r>
                </w:p>
              </w:tc>
              <w:tc>
                <w:tcPr>
                  <w:tcW w:w="2427" w:type="pct"/>
                  <w:tcBorders>
                    <w:tl2br w:val="nil"/>
                    <w:tr2bl w:val="nil"/>
                  </w:tcBorders>
                  <w:vAlign w:val="center"/>
                </w:tcPr>
                <w:p>
                  <w:pPr>
                    <w:pStyle w:val="28"/>
                    <w:keepNext w:val="0"/>
                    <w:keepLines w:val="0"/>
                    <w:suppressLineNumbers w:val="0"/>
                    <w:bidi w:val="0"/>
                    <w:spacing w:before="0" w:beforeAutospacing="0" w:after="0" w:afterAutospacing="0"/>
                    <w:ind w:left="0" w:right="0"/>
                    <w:jc w:val="both"/>
                    <w:rPr>
                      <w:rFonts w:hint="eastAsia"/>
                      <w:color w:val="auto"/>
                      <w:lang w:val="en-US" w:eastAsia="zh-CN"/>
                    </w:rPr>
                  </w:pPr>
                  <w:r>
                    <w:rPr>
                      <w:color w:val="auto"/>
                    </w:rPr>
                    <w:t>白色单斜或正交晶体；熔点1170℃，密度6.2g/c</w:t>
                  </w:r>
                  <w:r>
                    <w:rPr>
                      <w:rFonts w:hint="eastAsia"/>
                      <w:color w:val="auto"/>
                      <w:lang w:eastAsia="zh-CN"/>
                    </w:rPr>
                    <w:t>m³</w:t>
                  </w:r>
                  <w:r>
                    <w:rPr>
                      <w:color w:val="auto"/>
                    </w:rPr>
                    <w:t>；微溶于水，溶解度为0.0041克/100克水(20℃)。硫酸铅几乎不溶于稀的强酸溶液，能溶于较浓的硫酸溶液、乙酸铵溶液和强碱溶液。</w:t>
                  </w:r>
                </w:p>
              </w:tc>
              <w:tc>
                <w:tcPr>
                  <w:tcW w:w="1815" w:type="pct"/>
                  <w:tcBorders>
                    <w:tl2br w:val="nil"/>
                    <w:tr2bl w:val="nil"/>
                  </w:tcBorders>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损害造血、神经、消化系统及肾脏。职业中毒主要为慢性。短时接触大剂量可发生急性或亚急性铅中毒，表现类似重症慢性铅中毒。</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6" w:type="pct"/>
                  <w:tcBorders>
                    <w:tl2br w:val="nil"/>
                    <w:tr2bl w:val="nil"/>
                  </w:tcBorders>
                  <w:shd w:val="clear" w:color="auto" w:fill="auto"/>
                  <w:vAlign w:val="center"/>
                </w:tcPr>
                <w:p>
                  <w:pPr>
                    <w:pStyle w:val="28"/>
                    <w:keepNext w:val="0"/>
                    <w:keepLines w:val="0"/>
                    <w:suppressLineNumbers w:val="0"/>
                    <w:bidi w:val="0"/>
                    <w:spacing w:before="0" w:beforeAutospacing="0" w:after="0" w:afterAutospacing="0"/>
                    <w:ind w:left="0" w:right="0"/>
                    <w:rPr>
                      <w:color w:val="auto"/>
                    </w:rPr>
                  </w:pPr>
                  <w:r>
                    <w:rPr>
                      <w:color w:val="auto"/>
                    </w:rPr>
                    <w:t>硫酸</w:t>
                  </w:r>
                </w:p>
                <w:p>
                  <w:pPr>
                    <w:pStyle w:val="28"/>
                    <w:keepNext w:val="0"/>
                    <w:keepLines w:val="0"/>
                    <w:suppressLineNumbers w:val="0"/>
                    <w:bidi w:val="0"/>
                    <w:spacing w:before="0" w:beforeAutospacing="0" w:after="0" w:afterAutospacing="0"/>
                    <w:ind w:left="0" w:right="0"/>
                    <w:rPr>
                      <w:color w:val="auto"/>
                    </w:rPr>
                  </w:pPr>
                  <w:r>
                    <w:rPr>
                      <w:color w:val="auto"/>
                    </w:rPr>
                    <w:t>（H</w:t>
                  </w:r>
                  <w:r>
                    <w:rPr>
                      <w:color w:val="auto"/>
                      <w:vertAlign w:val="subscript"/>
                    </w:rPr>
                    <w:t>2</w:t>
                  </w:r>
                  <w:r>
                    <w:rPr>
                      <w:color w:val="auto"/>
                    </w:rPr>
                    <w:t>SO</w:t>
                  </w:r>
                  <w:r>
                    <w:rPr>
                      <w:color w:val="auto"/>
                      <w:vertAlign w:val="subscript"/>
                    </w:rPr>
                    <w:t>4</w:t>
                  </w:r>
                  <w:r>
                    <w:rPr>
                      <w:color w:val="auto"/>
                    </w:rPr>
                    <w:t>）</w:t>
                  </w:r>
                </w:p>
              </w:tc>
              <w:tc>
                <w:tcPr>
                  <w:tcW w:w="2427" w:type="pct"/>
                  <w:tcBorders>
                    <w:tl2br w:val="nil"/>
                    <w:tr2bl w:val="nil"/>
                  </w:tcBorders>
                  <w:vAlign w:val="center"/>
                </w:tcPr>
                <w:p>
                  <w:pPr>
                    <w:pStyle w:val="28"/>
                    <w:keepNext w:val="0"/>
                    <w:keepLines w:val="0"/>
                    <w:suppressLineNumbers w:val="0"/>
                    <w:bidi w:val="0"/>
                    <w:spacing w:before="0" w:beforeAutospacing="0" w:after="0" w:afterAutospacing="0"/>
                    <w:ind w:left="0" w:right="0"/>
                    <w:jc w:val="both"/>
                    <w:rPr>
                      <w:rFonts w:hint="eastAsia"/>
                      <w:color w:val="auto"/>
                      <w:lang w:val="en-US" w:eastAsia="zh-CN"/>
                    </w:rPr>
                  </w:pPr>
                  <w:r>
                    <w:rPr>
                      <w:color w:val="auto"/>
                    </w:rPr>
                    <w:t>分子量98.08，纯品为无色透明油状液体，无臭，蒸汽压0.13kPa(145.8℃)，熔点10.5℃，沸点：330.0℃，相对密度(水=1)1.83；相对密度(空气=1)3.4，与水混溶，化学性质稳定，为酸性腐蚀品，用于生产化学肥料，在化工、医药、塑料、染料、石油提炼等工业也有广泛的应用。</w:t>
                  </w:r>
                </w:p>
              </w:tc>
              <w:tc>
                <w:tcPr>
                  <w:tcW w:w="1815" w:type="pct"/>
                  <w:tcBorders>
                    <w:tl2br w:val="nil"/>
                    <w:tr2bl w:val="nil"/>
                  </w:tcBorders>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急性毒性：LD</w:t>
                  </w:r>
                  <w:r>
                    <w:rPr>
                      <w:color w:val="auto"/>
                      <w:vertAlign w:val="subscript"/>
                    </w:rPr>
                    <w:t>50</w:t>
                  </w:r>
                  <w:r>
                    <w:rPr>
                      <w:color w:val="auto"/>
                    </w:rPr>
                    <w:t>：2140mg/kg(大鼠经口)；LC</w:t>
                  </w:r>
                  <w:r>
                    <w:rPr>
                      <w:color w:val="auto"/>
                      <w:vertAlign w:val="subscript"/>
                    </w:rPr>
                    <w:t>50</w:t>
                  </w:r>
                  <w:r>
                    <w:rPr>
                      <w:color w:val="auto"/>
                    </w:rPr>
                    <w:t>：510mg/</w:t>
                  </w:r>
                  <w:r>
                    <w:rPr>
                      <w:rFonts w:hint="eastAsia"/>
                      <w:color w:val="auto"/>
                      <w:lang w:eastAsia="zh-CN"/>
                    </w:rPr>
                    <w:t>m³</w:t>
                  </w:r>
                  <w:r>
                    <w:rPr>
                      <w:color w:val="auto"/>
                    </w:rPr>
                    <w:t>，2小时(大鼠吸入)；320mg/</w:t>
                  </w:r>
                  <w:r>
                    <w:rPr>
                      <w:rFonts w:hint="eastAsia"/>
                      <w:color w:val="auto"/>
                      <w:lang w:eastAsia="zh-CN"/>
                    </w:rPr>
                    <w:t>m³</w:t>
                  </w:r>
                  <w:r>
                    <w:rPr>
                      <w:color w:val="auto"/>
                    </w:rPr>
                    <w:t>，2小时(小鼠吸入)。工作场所空气中有毒物质容许浓度：时间加权平均容许浓度1mg/</w:t>
                  </w:r>
                  <w:r>
                    <w:rPr>
                      <w:rFonts w:hint="eastAsia"/>
                      <w:color w:val="auto"/>
                      <w:lang w:eastAsia="zh-CN"/>
                    </w:rPr>
                    <w:t>m³</w:t>
                  </w:r>
                  <w:r>
                    <w:rPr>
                      <w:color w:val="auto"/>
                    </w:rPr>
                    <w:t>，短时间接触容许浓度2mg/</w:t>
                  </w:r>
                  <w:r>
                    <w:rPr>
                      <w:rFonts w:hint="eastAsia"/>
                      <w:color w:val="auto"/>
                      <w:lang w:eastAsia="zh-CN"/>
                    </w:rPr>
                    <w:t>m³</w:t>
                  </w:r>
                  <w:r>
                    <w:rPr>
                      <w:color w:val="auto"/>
                    </w:rPr>
                    <w:t>。</w:t>
                  </w:r>
                </w:p>
              </w:tc>
            </w:tr>
          </w:tbl>
          <w:p>
            <w:pPr>
              <w:keepNext w:val="0"/>
              <w:keepLines w:val="0"/>
              <w:suppressLineNumbers w:val="0"/>
              <w:bidi w:val="0"/>
              <w:spacing w:before="0" w:beforeAutospacing="0" w:after="0" w:afterAutospacing="0"/>
              <w:ind w:left="0" w:right="0"/>
              <w:rPr>
                <w:b/>
                <w:color w:val="auto"/>
                <w:sz w:val="24"/>
                <w:szCs w:val="24"/>
              </w:rPr>
            </w:pPr>
            <w:r>
              <w:rPr>
                <w:b/>
                <w:color w:val="auto"/>
                <w:sz w:val="24"/>
                <w:szCs w:val="24"/>
              </w:rPr>
              <w:t>5、项目主要生产设备</w:t>
            </w:r>
          </w:p>
          <w:p>
            <w:pPr>
              <w:keepNext w:val="0"/>
              <w:keepLines w:val="0"/>
              <w:suppressLineNumbers w:val="0"/>
              <w:bidi w:val="0"/>
              <w:spacing w:before="0" w:beforeAutospacing="0" w:after="0" w:afterAutospacing="0"/>
              <w:ind w:left="0" w:right="0"/>
              <w:rPr>
                <w:rFonts w:hint="eastAsia"/>
                <w:color w:val="auto"/>
                <w:sz w:val="24"/>
              </w:rPr>
            </w:pPr>
            <w:r>
              <w:rPr>
                <w:rFonts w:hint="eastAsia"/>
                <w:color w:val="auto"/>
                <w:sz w:val="24"/>
              </w:rPr>
              <w:t>本</w:t>
            </w:r>
            <w:r>
              <w:rPr>
                <w:color w:val="auto"/>
                <w:sz w:val="24"/>
              </w:rPr>
              <w:t>项目</w:t>
            </w:r>
            <w:r>
              <w:rPr>
                <w:rFonts w:hint="eastAsia"/>
                <w:color w:val="auto"/>
                <w:sz w:val="24"/>
              </w:rPr>
              <w:t>主要生产设备</w:t>
            </w:r>
            <w:r>
              <w:rPr>
                <w:color w:val="auto"/>
                <w:sz w:val="24"/>
              </w:rPr>
              <w:t>见</w:t>
            </w:r>
            <w:r>
              <w:rPr>
                <w:rFonts w:hint="eastAsia"/>
                <w:color w:val="auto"/>
                <w:sz w:val="24"/>
              </w:rPr>
              <w:t>下表。</w:t>
            </w:r>
          </w:p>
          <w:p>
            <w:pPr>
              <w:pStyle w:val="12"/>
              <w:keepNext w:val="0"/>
              <w:keepLines w:val="0"/>
              <w:suppressLineNumbers w:val="0"/>
              <w:bidi w:val="0"/>
              <w:spacing w:before="0" w:beforeAutospacing="0" w:after="0" w:afterAutospacing="0"/>
              <w:ind w:left="0" w:right="0"/>
              <w:rPr>
                <w:rFonts w:asciiTheme="minorEastAsia" w:hAnsiTheme="minorEastAsia" w:eastAsiaTheme="minorEastAsia"/>
                <w:b/>
                <w:color w:val="auto"/>
                <w:sz w:val="24"/>
                <w:szCs w:val="24"/>
              </w:rPr>
            </w:pPr>
            <w:r>
              <w:rPr>
                <w:rFonts w:hint="eastAsia" w:asciiTheme="minorEastAsia" w:hAnsiTheme="minorEastAsia" w:eastAsiaTheme="minorEastAsia"/>
                <w:b/>
                <w:color w:val="auto"/>
                <w:sz w:val="24"/>
                <w:szCs w:val="24"/>
              </w:rPr>
              <w:t>表</w:t>
            </w:r>
            <w:r>
              <w:rPr>
                <w:rFonts w:hint="eastAsia" w:asciiTheme="minorEastAsia" w:hAnsiTheme="minorEastAsia" w:eastAsiaTheme="minorEastAsia"/>
                <w:b/>
                <w:color w:val="auto"/>
                <w:sz w:val="24"/>
                <w:szCs w:val="24"/>
                <w:lang w:val="en-US" w:eastAsia="zh-CN"/>
              </w:rPr>
              <w:t xml:space="preserve"> </w:t>
            </w:r>
            <w:r>
              <w:rPr>
                <w:rFonts w:hint="eastAsia" w:eastAsiaTheme="minorEastAsia"/>
                <w:b/>
                <w:color w:val="auto"/>
                <w:sz w:val="24"/>
                <w:szCs w:val="24"/>
                <w:lang w:val="en-US" w:eastAsia="zh-CN"/>
              </w:rPr>
              <w:t>2-6</w:t>
            </w:r>
            <w:r>
              <w:rPr>
                <w:rFonts w:hint="eastAsia" w:asciiTheme="minorEastAsia" w:hAnsiTheme="minorEastAsia" w:eastAsiaTheme="minorEastAsia"/>
                <w:b/>
                <w:color w:val="auto"/>
                <w:sz w:val="24"/>
                <w:szCs w:val="24"/>
              </w:rPr>
              <w:t xml:space="preserve">    项目主要生产设备一览表</w:t>
            </w:r>
          </w:p>
          <w:tbl>
            <w:tblPr>
              <w:tblStyle w:val="22"/>
              <w:tblW w:w="4998"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761"/>
              <w:gridCol w:w="2011"/>
              <w:gridCol w:w="761"/>
              <w:gridCol w:w="821"/>
              <w:gridCol w:w="2262"/>
              <w:gridCol w:w="1760"/>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54" w:type="pct"/>
                  <w:tcBorders>
                    <w:tl2br w:val="nil"/>
                    <w:tr2bl w:val="nil"/>
                  </w:tcBorders>
                  <w:vAlign w:val="center"/>
                </w:tcPr>
                <w:p>
                  <w:pPr>
                    <w:pStyle w:val="28"/>
                    <w:keepNext w:val="0"/>
                    <w:keepLines w:val="0"/>
                    <w:suppressLineNumbers w:val="0"/>
                    <w:bidi w:val="0"/>
                    <w:spacing w:before="0" w:beforeAutospacing="0" w:after="0" w:afterAutospacing="0"/>
                    <w:ind w:left="0" w:right="0"/>
                    <w:rPr>
                      <w:b/>
                      <w:bCs/>
                      <w:color w:val="auto"/>
                    </w:rPr>
                  </w:pPr>
                  <w:bookmarkStart w:id="130" w:name="OLE_LINK52" w:colFirst="0" w:colLast="5"/>
                  <w:r>
                    <w:rPr>
                      <w:b/>
                      <w:bCs/>
                      <w:color w:val="auto"/>
                    </w:rPr>
                    <w:t>序号</w:t>
                  </w:r>
                </w:p>
              </w:tc>
              <w:tc>
                <w:tcPr>
                  <w:tcW w:w="1200" w:type="pct"/>
                  <w:tcBorders>
                    <w:tl2br w:val="nil"/>
                    <w:tr2bl w:val="nil"/>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设备名称</w:t>
                  </w:r>
                </w:p>
              </w:tc>
              <w:tc>
                <w:tcPr>
                  <w:tcW w:w="454" w:type="pct"/>
                  <w:tcBorders>
                    <w:tl2br w:val="nil"/>
                    <w:tr2bl w:val="nil"/>
                  </w:tcBorders>
                  <w:vAlign w:val="center"/>
                </w:tcPr>
                <w:p>
                  <w:pPr>
                    <w:pStyle w:val="28"/>
                    <w:keepNext w:val="0"/>
                    <w:keepLines w:val="0"/>
                    <w:suppressLineNumbers w:val="0"/>
                    <w:bidi w:val="0"/>
                    <w:spacing w:before="0" w:beforeAutospacing="0" w:after="0" w:afterAutospacing="0"/>
                    <w:ind w:left="0" w:right="0"/>
                    <w:rPr>
                      <w:b/>
                      <w:bCs/>
                      <w:color w:val="auto"/>
                      <w:highlight w:val="none"/>
                    </w:rPr>
                  </w:pPr>
                  <w:r>
                    <w:rPr>
                      <w:b/>
                      <w:bCs/>
                      <w:color w:val="auto"/>
                      <w:highlight w:val="none"/>
                    </w:rPr>
                    <w:t>容积</w:t>
                  </w:r>
                </w:p>
              </w:tc>
              <w:tc>
                <w:tcPr>
                  <w:tcW w:w="490" w:type="pct"/>
                  <w:tcBorders>
                    <w:tl2br w:val="nil"/>
                    <w:tr2bl w:val="nil"/>
                  </w:tcBorders>
                  <w:vAlign w:val="center"/>
                </w:tcPr>
                <w:p>
                  <w:pPr>
                    <w:pStyle w:val="28"/>
                    <w:keepNext w:val="0"/>
                    <w:keepLines w:val="0"/>
                    <w:suppressLineNumbers w:val="0"/>
                    <w:bidi w:val="0"/>
                    <w:spacing w:before="0" w:beforeAutospacing="0" w:after="0" w:afterAutospacing="0"/>
                    <w:ind w:left="0" w:right="0"/>
                    <w:rPr>
                      <w:b/>
                      <w:bCs/>
                      <w:color w:val="auto"/>
                      <w:highlight w:val="none"/>
                    </w:rPr>
                  </w:pPr>
                  <w:r>
                    <w:rPr>
                      <w:b/>
                      <w:bCs/>
                      <w:color w:val="auto"/>
                      <w:highlight w:val="none"/>
                    </w:rPr>
                    <w:t>数量</w:t>
                  </w:r>
                </w:p>
              </w:tc>
              <w:tc>
                <w:tcPr>
                  <w:tcW w:w="1350" w:type="pct"/>
                  <w:tcBorders>
                    <w:tl2br w:val="nil"/>
                    <w:tr2bl w:val="nil"/>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使用工序</w:t>
                  </w:r>
                </w:p>
              </w:tc>
              <w:tc>
                <w:tcPr>
                  <w:tcW w:w="1050" w:type="pct"/>
                  <w:tcBorders>
                    <w:tl2br w:val="nil"/>
                    <w:tr2bl w:val="nil"/>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备注</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54"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c>
                <w:tcPr>
                  <w:tcW w:w="1200"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运输车辆</w:t>
                  </w:r>
                </w:p>
              </w:tc>
              <w:tc>
                <w:tcPr>
                  <w:tcW w:w="454"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3t</w:t>
                  </w:r>
                </w:p>
              </w:tc>
              <w:tc>
                <w:tcPr>
                  <w:tcW w:w="490"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1辆</w:t>
                  </w:r>
                </w:p>
              </w:tc>
              <w:tc>
                <w:tcPr>
                  <w:tcW w:w="1350"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运输</w:t>
                  </w:r>
                </w:p>
              </w:tc>
              <w:tc>
                <w:tcPr>
                  <w:tcW w:w="1050"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危废专用车</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trHeight w:val="397" w:hRule="atLeast"/>
                <w:jc w:val="center"/>
              </w:trPr>
              <w:tc>
                <w:tcPr>
                  <w:tcW w:w="454" w:type="pct"/>
                  <w:tcBorders>
                    <w:tl2br w:val="nil"/>
                    <w:tr2bl w:val="nil"/>
                  </w:tcBorders>
                  <w:vAlign w:val="center"/>
                </w:tcPr>
                <w:p>
                  <w:pPr>
                    <w:pStyle w:val="28"/>
                    <w:keepNext w:val="0"/>
                    <w:keepLines w:val="0"/>
                    <w:suppressLineNumbers w:val="0"/>
                    <w:bidi w:val="0"/>
                    <w:spacing w:before="0" w:beforeAutospacing="0" w:after="0" w:afterAutospacing="0"/>
                    <w:ind w:left="0" w:leftChars="0" w:right="0" w:rightChars="0" w:firstLine="0" w:firstLineChars="0"/>
                    <w:rPr>
                      <w:color w:val="auto"/>
                    </w:rPr>
                  </w:pPr>
                  <w:r>
                    <w:rPr>
                      <w:color w:val="auto"/>
                    </w:rPr>
                    <w:t>2</w:t>
                  </w:r>
                </w:p>
              </w:tc>
              <w:tc>
                <w:tcPr>
                  <w:tcW w:w="1200" w:type="pct"/>
                  <w:tcBorders>
                    <w:tl2br w:val="nil"/>
                    <w:tr2bl w:val="nil"/>
                  </w:tcBorders>
                  <w:vAlign w:val="center"/>
                </w:tcPr>
                <w:p>
                  <w:pPr>
                    <w:pStyle w:val="28"/>
                    <w:keepNext w:val="0"/>
                    <w:keepLines w:val="0"/>
                    <w:suppressLineNumbers w:val="0"/>
                    <w:bidi w:val="0"/>
                    <w:spacing w:before="0" w:beforeAutospacing="0" w:after="0" w:afterAutospacing="0"/>
                    <w:ind w:left="0" w:right="0"/>
                    <w:rPr>
                      <w:color w:val="auto"/>
                    </w:rPr>
                  </w:pPr>
                  <w:r>
                    <w:rPr>
                      <w:color w:val="auto"/>
                    </w:rPr>
                    <w:t>叉车</w:t>
                  </w:r>
                </w:p>
              </w:tc>
              <w:tc>
                <w:tcPr>
                  <w:tcW w:w="454" w:type="pct"/>
                  <w:tcBorders>
                    <w:tl2br w:val="nil"/>
                    <w:tr2bl w:val="nil"/>
                  </w:tcBorders>
                  <w:vAlign w:val="center"/>
                </w:tcPr>
                <w:p>
                  <w:pPr>
                    <w:pStyle w:val="28"/>
                    <w:keepNext w:val="0"/>
                    <w:keepLines w:val="0"/>
                    <w:suppressLineNumbers w:val="0"/>
                    <w:bidi w:val="0"/>
                    <w:spacing w:before="0" w:beforeAutospacing="0" w:after="0" w:afterAutospacing="0"/>
                    <w:ind w:left="0" w:right="0"/>
                    <w:rPr>
                      <w:color w:val="auto"/>
                      <w:highlight w:val="none"/>
                    </w:rPr>
                  </w:pPr>
                  <w:r>
                    <w:rPr>
                      <w:color w:val="auto"/>
                      <w:highlight w:val="none"/>
                    </w:rPr>
                    <w:t>3t</w:t>
                  </w:r>
                </w:p>
              </w:tc>
              <w:tc>
                <w:tcPr>
                  <w:tcW w:w="490" w:type="pct"/>
                  <w:tcBorders>
                    <w:tl2br w:val="nil"/>
                    <w:tr2bl w:val="nil"/>
                  </w:tcBorders>
                  <w:vAlign w:val="center"/>
                </w:tcPr>
                <w:p>
                  <w:pPr>
                    <w:pStyle w:val="28"/>
                    <w:keepNext w:val="0"/>
                    <w:keepLines w:val="0"/>
                    <w:suppressLineNumbers w:val="0"/>
                    <w:bidi w:val="0"/>
                    <w:spacing w:before="0" w:beforeAutospacing="0" w:after="0" w:afterAutospacing="0"/>
                    <w:ind w:left="0" w:right="0"/>
                    <w:rPr>
                      <w:color w:val="auto"/>
                      <w:highlight w:val="none"/>
                    </w:rPr>
                  </w:pPr>
                  <w:bookmarkStart w:id="131" w:name="OLE_LINK161"/>
                  <w:r>
                    <w:rPr>
                      <w:rFonts w:hint="eastAsia"/>
                      <w:color w:val="auto"/>
                      <w:highlight w:val="none"/>
                      <w:lang w:val="en-US" w:eastAsia="zh-CN"/>
                    </w:rPr>
                    <w:t>1</w:t>
                  </w:r>
                  <w:r>
                    <w:rPr>
                      <w:color w:val="auto"/>
                      <w:highlight w:val="none"/>
                    </w:rPr>
                    <w:t>辆</w:t>
                  </w:r>
                  <w:bookmarkEnd w:id="131"/>
                </w:p>
              </w:tc>
              <w:tc>
                <w:tcPr>
                  <w:tcW w:w="1350" w:type="pct"/>
                  <w:tcBorders>
                    <w:tl2br w:val="nil"/>
                    <w:tr2bl w:val="nil"/>
                  </w:tcBorders>
                  <w:vAlign w:val="center"/>
                </w:tcPr>
                <w:p>
                  <w:pPr>
                    <w:pStyle w:val="28"/>
                    <w:keepNext w:val="0"/>
                    <w:keepLines w:val="0"/>
                    <w:suppressLineNumbers w:val="0"/>
                    <w:bidi w:val="0"/>
                    <w:spacing w:before="0" w:beforeAutospacing="0" w:after="0" w:afterAutospacing="0"/>
                    <w:ind w:left="0" w:right="0"/>
                    <w:rPr>
                      <w:color w:val="auto"/>
                    </w:rPr>
                  </w:pPr>
                  <w:r>
                    <w:rPr>
                      <w:color w:val="auto"/>
                    </w:rPr>
                    <w:t>装卸搬运</w:t>
                  </w:r>
                </w:p>
              </w:tc>
              <w:tc>
                <w:tcPr>
                  <w:tcW w:w="1050" w:type="pct"/>
                  <w:tcBorders>
                    <w:tl2br w:val="nil"/>
                    <w:tr2bl w:val="nil"/>
                  </w:tcBorders>
                </w:tcPr>
                <w:p>
                  <w:pPr>
                    <w:pStyle w:val="28"/>
                    <w:keepNext w:val="0"/>
                    <w:keepLines w:val="0"/>
                    <w:suppressLineNumbers w:val="0"/>
                    <w:bidi w:val="0"/>
                    <w:spacing w:before="0" w:beforeAutospacing="0" w:after="0" w:afterAutospacing="0"/>
                    <w:ind w:left="0" w:right="0"/>
                    <w:rPr>
                      <w:color w:val="auto"/>
                    </w:rPr>
                  </w:pPr>
                  <w:r>
                    <w:rPr>
                      <w:color w:val="auto"/>
                    </w:rPr>
                    <w:t>危废专用叉车</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54" w:type="pct"/>
                  <w:tcBorders>
                    <w:tl2br w:val="nil"/>
                    <w:tr2bl w:val="nil"/>
                  </w:tcBorders>
                  <w:vAlign w:val="center"/>
                </w:tcPr>
                <w:p>
                  <w:pPr>
                    <w:pStyle w:val="28"/>
                    <w:keepNext w:val="0"/>
                    <w:keepLines w:val="0"/>
                    <w:suppressLineNumbers w:val="0"/>
                    <w:bidi w:val="0"/>
                    <w:spacing w:before="0" w:beforeAutospacing="0" w:after="0" w:afterAutospacing="0"/>
                    <w:ind w:left="0" w:leftChars="0" w:right="0" w:rightChars="0" w:firstLine="0" w:firstLineChars="0"/>
                    <w:rPr>
                      <w:color w:val="auto"/>
                    </w:rPr>
                  </w:pPr>
                  <w:r>
                    <w:rPr>
                      <w:color w:val="auto"/>
                    </w:rPr>
                    <w:t>3</w:t>
                  </w:r>
                </w:p>
              </w:tc>
              <w:tc>
                <w:tcPr>
                  <w:tcW w:w="1200" w:type="pct"/>
                  <w:tcBorders>
                    <w:tl2br w:val="nil"/>
                    <w:tr2bl w:val="nil"/>
                  </w:tcBorders>
                  <w:vAlign w:val="center"/>
                </w:tcPr>
                <w:p>
                  <w:pPr>
                    <w:pStyle w:val="28"/>
                    <w:keepNext w:val="0"/>
                    <w:keepLines w:val="0"/>
                    <w:suppressLineNumbers w:val="0"/>
                    <w:bidi w:val="0"/>
                    <w:spacing w:before="0" w:beforeAutospacing="0" w:after="0" w:afterAutospacing="0"/>
                    <w:ind w:left="0" w:right="0"/>
                    <w:rPr>
                      <w:color w:val="auto"/>
                      <w:highlight w:val="none"/>
                    </w:rPr>
                  </w:pPr>
                  <w:bookmarkStart w:id="132" w:name="OLE_LINK166"/>
                  <w:r>
                    <w:rPr>
                      <w:color w:val="auto"/>
                      <w:highlight w:val="none"/>
                    </w:rPr>
                    <w:t>破损电池储存</w:t>
                  </w:r>
                  <w:r>
                    <w:rPr>
                      <w:rFonts w:hint="eastAsia"/>
                      <w:color w:val="auto"/>
                      <w:highlight w:val="none"/>
                    </w:rPr>
                    <w:t>箱</w:t>
                  </w:r>
                  <w:bookmarkEnd w:id="132"/>
                </w:p>
              </w:tc>
              <w:tc>
                <w:tcPr>
                  <w:tcW w:w="454" w:type="pct"/>
                  <w:tcBorders>
                    <w:tl2br w:val="nil"/>
                    <w:tr2bl w:val="nil"/>
                  </w:tcBorders>
                  <w:vAlign w:val="center"/>
                </w:tcPr>
                <w:p>
                  <w:pPr>
                    <w:pStyle w:val="28"/>
                    <w:keepNext w:val="0"/>
                    <w:keepLines w:val="0"/>
                    <w:suppressLineNumbers w:val="0"/>
                    <w:bidi w:val="0"/>
                    <w:spacing w:before="0" w:beforeAutospacing="0" w:after="0" w:afterAutospacing="0"/>
                    <w:ind w:left="0" w:right="0"/>
                    <w:rPr>
                      <w:color w:val="auto"/>
                      <w:highlight w:val="none"/>
                    </w:rPr>
                  </w:pPr>
                  <w:r>
                    <w:rPr>
                      <w:color w:val="auto"/>
                      <w:highlight w:val="none"/>
                    </w:rPr>
                    <w:t>2t</w:t>
                  </w:r>
                </w:p>
              </w:tc>
              <w:tc>
                <w:tcPr>
                  <w:tcW w:w="490" w:type="pct"/>
                  <w:tcBorders>
                    <w:tl2br w:val="nil"/>
                    <w:tr2bl w:val="nil"/>
                  </w:tcBorders>
                  <w:vAlign w:val="center"/>
                </w:tcPr>
                <w:p>
                  <w:pPr>
                    <w:pStyle w:val="28"/>
                    <w:keepNext w:val="0"/>
                    <w:keepLines w:val="0"/>
                    <w:suppressLineNumbers w:val="0"/>
                    <w:bidi w:val="0"/>
                    <w:spacing w:before="0" w:beforeAutospacing="0" w:after="0" w:afterAutospacing="0"/>
                    <w:ind w:left="0" w:right="0"/>
                    <w:rPr>
                      <w:color w:val="auto"/>
                      <w:highlight w:val="none"/>
                    </w:rPr>
                  </w:pPr>
                  <w:r>
                    <w:rPr>
                      <w:rFonts w:hint="eastAsia"/>
                      <w:color w:val="auto"/>
                      <w:highlight w:val="none"/>
                      <w:lang w:val="en-US" w:eastAsia="zh-CN"/>
                    </w:rPr>
                    <w:t>3</w:t>
                  </w:r>
                  <w:r>
                    <w:rPr>
                      <w:color w:val="auto"/>
                      <w:highlight w:val="none"/>
                    </w:rPr>
                    <w:t>个</w:t>
                  </w:r>
                </w:p>
              </w:tc>
              <w:tc>
                <w:tcPr>
                  <w:tcW w:w="1350" w:type="pct"/>
                  <w:tcBorders>
                    <w:tl2br w:val="nil"/>
                    <w:tr2bl w:val="nil"/>
                  </w:tcBorders>
                  <w:vAlign w:val="center"/>
                </w:tcPr>
                <w:p>
                  <w:pPr>
                    <w:pStyle w:val="28"/>
                    <w:keepNext w:val="0"/>
                    <w:keepLines w:val="0"/>
                    <w:suppressLineNumbers w:val="0"/>
                    <w:bidi w:val="0"/>
                    <w:spacing w:before="0" w:beforeAutospacing="0" w:after="0" w:afterAutospacing="0"/>
                    <w:ind w:left="0" w:right="0"/>
                    <w:rPr>
                      <w:color w:val="auto"/>
                    </w:rPr>
                  </w:pPr>
                  <w:bookmarkStart w:id="133" w:name="OLE_LINK162"/>
                  <w:r>
                    <w:rPr>
                      <w:color w:val="auto"/>
                    </w:rPr>
                    <w:t>破损电池</w:t>
                  </w:r>
                  <w:bookmarkStart w:id="134" w:name="OLE_LINK163"/>
                  <w:r>
                    <w:rPr>
                      <w:color w:val="auto"/>
                    </w:rPr>
                    <w:t>储存</w:t>
                  </w:r>
                  <w:bookmarkEnd w:id="133"/>
                  <w:r>
                    <w:rPr>
                      <w:color w:val="auto"/>
                    </w:rPr>
                    <w:t>容器</w:t>
                  </w:r>
                  <w:bookmarkEnd w:id="134"/>
                </w:p>
              </w:tc>
              <w:tc>
                <w:tcPr>
                  <w:tcW w:w="1050" w:type="pct"/>
                  <w:tcBorders>
                    <w:tl2br w:val="nil"/>
                    <w:tr2bl w:val="nil"/>
                  </w:tcBorders>
                  <w:vAlign w:val="center"/>
                </w:tcPr>
                <w:p>
                  <w:pPr>
                    <w:pStyle w:val="28"/>
                    <w:keepNext w:val="0"/>
                    <w:keepLines w:val="0"/>
                    <w:suppressLineNumbers w:val="0"/>
                    <w:bidi w:val="0"/>
                    <w:spacing w:before="0" w:beforeAutospacing="0" w:after="0" w:afterAutospacing="0"/>
                    <w:ind w:left="0" w:right="0"/>
                    <w:rPr>
                      <w:color w:val="auto"/>
                    </w:rPr>
                  </w:pPr>
                  <w:r>
                    <w:rPr>
                      <w:color w:val="auto"/>
                    </w:rPr>
                    <w:t>外购</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54" w:type="pct"/>
                  <w:tcBorders>
                    <w:tl2br w:val="nil"/>
                    <w:tr2bl w:val="nil"/>
                  </w:tcBorders>
                  <w:vAlign w:val="center"/>
                </w:tcPr>
                <w:p>
                  <w:pPr>
                    <w:pStyle w:val="28"/>
                    <w:keepNext w:val="0"/>
                    <w:keepLines w:val="0"/>
                    <w:suppressLineNumbers w:val="0"/>
                    <w:bidi w:val="0"/>
                    <w:spacing w:before="0" w:beforeAutospacing="0" w:after="0" w:afterAutospacing="0"/>
                    <w:ind w:left="0" w:leftChars="0" w:right="0" w:rightChars="0" w:firstLine="0" w:firstLineChars="0"/>
                    <w:rPr>
                      <w:color w:val="auto"/>
                    </w:rPr>
                  </w:pPr>
                  <w:r>
                    <w:rPr>
                      <w:color w:val="auto"/>
                    </w:rPr>
                    <w:t>4</w:t>
                  </w:r>
                </w:p>
              </w:tc>
              <w:tc>
                <w:tcPr>
                  <w:tcW w:w="1200" w:type="pct"/>
                  <w:tcBorders>
                    <w:tl2br w:val="nil"/>
                    <w:tr2bl w:val="nil"/>
                  </w:tcBorders>
                  <w:vAlign w:val="center"/>
                </w:tcPr>
                <w:p>
                  <w:pPr>
                    <w:pStyle w:val="28"/>
                    <w:keepNext w:val="0"/>
                    <w:keepLines w:val="0"/>
                    <w:suppressLineNumbers w:val="0"/>
                    <w:bidi w:val="0"/>
                    <w:spacing w:before="0" w:beforeAutospacing="0" w:after="0" w:afterAutospacing="0"/>
                    <w:ind w:left="0" w:right="0"/>
                    <w:rPr>
                      <w:color w:val="auto"/>
                      <w:highlight w:val="none"/>
                    </w:rPr>
                  </w:pPr>
                  <w:bookmarkStart w:id="135" w:name="OLE_LINK164"/>
                  <w:r>
                    <w:rPr>
                      <w:color w:val="auto"/>
                      <w:highlight w:val="none"/>
                    </w:rPr>
                    <w:t>塑料托盘</w:t>
                  </w:r>
                  <w:bookmarkEnd w:id="135"/>
                </w:p>
              </w:tc>
              <w:tc>
                <w:tcPr>
                  <w:tcW w:w="454" w:type="pct"/>
                  <w:tcBorders>
                    <w:tl2br w:val="nil"/>
                    <w:tr2bl w:val="nil"/>
                  </w:tcBorders>
                  <w:vAlign w:val="center"/>
                </w:tcPr>
                <w:p>
                  <w:pPr>
                    <w:pStyle w:val="28"/>
                    <w:keepNext w:val="0"/>
                    <w:keepLines w:val="0"/>
                    <w:suppressLineNumbers w:val="0"/>
                    <w:bidi w:val="0"/>
                    <w:spacing w:before="0" w:beforeAutospacing="0" w:after="0" w:afterAutospacing="0"/>
                    <w:ind w:left="0" w:right="0"/>
                    <w:rPr>
                      <w:color w:val="auto"/>
                      <w:highlight w:val="none"/>
                    </w:rPr>
                  </w:pPr>
                  <w:r>
                    <w:rPr>
                      <w:rFonts w:hint="eastAsia"/>
                      <w:color w:val="auto"/>
                      <w:highlight w:val="none"/>
                      <w:lang w:val="en-US" w:eastAsia="zh-CN"/>
                    </w:rPr>
                    <w:t>2.5</w:t>
                  </w:r>
                  <w:r>
                    <w:rPr>
                      <w:color w:val="auto"/>
                      <w:highlight w:val="none"/>
                    </w:rPr>
                    <w:t>t</w:t>
                  </w:r>
                </w:p>
              </w:tc>
              <w:tc>
                <w:tcPr>
                  <w:tcW w:w="490" w:type="pct"/>
                  <w:tcBorders>
                    <w:tl2br w:val="nil"/>
                    <w:tr2bl w:val="nil"/>
                  </w:tcBorders>
                  <w:vAlign w:val="center"/>
                </w:tcPr>
                <w:p>
                  <w:pPr>
                    <w:pStyle w:val="28"/>
                    <w:keepNext w:val="0"/>
                    <w:keepLines w:val="0"/>
                    <w:suppressLineNumbers w:val="0"/>
                    <w:bidi w:val="0"/>
                    <w:spacing w:before="0" w:beforeAutospacing="0" w:after="0" w:afterAutospacing="0"/>
                    <w:ind w:left="0" w:right="0"/>
                    <w:rPr>
                      <w:color w:val="auto"/>
                      <w:highlight w:val="none"/>
                    </w:rPr>
                  </w:pPr>
                  <w:r>
                    <w:rPr>
                      <w:rFonts w:hint="eastAsia"/>
                      <w:color w:val="auto"/>
                      <w:highlight w:val="none"/>
                      <w:lang w:val="en-US" w:eastAsia="zh-CN"/>
                    </w:rPr>
                    <w:t>15</w:t>
                  </w:r>
                  <w:r>
                    <w:rPr>
                      <w:color w:val="auto"/>
                      <w:highlight w:val="none"/>
                    </w:rPr>
                    <w:t>个</w:t>
                  </w:r>
                </w:p>
              </w:tc>
              <w:tc>
                <w:tcPr>
                  <w:tcW w:w="1350" w:type="pct"/>
                  <w:tcBorders>
                    <w:tl2br w:val="nil"/>
                    <w:tr2bl w:val="nil"/>
                  </w:tcBorders>
                  <w:vAlign w:val="center"/>
                </w:tcPr>
                <w:p>
                  <w:pPr>
                    <w:pStyle w:val="28"/>
                    <w:keepNext w:val="0"/>
                    <w:keepLines w:val="0"/>
                    <w:suppressLineNumbers w:val="0"/>
                    <w:bidi w:val="0"/>
                    <w:spacing w:before="0" w:beforeAutospacing="0" w:after="0" w:afterAutospacing="0"/>
                    <w:ind w:left="0" w:right="0"/>
                    <w:rPr>
                      <w:color w:val="auto"/>
                    </w:rPr>
                  </w:pPr>
                  <w:r>
                    <w:rPr>
                      <w:rFonts w:hint="eastAsia"/>
                      <w:color w:val="auto"/>
                      <w:lang w:val="en-US" w:eastAsia="zh-CN"/>
                    </w:rPr>
                    <w:t>完整电池</w:t>
                  </w:r>
                  <w:r>
                    <w:rPr>
                      <w:color w:val="auto"/>
                    </w:rPr>
                    <w:t>储存</w:t>
                  </w:r>
                </w:p>
              </w:tc>
              <w:tc>
                <w:tcPr>
                  <w:tcW w:w="1050" w:type="pct"/>
                  <w:tcBorders>
                    <w:tl2br w:val="nil"/>
                    <w:tr2bl w:val="nil"/>
                  </w:tcBorders>
                  <w:vAlign w:val="center"/>
                </w:tcPr>
                <w:p>
                  <w:pPr>
                    <w:pStyle w:val="28"/>
                    <w:keepNext w:val="0"/>
                    <w:keepLines w:val="0"/>
                    <w:suppressLineNumbers w:val="0"/>
                    <w:bidi w:val="0"/>
                    <w:spacing w:before="0" w:beforeAutospacing="0" w:after="0" w:afterAutospacing="0"/>
                    <w:ind w:left="0" w:right="0"/>
                    <w:rPr>
                      <w:color w:val="auto"/>
                    </w:rPr>
                  </w:pPr>
                  <w:r>
                    <w:rPr>
                      <w:color w:val="auto"/>
                    </w:rPr>
                    <w:t>外购</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54" w:type="pct"/>
                  <w:tcBorders>
                    <w:tl2br w:val="nil"/>
                    <w:tr2bl w:val="nil"/>
                  </w:tcBorders>
                  <w:vAlign w:val="center"/>
                </w:tcPr>
                <w:p>
                  <w:pPr>
                    <w:pStyle w:val="28"/>
                    <w:keepNext w:val="0"/>
                    <w:keepLines w:val="0"/>
                    <w:suppressLineNumbers w:val="0"/>
                    <w:bidi w:val="0"/>
                    <w:spacing w:before="0" w:beforeAutospacing="0" w:after="0" w:afterAutospacing="0"/>
                    <w:ind w:left="0" w:leftChars="0" w:right="0" w:rightChars="0" w:firstLine="0" w:firstLineChars="0"/>
                    <w:rPr>
                      <w:color w:val="auto"/>
                    </w:rPr>
                  </w:pPr>
                  <w:r>
                    <w:rPr>
                      <w:color w:val="auto"/>
                    </w:rPr>
                    <w:t>5</w:t>
                  </w:r>
                </w:p>
              </w:tc>
              <w:tc>
                <w:tcPr>
                  <w:tcW w:w="1200" w:type="pct"/>
                  <w:tcBorders>
                    <w:tl2br w:val="nil"/>
                    <w:tr2bl w:val="nil"/>
                  </w:tcBorders>
                  <w:vAlign w:val="center"/>
                </w:tcPr>
                <w:p>
                  <w:pPr>
                    <w:pStyle w:val="28"/>
                    <w:keepNext w:val="0"/>
                    <w:keepLines w:val="0"/>
                    <w:suppressLineNumbers w:val="0"/>
                    <w:bidi w:val="0"/>
                    <w:spacing w:before="0" w:beforeAutospacing="0" w:after="0" w:afterAutospacing="0"/>
                    <w:ind w:left="0" w:right="0"/>
                    <w:rPr>
                      <w:color w:val="auto"/>
                    </w:rPr>
                  </w:pPr>
                  <w:r>
                    <w:rPr>
                      <w:color w:val="auto"/>
                    </w:rPr>
                    <w:t>地磅</w:t>
                  </w:r>
                </w:p>
              </w:tc>
              <w:tc>
                <w:tcPr>
                  <w:tcW w:w="454" w:type="pct"/>
                  <w:tcBorders>
                    <w:tl2br w:val="nil"/>
                    <w:tr2bl w:val="nil"/>
                  </w:tcBorders>
                  <w:vAlign w:val="center"/>
                </w:tcPr>
                <w:p>
                  <w:pPr>
                    <w:pStyle w:val="28"/>
                    <w:keepNext w:val="0"/>
                    <w:keepLines w:val="0"/>
                    <w:suppressLineNumbers w:val="0"/>
                    <w:bidi w:val="0"/>
                    <w:spacing w:before="0" w:beforeAutospacing="0" w:after="0" w:afterAutospacing="0"/>
                    <w:ind w:left="0" w:right="0"/>
                    <w:rPr>
                      <w:color w:val="auto"/>
                      <w:highlight w:val="none"/>
                    </w:rPr>
                  </w:pPr>
                  <w:r>
                    <w:rPr>
                      <w:rFonts w:hint="eastAsia"/>
                      <w:color w:val="auto"/>
                      <w:highlight w:val="none"/>
                      <w:lang w:val="en-US" w:eastAsia="zh-CN"/>
                    </w:rPr>
                    <w:t>25</w:t>
                  </w:r>
                  <w:r>
                    <w:rPr>
                      <w:color w:val="auto"/>
                      <w:highlight w:val="none"/>
                    </w:rPr>
                    <w:t>t</w:t>
                  </w:r>
                </w:p>
              </w:tc>
              <w:tc>
                <w:tcPr>
                  <w:tcW w:w="490" w:type="pct"/>
                  <w:tcBorders>
                    <w:tl2br w:val="nil"/>
                    <w:tr2bl w:val="nil"/>
                  </w:tcBorders>
                  <w:vAlign w:val="center"/>
                </w:tcPr>
                <w:p>
                  <w:pPr>
                    <w:pStyle w:val="28"/>
                    <w:keepNext w:val="0"/>
                    <w:keepLines w:val="0"/>
                    <w:suppressLineNumbers w:val="0"/>
                    <w:bidi w:val="0"/>
                    <w:spacing w:before="0" w:beforeAutospacing="0" w:after="0" w:afterAutospacing="0"/>
                    <w:ind w:left="0" w:right="0"/>
                    <w:rPr>
                      <w:color w:val="auto"/>
                      <w:highlight w:val="none"/>
                    </w:rPr>
                  </w:pPr>
                  <w:r>
                    <w:rPr>
                      <w:rFonts w:hint="eastAsia"/>
                      <w:color w:val="auto"/>
                      <w:highlight w:val="none"/>
                      <w:lang w:val="en-US" w:eastAsia="zh-CN"/>
                    </w:rPr>
                    <w:t>1</w:t>
                  </w:r>
                  <w:r>
                    <w:rPr>
                      <w:color w:val="auto"/>
                      <w:highlight w:val="none"/>
                    </w:rPr>
                    <w:t>个</w:t>
                  </w:r>
                </w:p>
              </w:tc>
              <w:tc>
                <w:tcPr>
                  <w:tcW w:w="1350" w:type="pct"/>
                  <w:tcBorders>
                    <w:tl2br w:val="nil"/>
                    <w:tr2bl w:val="nil"/>
                  </w:tcBorders>
                  <w:vAlign w:val="center"/>
                </w:tcPr>
                <w:p>
                  <w:pPr>
                    <w:pStyle w:val="28"/>
                    <w:keepNext w:val="0"/>
                    <w:keepLines w:val="0"/>
                    <w:suppressLineNumbers w:val="0"/>
                    <w:bidi w:val="0"/>
                    <w:spacing w:before="0" w:beforeAutospacing="0" w:after="0" w:afterAutospacing="0"/>
                    <w:ind w:left="0" w:right="0"/>
                    <w:rPr>
                      <w:color w:val="auto"/>
                    </w:rPr>
                  </w:pPr>
                  <w:r>
                    <w:rPr>
                      <w:color w:val="auto"/>
                    </w:rPr>
                    <w:t>进厂称重</w:t>
                  </w:r>
                </w:p>
              </w:tc>
              <w:tc>
                <w:tcPr>
                  <w:tcW w:w="1050" w:type="pct"/>
                  <w:tcBorders>
                    <w:tl2br w:val="nil"/>
                    <w:tr2bl w:val="nil"/>
                  </w:tcBorders>
                  <w:vAlign w:val="center"/>
                </w:tcPr>
                <w:p>
                  <w:pPr>
                    <w:pStyle w:val="28"/>
                    <w:keepNext w:val="0"/>
                    <w:keepLines w:val="0"/>
                    <w:suppressLineNumbers w:val="0"/>
                    <w:bidi w:val="0"/>
                    <w:spacing w:before="0" w:beforeAutospacing="0" w:after="0" w:afterAutospacing="0"/>
                    <w:ind w:left="0" w:right="0"/>
                    <w:rPr>
                      <w:color w:val="auto"/>
                    </w:rPr>
                  </w:pPr>
                  <w:r>
                    <w:rPr>
                      <w:color w:val="auto"/>
                    </w:rPr>
                    <w:t>新建</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54" w:type="pct"/>
                  <w:tcBorders>
                    <w:tl2br w:val="nil"/>
                    <w:tr2bl w:val="nil"/>
                  </w:tcBorders>
                  <w:vAlign w:val="center"/>
                </w:tcPr>
                <w:p>
                  <w:pPr>
                    <w:pStyle w:val="28"/>
                    <w:keepNext w:val="0"/>
                    <w:keepLines w:val="0"/>
                    <w:suppressLineNumbers w:val="0"/>
                    <w:bidi w:val="0"/>
                    <w:spacing w:before="0" w:beforeAutospacing="0" w:after="0" w:afterAutospacing="0"/>
                    <w:ind w:left="0" w:leftChars="0" w:right="0" w:rightChars="0" w:firstLine="0" w:firstLineChars="0"/>
                    <w:rPr>
                      <w:color w:val="auto"/>
                    </w:rPr>
                  </w:pPr>
                  <w:r>
                    <w:rPr>
                      <w:color w:val="auto"/>
                    </w:rPr>
                    <w:t>6</w:t>
                  </w:r>
                </w:p>
              </w:tc>
              <w:tc>
                <w:tcPr>
                  <w:tcW w:w="1200" w:type="pct"/>
                  <w:tcBorders>
                    <w:tl2br w:val="nil"/>
                    <w:tr2bl w:val="nil"/>
                  </w:tcBorders>
                  <w:vAlign w:val="center"/>
                </w:tcPr>
                <w:p>
                  <w:pPr>
                    <w:pStyle w:val="28"/>
                    <w:keepNext w:val="0"/>
                    <w:keepLines w:val="0"/>
                    <w:suppressLineNumbers w:val="0"/>
                    <w:bidi w:val="0"/>
                    <w:spacing w:before="0" w:beforeAutospacing="0" w:after="0" w:afterAutospacing="0"/>
                    <w:ind w:left="0" w:right="0"/>
                    <w:rPr>
                      <w:color w:val="auto"/>
                    </w:rPr>
                  </w:pPr>
                  <w:bookmarkStart w:id="136" w:name="OLE_LINK18"/>
                  <w:r>
                    <w:rPr>
                      <w:color w:val="auto"/>
                    </w:rPr>
                    <w:t>PVC桶</w:t>
                  </w:r>
                  <w:bookmarkEnd w:id="136"/>
                </w:p>
              </w:tc>
              <w:tc>
                <w:tcPr>
                  <w:tcW w:w="454" w:type="pct"/>
                  <w:tcBorders>
                    <w:tl2br w:val="nil"/>
                    <w:tr2bl w:val="nil"/>
                  </w:tcBorders>
                  <w:vAlign w:val="center"/>
                </w:tcPr>
                <w:p>
                  <w:pPr>
                    <w:pStyle w:val="28"/>
                    <w:keepNext w:val="0"/>
                    <w:keepLines w:val="0"/>
                    <w:suppressLineNumbers w:val="0"/>
                    <w:bidi w:val="0"/>
                    <w:spacing w:before="0" w:beforeAutospacing="0" w:after="0" w:afterAutospacing="0"/>
                    <w:ind w:left="0" w:right="0"/>
                    <w:rPr>
                      <w:color w:val="auto"/>
                      <w:highlight w:val="none"/>
                    </w:rPr>
                  </w:pPr>
                  <w:r>
                    <w:rPr>
                      <w:rFonts w:hint="eastAsia"/>
                      <w:color w:val="auto"/>
                      <w:highlight w:val="none"/>
                      <w:lang w:val="en-US" w:eastAsia="zh-CN"/>
                    </w:rPr>
                    <w:t>1</w:t>
                  </w:r>
                  <w:r>
                    <w:rPr>
                      <w:color w:val="auto"/>
                      <w:highlight w:val="none"/>
                    </w:rPr>
                    <w:t>t</w:t>
                  </w:r>
                </w:p>
              </w:tc>
              <w:tc>
                <w:tcPr>
                  <w:tcW w:w="490" w:type="pct"/>
                  <w:tcBorders>
                    <w:tl2br w:val="nil"/>
                    <w:tr2bl w:val="nil"/>
                  </w:tcBorders>
                  <w:vAlign w:val="center"/>
                </w:tcPr>
                <w:p>
                  <w:pPr>
                    <w:pStyle w:val="28"/>
                    <w:keepNext w:val="0"/>
                    <w:keepLines w:val="0"/>
                    <w:suppressLineNumbers w:val="0"/>
                    <w:bidi w:val="0"/>
                    <w:spacing w:before="0" w:beforeAutospacing="0" w:after="0" w:afterAutospacing="0"/>
                    <w:ind w:left="0" w:right="0"/>
                    <w:rPr>
                      <w:color w:val="auto"/>
                      <w:highlight w:val="none"/>
                    </w:rPr>
                  </w:pPr>
                  <w:r>
                    <w:rPr>
                      <w:rFonts w:hint="eastAsia"/>
                      <w:color w:val="auto"/>
                      <w:highlight w:val="none"/>
                      <w:lang w:val="en-US" w:eastAsia="zh-CN"/>
                    </w:rPr>
                    <w:t>2</w:t>
                  </w:r>
                  <w:r>
                    <w:rPr>
                      <w:color w:val="auto"/>
                      <w:highlight w:val="none"/>
                    </w:rPr>
                    <w:t>个</w:t>
                  </w:r>
                </w:p>
              </w:tc>
              <w:tc>
                <w:tcPr>
                  <w:tcW w:w="1350" w:type="pct"/>
                  <w:tcBorders>
                    <w:tl2br w:val="nil"/>
                    <w:tr2bl w:val="nil"/>
                  </w:tcBorders>
                  <w:vAlign w:val="center"/>
                </w:tcPr>
                <w:p>
                  <w:pPr>
                    <w:pStyle w:val="28"/>
                    <w:keepNext w:val="0"/>
                    <w:keepLines w:val="0"/>
                    <w:suppressLineNumbers w:val="0"/>
                    <w:bidi w:val="0"/>
                    <w:spacing w:before="0" w:beforeAutospacing="0" w:after="0" w:afterAutospacing="0"/>
                    <w:ind w:left="0" w:right="0"/>
                    <w:rPr>
                      <w:color w:val="auto"/>
                    </w:rPr>
                  </w:pPr>
                  <w:r>
                    <w:rPr>
                      <w:color w:val="auto"/>
                    </w:rPr>
                    <w:t>存放电解液</w:t>
                  </w:r>
                </w:p>
              </w:tc>
              <w:tc>
                <w:tcPr>
                  <w:tcW w:w="1050" w:type="pct"/>
                  <w:tcBorders>
                    <w:tl2br w:val="nil"/>
                    <w:tr2bl w:val="nil"/>
                  </w:tcBorders>
                  <w:vAlign w:val="center"/>
                </w:tcPr>
                <w:p>
                  <w:pPr>
                    <w:pStyle w:val="28"/>
                    <w:keepNext w:val="0"/>
                    <w:keepLines w:val="0"/>
                    <w:suppressLineNumbers w:val="0"/>
                    <w:bidi w:val="0"/>
                    <w:spacing w:before="0" w:beforeAutospacing="0" w:after="0" w:afterAutospacing="0"/>
                    <w:ind w:left="0" w:right="0"/>
                    <w:rPr>
                      <w:color w:val="auto"/>
                    </w:rPr>
                  </w:pPr>
                  <w:r>
                    <w:rPr>
                      <w:color w:val="auto"/>
                    </w:rPr>
                    <w:t>外购</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54" w:type="pct"/>
                  <w:tcBorders>
                    <w:tl2br w:val="nil"/>
                    <w:tr2bl w:val="nil"/>
                  </w:tcBorders>
                  <w:vAlign w:val="center"/>
                </w:tcPr>
                <w:p>
                  <w:pPr>
                    <w:pStyle w:val="28"/>
                    <w:keepNext w:val="0"/>
                    <w:keepLines w:val="0"/>
                    <w:suppressLineNumbers w:val="0"/>
                    <w:bidi w:val="0"/>
                    <w:spacing w:before="0" w:beforeAutospacing="0" w:after="0" w:afterAutospacing="0"/>
                    <w:ind w:left="0" w:leftChars="0" w:right="0" w:rightChars="0" w:firstLine="0" w:firstLineChars="0"/>
                    <w:rPr>
                      <w:color w:val="auto"/>
                    </w:rPr>
                  </w:pPr>
                  <w:r>
                    <w:rPr>
                      <w:color w:val="auto"/>
                    </w:rPr>
                    <w:t>7</w:t>
                  </w:r>
                </w:p>
              </w:tc>
              <w:tc>
                <w:tcPr>
                  <w:tcW w:w="1200" w:type="pct"/>
                  <w:tcBorders>
                    <w:tl2br w:val="nil"/>
                    <w:tr2bl w:val="nil"/>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碱喷淋装置</w:t>
                  </w:r>
                </w:p>
              </w:tc>
              <w:tc>
                <w:tcPr>
                  <w:tcW w:w="454" w:type="pct"/>
                  <w:tcBorders>
                    <w:tl2br w:val="nil"/>
                    <w:tr2bl w:val="nil"/>
                  </w:tcBorders>
                  <w:vAlign w:val="center"/>
                </w:tcPr>
                <w:p>
                  <w:pPr>
                    <w:pStyle w:val="28"/>
                    <w:keepNext w:val="0"/>
                    <w:keepLines w:val="0"/>
                    <w:suppressLineNumbers w:val="0"/>
                    <w:bidi w:val="0"/>
                    <w:spacing w:before="0" w:beforeAutospacing="0" w:after="0" w:afterAutospacing="0"/>
                    <w:ind w:left="0" w:right="0"/>
                    <w:rPr>
                      <w:color w:val="auto"/>
                      <w:highlight w:val="none"/>
                    </w:rPr>
                  </w:pPr>
                  <w:r>
                    <w:rPr>
                      <w:color w:val="auto"/>
                      <w:highlight w:val="none"/>
                    </w:rPr>
                    <w:t>/</w:t>
                  </w:r>
                </w:p>
              </w:tc>
              <w:tc>
                <w:tcPr>
                  <w:tcW w:w="490" w:type="pct"/>
                  <w:tcBorders>
                    <w:tl2br w:val="nil"/>
                    <w:tr2bl w:val="nil"/>
                  </w:tcBorders>
                  <w:vAlign w:val="center"/>
                </w:tcPr>
                <w:p>
                  <w:pPr>
                    <w:pStyle w:val="28"/>
                    <w:keepNext w:val="0"/>
                    <w:keepLines w:val="0"/>
                    <w:suppressLineNumbers w:val="0"/>
                    <w:bidi w:val="0"/>
                    <w:spacing w:before="0" w:beforeAutospacing="0" w:after="0" w:afterAutospacing="0"/>
                    <w:ind w:left="0" w:right="0"/>
                    <w:rPr>
                      <w:color w:val="auto"/>
                      <w:highlight w:val="none"/>
                    </w:rPr>
                  </w:pPr>
                  <w:r>
                    <w:rPr>
                      <w:color w:val="auto"/>
                      <w:highlight w:val="none"/>
                    </w:rPr>
                    <w:t>1套</w:t>
                  </w:r>
                </w:p>
              </w:tc>
              <w:tc>
                <w:tcPr>
                  <w:tcW w:w="1350" w:type="pct"/>
                  <w:tcBorders>
                    <w:tl2br w:val="nil"/>
                    <w:tr2bl w:val="nil"/>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硫酸雾中和</w:t>
                  </w:r>
                </w:p>
              </w:tc>
              <w:tc>
                <w:tcPr>
                  <w:tcW w:w="1050" w:type="pct"/>
                  <w:tcBorders>
                    <w:tl2br w:val="nil"/>
                    <w:tr2bl w:val="nil"/>
                  </w:tcBorders>
                  <w:vAlign w:val="center"/>
                </w:tcPr>
                <w:p>
                  <w:pPr>
                    <w:pStyle w:val="28"/>
                    <w:keepNext w:val="0"/>
                    <w:keepLines w:val="0"/>
                    <w:suppressLineNumbers w:val="0"/>
                    <w:bidi w:val="0"/>
                    <w:spacing w:before="0" w:beforeAutospacing="0" w:after="0" w:afterAutospacing="0"/>
                    <w:ind w:left="0" w:right="0"/>
                    <w:rPr>
                      <w:color w:val="auto"/>
                    </w:rPr>
                  </w:pPr>
                  <w:r>
                    <w:rPr>
                      <w:color w:val="auto"/>
                    </w:rPr>
                    <w:t>新建</w:t>
                  </w:r>
                </w:p>
              </w:tc>
            </w:tr>
            <w:bookmarkEnd w:id="130"/>
          </w:tbl>
          <w:p>
            <w:pPr>
              <w:keepNext w:val="0"/>
              <w:keepLines w:val="0"/>
              <w:suppressLineNumbers w:val="0"/>
              <w:bidi w:val="0"/>
              <w:spacing w:before="0" w:beforeAutospacing="0" w:after="0" w:afterAutospacing="0"/>
              <w:ind w:left="0" w:right="0"/>
              <w:rPr>
                <w:b/>
                <w:color w:val="auto"/>
                <w:sz w:val="24"/>
                <w:szCs w:val="24"/>
              </w:rPr>
            </w:pPr>
            <w:r>
              <w:rPr>
                <w:rFonts w:hint="eastAsia"/>
                <w:b/>
                <w:color w:val="auto"/>
                <w:sz w:val="24"/>
                <w:szCs w:val="24"/>
              </w:rPr>
              <w:t>6</w:t>
            </w:r>
            <w:r>
              <w:rPr>
                <w:b/>
                <w:color w:val="auto"/>
                <w:sz w:val="24"/>
                <w:szCs w:val="24"/>
              </w:rPr>
              <w:t>、项目主要原辅材料消耗量</w:t>
            </w:r>
          </w:p>
          <w:p>
            <w:pPr>
              <w:keepNext w:val="0"/>
              <w:keepLines w:val="0"/>
              <w:suppressLineNumbers w:val="0"/>
              <w:bidi w:val="0"/>
              <w:spacing w:before="0" w:beforeAutospacing="0" w:after="0" w:afterAutospacing="0"/>
              <w:ind w:left="0" w:right="0"/>
              <w:rPr>
                <w:rFonts w:hint="eastAsia"/>
                <w:color w:val="auto"/>
                <w:sz w:val="24"/>
              </w:rPr>
            </w:pPr>
            <w:r>
              <w:rPr>
                <w:rFonts w:hint="eastAsia"/>
                <w:color w:val="auto"/>
                <w:sz w:val="24"/>
              </w:rPr>
              <w:t>主要原辅材料及消耗量见下表：</w:t>
            </w:r>
          </w:p>
          <w:p>
            <w:pPr>
              <w:pStyle w:val="12"/>
              <w:keepNext w:val="0"/>
              <w:keepLines w:val="0"/>
              <w:suppressLineNumbers w:val="0"/>
              <w:bidi w:val="0"/>
              <w:spacing w:before="0" w:beforeAutospacing="0" w:after="0" w:afterAutospacing="0"/>
              <w:ind w:left="0" w:right="0"/>
              <w:rPr>
                <w:rFonts w:hint="eastAsia"/>
                <w:color w:val="auto"/>
              </w:rPr>
            </w:pPr>
            <w:r>
              <w:rPr>
                <w:rFonts w:hint="eastAsia"/>
                <w:color w:val="auto"/>
              </w:rPr>
              <w:t>表</w:t>
            </w:r>
            <w:r>
              <w:rPr>
                <w:rFonts w:hint="eastAsia"/>
                <w:color w:val="auto"/>
                <w:lang w:val="en-US" w:eastAsia="zh-CN"/>
              </w:rPr>
              <w:t xml:space="preserve"> 2-7</w:t>
            </w:r>
            <w:r>
              <w:rPr>
                <w:rFonts w:hint="eastAsia"/>
                <w:color w:val="auto"/>
              </w:rPr>
              <w:t xml:space="preserve">   主要原辅材料及能源消耗量一览表</w:t>
            </w:r>
          </w:p>
          <w:tbl>
            <w:tblPr>
              <w:tblStyle w:val="22"/>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1"/>
              <w:gridCol w:w="2252"/>
              <w:gridCol w:w="1237"/>
              <w:gridCol w:w="1503"/>
              <w:gridCol w:w="225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pct"/>
                  <w:tcBorders>
                    <w:bottom w:val="single" w:color="auto" w:sz="8" w:space="0"/>
                  </w:tcBorders>
                  <w:shd w:val="clear" w:color="auto" w:fill="auto"/>
                  <w:noWrap/>
                  <w:vAlign w:val="center"/>
                </w:tcPr>
                <w:p>
                  <w:pPr>
                    <w:pStyle w:val="28"/>
                    <w:keepNext w:val="0"/>
                    <w:keepLines w:val="0"/>
                    <w:suppressLineNumbers w:val="0"/>
                    <w:bidi w:val="0"/>
                    <w:spacing w:before="0" w:beforeAutospacing="0" w:after="0" w:afterAutospacing="0"/>
                    <w:ind w:left="0" w:right="0"/>
                    <w:rPr>
                      <w:b/>
                      <w:bCs/>
                      <w:color w:val="auto"/>
                    </w:rPr>
                  </w:pPr>
                  <w:bookmarkStart w:id="137" w:name="OLE_LINK47" w:colFirst="0" w:colLast="4"/>
                  <w:r>
                    <w:rPr>
                      <w:b/>
                      <w:bCs/>
                      <w:color w:val="auto"/>
                    </w:rPr>
                    <w:t>序号</w:t>
                  </w:r>
                </w:p>
              </w:tc>
              <w:tc>
                <w:tcPr>
                  <w:tcW w:w="1344" w:type="pct"/>
                  <w:tcBorders>
                    <w:bottom w:val="single" w:color="auto" w:sz="8" w:space="0"/>
                  </w:tcBorders>
                  <w:shd w:val="clear" w:color="auto" w:fill="auto"/>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名称</w:t>
                  </w:r>
                </w:p>
              </w:tc>
              <w:tc>
                <w:tcPr>
                  <w:tcW w:w="738" w:type="pct"/>
                  <w:tcBorders>
                    <w:bottom w:val="single" w:color="auto" w:sz="8" w:space="0"/>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单位</w:t>
                  </w:r>
                </w:p>
              </w:tc>
              <w:tc>
                <w:tcPr>
                  <w:tcW w:w="897" w:type="pct"/>
                  <w:tcBorders>
                    <w:bottom w:val="single" w:color="auto" w:sz="8" w:space="0"/>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周转量</w:t>
                  </w:r>
                </w:p>
              </w:tc>
              <w:tc>
                <w:tcPr>
                  <w:tcW w:w="1344" w:type="pct"/>
                  <w:tcBorders>
                    <w:bottom w:val="single" w:color="auto" w:sz="8" w:space="0"/>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备注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75" w:type="pct"/>
                  <w:tcBorders>
                    <w:top w:val="single" w:color="auto" w:sz="8" w:space="0"/>
                    <w:bottom w:val="single" w:color="auto" w:sz="8" w:space="0"/>
                  </w:tcBorders>
                  <w:shd w:val="clear" w:color="auto" w:fill="auto"/>
                  <w:noWrap/>
                  <w:vAlign w:val="center"/>
                </w:tcPr>
                <w:p>
                  <w:pPr>
                    <w:pStyle w:val="28"/>
                    <w:keepNext w:val="0"/>
                    <w:keepLines w:val="0"/>
                    <w:suppressLineNumbers w:val="0"/>
                    <w:bidi w:val="0"/>
                    <w:spacing w:before="0" w:beforeAutospacing="0" w:after="0" w:afterAutospacing="0"/>
                    <w:ind w:left="0" w:right="0"/>
                    <w:rPr>
                      <w:color w:val="auto"/>
                    </w:rPr>
                  </w:pPr>
                  <w:bookmarkStart w:id="138" w:name="OLE_LINK45" w:colFirst="1" w:colLast="4"/>
                  <w:r>
                    <w:rPr>
                      <w:color w:val="auto"/>
                    </w:rPr>
                    <w:t>1</w:t>
                  </w:r>
                </w:p>
              </w:tc>
              <w:tc>
                <w:tcPr>
                  <w:tcW w:w="1344" w:type="pct"/>
                  <w:tcBorders>
                    <w:top w:val="single" w:color="auto" w:sz="8" w:space="0"/>
                    <w:bottom w:val="single" w:color="auto" w:sz="8" w:space="0"/>
                  </w:tcBorders>
                  <w:shd w:val="clear" w:color="auto" w:fill="auto"/>
                  <w:vAlign w:val="center"/>
                </w:tcPr>
                <w:p>
                  <w:pPr>
                    <w:pStyle w:val="28"/>
                    <w:keepNext w:val="0"/>
                    <w:keepLines w:val="0"/>
                    <w:suppressLineNumbers w:val="0"/>
                    <w:bidi w:val="0"/>
                    <w:spacing w:before="0" w:beforeAutospacing="0" w:after="0" w:afterAutospacing="0"/>
                    <w:ind w:left="0" w:right="0"/>
                    <w:rPr>
                      <w:color w:val="auto"/>
                    </w:rPr>
                  </w:pPr>
                  <w:r>
                    <w:rPr>
                      <w:color w:val="auto"/>
                    </w:rPr>
                    <w:t>废铅蓄电池</w:t>
                  </w:r>
                </w:p>
              </w:tc>
              <w:tc>
                <w:tcPr>
                  <w:tcW w:w="738" w:type="pct"/>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color w:val="auto"/>
                    </w:rPr>
                  </w:pPr>
                  <w:bookmarkStart w:id="139" w:name="OLE_LINK168"/>
                  <w:r>
                    <w:rPr>
                      <w:color w:val="auto"/>
                    </w:rPr>
                    <w:t>吨/年</w:t>
                  </w:r>
                  <w:bookmarkEnd w:id="139"/>
                </w:p>
              </w:tc>
              <w:tc>
                <w:tcPr>
                  <w:tcW w:w="897" w:type="pct"/>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eastAsia="zh-CN"/>
                    </w:rPr>
                    <w:t>3000</w:t>
                  </w:r>
                </w:p>
              </w:tc>
              <w:tc>
                <w:tcPr>
                  <w:tcW w:w="1344" w:type="pct"/>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收集、贮存</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75" w:type="pct"/>
                  <w:tcBorders>
                    <w:top w:val="single" w:color="auto" w:sz="8" w:space="0"/>
                    <w:bottom w:val="single" w:color="auto" w:sz="8" w:space="0"/>
                  </w:tcBorders>
                  <w:shd w:val="clear" w:color="auto" w:fill="auto"/>
                  <w:noWrap/>
                  <w:vAlign w:val="center"/>
                </w:tcPr>
                <w:p>
                  <w:pPr>
                    <w:pStyle w:val="28"/>
                    <w:keepNext w:val="0"/>
                    <w:keepLines w:val="0"/>
                    <w:suppressLineNumbers w:val="0"/>
                    <w:bidi w:val="0"/>
                    <w:spacing w:before="0" w:beforeAutospacing="0" w:after="0" w:afterAutospacing="0"/>
                    <w:ind w:left="0" w:right="0"/>
                    <w:rPr>
                      <w:rFonts w:hint="eastAsia" w:eastAsia="宋体"/>
                      <w:color w:val="auto"/>
                      <w:lang w:val="en-US" w:eastAsia="zh-CN"/>
                    </w:rPr>
                  </w:pPr>
                  <w:r>
                    <w:rPr>
                      <w:rFonts w:hint="eastAsia"/>
                      <w:color w:val="auto"/>
                      <w:lang w:val="en-US" w:eastAsia="zh-CN"/>
                    </w:rPr>
                    <w:t>2</w:t>
                  </w:r>
                </w:p>
              </w:tc>
              <w:tc>
                <w:tcPr>
                  <w:tcW w:w="1344" w:type="pct"/>
                  <w:tcBorders>
                    <w:top w:val="single" w:color="auto" w:sz="8" w:space="0"/>
                    <w:bottom w:val="single" w:color="auto" w:sz="8" w:space="0"/>
                  </w:tcBorders>
                  <w:shd w:val="clear" w:color="auto" w:fill="auto"/>
                  <w:vAlign w:val="center"/>
                </w:tcPr>
                <w:p>
                  <w:pPr>
                    <w:pStyle w:val="28"/>
                    <w:keepNext w:val="0"/>
                    <w:keepLines w:val="0"/>
                    <w:suppressLineNumbers w:val="0"/>
                    <w:bidi w:val="0"/>
                    <w:spacing w:before="0" w:beforeAutospacing="0" w:after="0" w:afterAutospacing="0"/>
                    <w:ind w:left="0" w:leftChars="0" w:right="0" w:rightChars="0" w:firstLine="0" w:firstLineChars="0"/>
                    <w:rPr>
                      <w:rFonts w:ascii="Times New Roman" w:hAnsi="Times New Roman" w:eastAsia="宋体" w:cstheme="minorBidi"/>
                      <w:color w:val="auto"/>
                      <w:kern w:val="2"/>
                      <w:sz w:val="21"/>
                      <w:szCs w:val="21"/>
                      <w:lang w:val="en-US" w:eastAsia="zh-CN" w:bidi="ar-SA"/>
                    </w:rPr>
                  </w:pPr>
                  <w:r>
                    <w:rPr>
                      <w:color w:val="auto"/>
                    </w:rPr>
                    <w:t>个人防护用品</w:t>
                  </w:r>
                </w:p>
              </w:tc>
              <w:tc>
                <w:tcPr>
                  <w:tcW w:w="738" w:type="pct"/>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heme="minorBidi"/>
                      <w:color w:val="auto"/>
                      <w:kern w:val="2"/>
                      <w:sz w:val="21"/>
                      <w:szCs w:val="21"/>
                      <w:highlight w:val="none"/>
                      <w:lang w:val="en-US" w:eastAsia="zh-CN" w:bidi="ar-SA"/>
                    </w:rPr>
                  </w:pPr>
                  <w:r>
                    <w:rPr>
                      <w:rFonts w:hint="eastAsia" w:cstheme="minorBidi"/>
                      <w:color w:val="auto"/>
                      <w:kern w:val="2"/>
                      <w:sz w:val="21"/>
                      <w:szCs w:val="21"/>
                      <w:highlight w:val="none"/>
                      <w:lang w:val="en-US" w:eastAsia="zh-CN" w:bidi="ar-SA"/>
                    </w:rPr>
                    <w:t>/</w:t>
                  </w:r>
                </w:p>
              </w:tc>
              <w:tc>
                <w:tcPr>
                  <w:tcW w:w="897" w:type="pct"/>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rFonts w:hint="eastAsia"/>
                      <w:color w:val="auto"/>
                      <w:lang w:val="en-US" w:eastAsia="zh-CN"/>
                    </w:rPr>
                  </w:pPr>
                  <w:r>
                    <w:rPr>
                      <w:color w:val="auto"/>
                      <w:highlight w:val="none"/>
                    </w:rPr>
                    <w:t>若干</w:t>
                  </w:r>
                </w:p>
              </w:tc>
              <w:tc>
                <w:tcPr>
                  <w:tcW w:w="1344" w:type="pct"/>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耐酸防护服、耐酸手套、抹布、拖把等劳保用品</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75" w:type="pct"/>
                  <w:tcBorders>
                    <w:top w:val="single" w:color="auto" w:sz="8" w:space="0"/>
                    <w:bottom w:val="single" w:color="auto" w:sz="8" w:space="0"/>
                  </w:tcBorders>
                  <w:shd w:val="clear" w:color="auto" w:fill="auto"/>
                  <w:noWrap/>
                  <w:vAlign w:val="center"/>
                </w:tcPr>
                <w:p>
                  <w:pPr>
                    <w:pStyle w:val="28"/>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color w:val="auto"/>
                      <w:lang w:val="en-US" w:eastAsia="zh-CN"/>
                    </w:rPr>
                    <w:t>3</w:t>
                  </w:r>
                </w:p>
              </w:tc>
              <w:tc>
                <w:tcPr>
                  <w:tcW w:w="1344" w:type="pct"/>
                  <w:tcBorders>
                    <w:top w:val="single" w:color="auto" w:sz="8" w:space="0"/>
                    <w:bottom w:val="single" w:color="auto" w:sz="8" w:space="0"/>
                  </w:tcBorders>
                  <w:shd w:val="clear" w:color="auto" w:fill="auto"/>
                  <w:vAlign w:val="center"/>
                </w:tcPr>
                <w:p>
                  <w:pPr>
                    <w:pStyle w:val="28"/>
                    <w:keepNext w:val="0"/>
                    <w:keepLines w:val="0"/>
                    <w:suppressLineNumbers w:val="0"/>
                    <w:bidi w:val="0"/>
                    <w:spacing w:before="0" w:beforeAutospacing="0" w:after="0" w:afterAutospacing="0"/>
                    <w:ind w:left="0" w:right="0"/>
                    <w:rPr>
                      <w:rFonts w:hint="eastAsia" w:eastAsia="宋体"/>
                      <w:color w:val="auto"/>
                      <w:lang w:val="en-US" w:eastAsia="zh-CN"/>
                    </w:rPr>
                  </w:pPr>
                  <w:r>
                    <w:rPr>
                      <w:rFonts w:hint="eastAsia"/>
                      <w:color w:val="auto"/>
                      <w:lang w:val="en-US" w:eastAsia="zh-CN"/>
                    </w:rPr>
                    <w:t>碱液</w:t>
                  </w:r>
                </w:p>
              </w:tc>
              <w:tc>
                <w:tcPr>
                  <w:tcW w:w="738" w:type="pct"/>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吨/年</w:t>
                  </w:r>
                </w:p>
              </w:tc>
              <w:tc>
                <w:tcPr>
                  <w:tcW w:w="897" w:type="pct"/>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0.12</w:t>
                  </w:r>
                </w:p>
              </w:tc>
              <w:tc>
                <w:tcPr>
                  <w:tcW w:w="1344" w:type="pct"/>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rFonts w:hint="eastAsia"/>
                      <w:color w:val="auto"/>
                      <w:lang w:val="en-US" w:eastAsia="zh-CN"/>
                    </w:rPr>
                  </w:pPr>
                  <w:r>
                    <w:rPr>
                      <w:color w:val="auto"/>
                    </w:rPr>
                    <w:t>外购NaOH溶液（浓度30%）</w:t>
                  </w:r>
                  <w:r>
                    <w:rPr>
                      <w:rFonts w:hint="eastAsia"/>
                      <w:color w:val="auto"/>
                      <w:lang w:eastAsia="zh-CN"/>
                    </w:rPr>
                    <w:t>，</w:t>
                  </w:r>
                  <w:r>
                    <w:rPr>
                      <w:color w:val="auto"/>
                    </w:rPr>
                    <w:t>用于废气硫酸雾的处理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75" w:type="pct"/>
                  <w:tcBorders>
                    <w:top w:val="single" w:color="auto" w:sz="8" w:space="0"/>
                    <w:bottom w:val="single" w:color="auto" w:sz="4" w:space="0"/>
                  </w:tcBorders>
                  <w:shd w:val="clear" w:color="auto" w:fill="auto"/>
                  <w:noWrap/>
                  <w:vAlign w:val="center"/>
                </w:tcPr>
                <w:p>
                  <w:pPr>
                    <w:pStyle w:val="28"/>
                    <w:keepNext w:val="0"/>
                    <w:keepLines w:val="0"/>
                    <w:suppressLineNumbers w:val="0"/>
                    <w:bidi w:val="0"/>
                    <w:spacing w:before="0" w:beforeAutospacing="0" w:after="0" w:afterAutospacing="0"/>
                    <w:ind w:left="0" w:right="0"/>
                    <w:rPr>
                      <w:color w:val="auto"/>
                    </w:rPr>
                  </w:pPr>
                  <w:r>
                    <w:rPr>
                      <w:rFonts w:hint="eastAsia"/>
                      <w:color w:val="auto"/>
                      <w:lang w:val="en-US" w:eastAsia="zh-CN"/>
                    </w:rPr>
                    <w:t>4</w:t>
                  </w:r>
                </w:p>
              </w:tc>
              <w:tc>
                <w:tcPr>
                  <w:tcW w:w="1344" w:type="pct"/>
                  <w:tcBorders>
                    <w:top w:val="single" w:color="auto" w:sz="8" w:space="0"/>
                    <w:bottom w:val="single" w:color="auto" w:sz="4" w:space="0"/>
                  </w:tcBorders>
                  <w:shd w:val="clear" w:color="auto" w:fill="auto"/>
                  <w:vAlign w:val="center"/>
                </w:tcPr>
                <w:p>
                  <w:pPr>
                    <w:pStyle w:val="28"/>
                    <w:keepNext w:val="0"/>
                    <w:keepLines w:val="0"/>
                    <w:suppressLineNumbers w:val="0"/>
                    <w:bidi w:val="0"/>
                    <w:spacing w:before="0" w:beforeAutospacing="0" w:after="0" w:afterAutospacing="0"/>
                    <w:ind w:left="0" w:right="0"/>
                    <w:rPr>
                      <w:rFonts w:hint="eastAsia" w:eastAsia="宋体"/>
                      <w:color w:val="auto"/>
                      <w:lang w:val="en-US" w:eastAsia="zh-CN"/>
                    </w:rPr>
                  </w:pPr>
                  <w:r>
                    <w:rPr>
                      <w:rFonts w:hint="eastAsia"/>
                      <w:color w:val="auto"/>
                      <w:lang w:val="en-US" w:eastAsia="zh-CN"/>
                    </w:rPr>
                    <w:t>水</w:t>
                  </w:r>
                </w:p>
              </w:tc>
              <w:tc>
                <w:tcPr>
                  <w:tcW w:w="738" w:type="pct"/>
                  <w:tcBorders>
                    <w:top w:val="single" w:color="auto" w:sz="8"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吨/年</w:t>
                  </w:r>
                </w:p>
              </w:tc>
              <w:tc>
                <w:tcPr>
                  <w:tcW w:w="897" w:type="pct"/>
                  <w:tcBorders>
                    <w:top w:val="single" w:color="auto" w:sz="8" w:space="0"/>
                    <w:bottom w:val="single" w:color="auto" w:sz="4" w:space="0"/>
                  </w:tcBorders>
                  <w:vAlign w:val="center"/>
                </w:tcPr>
                <w:p>
                  <w:pPr>
                    <w:pStyle w:val="28"/>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90.28</w:t>
                  </w:r>
                </w:p>
              </w:tc>
              <w:tc>
                <w:tcPr>
                  <w:tcW w:w="1344" w:type="pct"/>
                  <w:tcBorders>
                    <w:top w:val="single" w:color="auto" w:sz="8"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rFonts w:hint="eastAsia"/>
                      <w:color w:val="auto"/>
                      <w:lang w:val="en-US" w:eastAsia="zh-CN"/>
                    </w:rPr>
                    <w:t>自来水</w:t>
                  </w:r>
                </w:p>
              </w:tc>
            </w:tr>
            <w:bookmarkEnd w:id="137"/>
            <w:bookmarkEnd w:id="138"/>
          </w:tbl>
          <w:p>
            <w:pPr>
              <w:keepNext w:val="0"/>
              <w:keepLines w:val="0"/>
              <w:suppressLineNumbers w:val="0"/>
              <w:bidi w:val="0"/>
              <w:spacing w:before="0" w:beforeAutospacing="0" w:after="0" w:afterAutospacing="0"/>
              <w:ind w:left="0" w:right="0"/>
              <w:rPr>
                <w:rFonts w:hint="eastAsia"/>
                <w:color w:val="auto"/>
                <w:lang w:val="en-US" w:eastAsia="zh-CN"/>
              </w:rPr>
            </w:pPr>
            <w:r>
              <w:rPr>
                <w:rFonts w:hint="eastAsia"/>
                <w:b/>
                <w:bCs/>
                <w:color w:val="auto"/>
                <w:lang w:val="en-US" w:eastAsia="zh-CN"/>
              </w:rPr>
              <w:t>碱液：</w:t>
            </w:r>
            <w:r>
              <w:rPr>
                <w:color w:val="auto"/>
              </w:rPr>
              <w:t>氢氧化钠，化学式为NaOH，俗称烧碱、火碱、苛性钠，一般为片状或块状形态，易溶于水（溶于水时放热）并形成碱性溶液，另有潮解性，易吸取空气中的水蒸气（潮解）和二氧化碳（变质），可加入盐酸检验是否变质。纯品是无色透明的晶体。密度2.130g/c</w:t>
            </w:r>
            <w:r>
              <w:rPr>
                <w:rFonts w:hint="eastAsia"/>
                <w:color w:val="auto"/>
                <w:lang w:eastAsia="zh-CN"/>
              </w:rPr>
              <w:t>m³</w:t>
            </w:r>
            <w:r>
              <w:rPr>
                <w:color w:val="auto"/>
              </w:rPr>
              <w:t>。熔点318.4℃。沸点1390℃。工业品含有少量的氯化钠和碳酸钠，是白色不透明的晶体。</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baseline"/>
              <w:rPr>
                <w:b/>
                <w:color w:val="auto"/>
                <w:sz w:val="24"/>
                <w:szCs w:val="24"/>
              </w:rPr>
            </w:pPr>
            <w:r>
              <w:rPr>
                <w:rFonts w:hint="eastAsia"/>
                <w:b/>
                <w:color w:val="auto"/>
                <w:sz w:val="24"/>
                <w:szCs w:val="24"/>
                <w:lang w:val="en-US" w:eastAsia="zh-CN"/>
              </w:rPr>
              <w:t>7</w:t>
            </w:r>
            <w:r>
              <w:rPr>
                <w:rFonts w:hint="eastAsia"/>
                <w:b/>
                <w:color w:val="auto"/>
                <w:sz w:val="24"/>
                <w:szCs w:val="24"/>
              </w:rPr>
              <w:t>、项目周边环境</w:t>
            </w:r>
          </w:p>
          <w:p>
            <w:pPr>
              <w:keepNext w:val="0"/>
              <w:keepLines w:val="0"/>
              <w:suppressLineNumbers w:val="0"/>
              <w:bidi w:val="0"/>
              <w:spacing w:before="0" w:beforeAutospacing="0" w:after="0" w:afterAutospacing="0"/>
              <w:ind w:left="0" w:right="0"/>
              <w:rPr>
                <w:rFonts w:hint="eastAsia"/>
                <w:color w:val="auto"/>
                <w:highlight w:val="none"/>
              </w:rPr>
            </w:pPr>
            <w:r>
              <w:rPr>
                <w:color w:val="auto"/>
              </w:rPr>
              <w:t>本项目位于</w:t>
            </w:r>
            <w:r>
              <w:rPr>
                <w:rFonts w:hint="eastAsia"/>
                <w:color w:val="auto"/>
                <w:lang w:eastAsia="zh-CN"/>
              </w:rPr>
              <w:t>河南省新乡市卫滨区人民路西环路交叉口向西300米路南</w:t>
            </w:r>
            <w:r>
              <w:rPr>
                <w:color w:val="auto"/>
              </w:rPr>
              <w:t>，</w:t>
            </w:r>
            <w:r>
              <w:rPr>
                <w:rFonts w:hint="eastAsia"/>
                <w:color w:val="auto"/>
                <w:highlight w:val="none"/>
                <w:lang w:val="en-US" w:eastAsia="zh-CN"/>
              </w:rPr>
              <w:t>租赁现有</w:t>
            </w:r>
            <w:bookmarkStart w:id="140" w:name="OLE_LINK58"/>
            <w:r>
              <w:rPr>
                <w:rFonts w:hint="eastAsia"/>
                <w:color w:val="auto"/>
                <w:highlight w:val="none"/>
                <w:lang w:val="en-US" w:eastAsia="zh-CN"/>
              </w:rPr>
              <w:t>厂房</w:t>
            </w:r>
            <w:bookmarkEnd w:id="140"/>
            <w:r>
              <w:rPr>
                <w:rFonts w:hint="eastAsia"/>
                <w:color w:val="auto"/>
                <w:highlight w:val="none"/>
                <w:lang w:val="en-US" w:eastAsia="zh-CN"/>
              </w:rPr>
              <w:t>，</w:t>
            </w:r>
            <w:r>
              <w:rPr>
                <w:color w:val="auto"/>
                <w:highlight w:val="none"/>
              </w:rPr>
              <w:t>项目所在地四周环境为：</w:t>
            </w:r>
            <w:r>
              <w:rPr>
                <w:rFonts w:hint="eastAsia"/>
                <w:color w:val="auto"/>
                <w:highlight w:val="none"/>
                <w:lang w:val="en-US" w:eastAsia="zh-CN"/>
              </w:rPr>
              <w:t>厂房北侧为</w:t>
            </w:r>
            <w:bookmarkStart w:id="141" w:name="OLE_LINK119"/>
            <w:r>
              <w:rPr>
                <w:rFonts w:hint="eastAsia"/>
                <w:color w:val="auto"/>
                <w:highlight w:val="none"/>
                <w:lang w:val="en-US" w:eastAsia="zh-CN"/>
              </w:rPr>
              <w:t>闲置厂房</w:t>
            </w:r>
            <w:bookmarkEnd w:id="141"/>
            <w:r>
              <w:rPr>
                <w:rFonts w:hint="eastAsia"/>
                <w:color w:val="auto"/>
                <w:highlight w:val="none"/>
                <w:lang w:val="en-US" w:eastAsia="zh-CN"/>
              </w:rPr>
              <w:t>，南侧为</w:t>
            </w:r>
            <w:bookmarkStart w:id="142" w:name="OLE_LINK91"/>
            <w:r>
              <w:rPr>
                <w:rFonts w:hint="eastAsia"/>
                <w:color w:val="auto"/>
                <w:highlight w:val="none"/>
                <w:lang w:val="en-US" w:eastAsia="zh-CN"/>
              </w:rPr>
              <w:t>新乡市佳信塑胶有限公司</w:t>
            </w:r>
            <w:bookmarkEnd w:id="142"/>
            <w:r>
              <w:rPr>
                <w:rFonts w:hint="eastAsia"/>
                <w:color w:val="auto"/>
                <w:highlight w:val="none"/>
                <w:lang w:val="en-US" w:eastAsia="zh-CN"/>
              </w:rPr>
              <w:t>，西侧为</w:t>
            </w:r>
            <w:bookmarkStart w:id="143" w:name="OLE_LINK117"/>
            <w:r>
              <w:rPr>
                <w:rFonts w:hint="eastAsia"/>
                <w:color w:val="auto"/>
                <w:highlight w:val="none"/>
                <w:lang w:val="en-US" w:eastAsia="zh-CN"/>
              </w:rPr>
              <w:t>河南一诺精密模具有限公司</w:t>
            </w:r>
            <w:bookmarkEnd w:id="143"/>
            <w:r>
              <w:rPr>
                <w:rFonts w:hint="eastAsia"/>
                <w:color w:val="auto"/>
                <w:highlight w:val="none"/>
                <w:lang w:val="en-US" w:eastAsia="zh-CN"/>
              </w:rPr>
              <w:t>，东侧为</w:t>
            </w:r>
            <w:bookmarkStart w:id="144" w:name="OLE_LINK118"/>
            <w:r>
              <w:rPr>
                <w:rFonts w:hint="eastAsia"/>
                <w:color w:val="auto"/>
                <w:highlight w:val="none"/>
                <w:lang w:val="en-US" w:eastAsia="zh-CN"/>
              </w:rPr>
              <w:t>新乡市太行振动机械厂有限公司</w:t>
            </w:r>
            <w:bookmarkEnd w:id="144"/>
            <w:r>
              <w:rPr>
                <w:rFonts w:hint="eastAsia"/>
                <w:color w:val="auto"/>
                <w:highlight w:val="none"/>
                <w:lang w:eastAsia="zh-CN"/>
              </w:rPr>
              <w:t>；</w:t>
            </w:r>
            <w:r>
              <w:rPr>
                <w:color w:val="auto"/>
                <w:highlight w:val="none"/>
              </w:rPr>
              <w:t>项目周围主要环境敏感点</w:t>
            </w:r>
            <w:r>
              <w:rPr>
                <w:rFonts w:hint="eastAsia"/>
                <w:color w:val="auto"/>
                <w:highlight w:val="none"/>
              </w:rPr>
              <w:t>及</w:t>
            </w:r>
            <w:r>
              <w:rPr>
                <w:color w:val="auto"/>
                <w:highlight w:val="none"/>
              </w:rPr>
              <w:t>项目周围环境概况详见</w:t>
            </w:r>
            <w:r>
              <w:rPr>
                <w:rFonts w:hint="eastAsia"/>
                <w:color w:val="auto"/>
                <w:highlight w:val="none"/>
              </w:rPr>
              <w:t>附</w:t>
            </w:r>
            <w:r>
              <w:rPr>
                <w:color w:val="auto"/>
                <w:highlight w:val="none"/>
              </w:rPr>
              <w:t>图</w:t>
            </w:r>
            <w:r>
              <w:rPr>
                <w:rFonts w:hint="eastAsia"/>
                <w:color w:val="auto"/>
                <w:highlight w:val="none"/>
                <w:lang w:val="en-US" w:eastAsia="zh-CN"/>
              </w:rPr>
              <w:t>三</w:t>
            </w:r>
            <w:r>
              <w:rPr>
                <w:color w:val="auto"/>
                <w:highlight w:val="none"/>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baseline"/>
              <w:rPr>
                <w:b/>
                <w:color w:val="auto"/>
                <w:sz w:val="24"/>
                <w:szCs w:val="24"/>
              </w:rPr>
            </w:pPr>
            <w:r>
              <w:rPr>
                <w:rFonts w:hint="eastAsia"/>
                <w:b/>
                <w:color w:val="auto"/>
                <w:sz w:val="24"/>
                <w:szCs w:val="24"/>
                <w:lang w:val="en-US" w:eastAsia="zh-CN"/>
              </w:rPr>
              <w:t>8</w:t>
            </w:r>
            <w:r>
              <w:rPr>
                <w:rFonts w:hint="eastAsia"/>
                <w:b/>
                <w:color w:val="auto"/>
                <w:sz w:val="24"/>
                <w:szCs w:val="24"/>
              </w:rPr>
              <w:t>、厂区</w:t>
            </w:r>
            <w:r>
              <w:rPr>
                <w:rFonts w:hint="eastAsia"/>
                <w:b/>
                <w:color w:val="auto"/>
                <w:sz w:val="24"/>
                <w:szCs w:val="24"/>
                <w:lang w:val="en-US" w:eastAsia="zh-CN"/>
              </w:rPr>
              <w:t>平面</w:t>
            </w:r>
            <w:r>
              <w:rPr>
                <w:rFonts w:hint="eastAsia"/>
                <w:b/>
                <w:color w:val="auto"/>
                <w:sz w:val="24"/>
                <w:szCs w:val="24"/>
              </w:rPr>
              <w:t>布置简述</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both"/>
              <w:rPr>
                <w:rFonts w:hint="eastAsia"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rPr>
              <w:t>本项目</w:t>
            </w:r>
            <w:r>
              <w:rPr>
                <w:rFonts w:hint="eastAsia" w:ascii="Times New Roman" w:hAnsi="Times New Roman" w:cs="Times New Roman" w:eastAsiaTheme="minorEastAsia"/>
                <w:color w:val="auto"/>
                <w:sz w:val="24"/>
                <w:szCs w:val="24"/>
                <w:highlight w:val="none"/>
                <w:lang w:val="en-US" w:eastAsia="zh-CN"/>
              </w:rPr>
              <w:t>租赁闲置</w:t>
            </w:r>
            <w:bookmarkStart w:id="145" w:name="OLE_LINK60"/>
            <w:r>
              <w:rPr>
                <w:rFonts w:hint="eastAsia" w:ascii="Times New Roman" w:hAnsi="Times New Roman" w:cs="Times New Roman" w:eastAsiaTheme="minorEastAsia"/>
                <w:color w:val="auto"/>
                <w:sz w:val="24"/>
                <w:szCs w:val="24"/>
                <w:highlight w:val="none"/>
                <w:lang w:val="en-US" w:eastAsia="zh-CN"/>
              </w:rPr>
              <w:t>厂房</w:t>
            </w:r>
            <w:bookmarkEnd w:id="145"/>
            <w:r>
              <w:rPr>
                <w:rFonts w:hint="default" w:ascii="Times New Roman" w:hAnsi="Times New Roman" w:cs="Times New Roman" w:eastAsiaTheme="minorEastAsia"/>
                <w:color w:val="auto"/>
                <w:sz w:val="24"/>
                <w:szCs w:val="24"/>
                <w:highlight w:val="none"/>
              </w:rPr>
              <w:t>，</w:t>
            </w:r>
            <w:r>
              <w:rPr>
                <w:rFonts w:hint="eastAsia" w:ascii="Times New Roman" w:hAnsi="Times New Roman" w:cs="Times New Roman" w:eastAsiaTheme="minorEastAsia"/>
                <w:color w:val="auto"/>
                <w:sz w:val="24"/>
                <w:szCs w:val="24"/>
                <w:highlight w:val="none"/>
                <w:lang w:val="en-US" w:eastAsia="zh-CN"/>
              </w:rPr>
              <w:t>厂房</w:t>
            </w:r>
            <w:r>
              <w:rPr>
                <w:rFonts w:hint="default" w:ascii="Times New Roman" w:hAnsi="Times New Roman" w:cs="Times New Roman" w:eastAsiaTheme="minorEastAsia"/>
                <w:color w:val="auto"/>
                <w:sz w:val="24"/>
                <w:szCs w:val="24"/>
                <w:highlight w:val="none"/>
              </w:rPr>
              <w:t>内部设置</w:t>
            </w:r>
            <w:r>
              <w:rPr>
                <w:rFonts w:hint="eastAsia" w:cs="Times New Roman" w:eastAsiaTheme="minorEastAsia"/>
                <w:color w:val="auto"/>
                <w:sz w:val="24"/>
                <w:szCs w:val="24"/>
                <w:highlight w:val="none"/>
                <w:lang w:val="en-US" w:eastAsia="zh-CN"/>
              </w:rPr>
              <w:t>有完整电池储存区、破损电池</w:t>
            </w:r>
            <w:bookmarkStart w:id="146" w:name="OLE_LINK257"/>
            <w:r>
              <w:rPr>
                <w:rFonts w:hint="eastAsia" w:cs="Times New Roman" w:eastAsiaTheme="minorEastAsia"/>
                <w:color w:val="auto"/>
                <w:sz w:val="24"/>
                <w:szCs w:val="24"/>
                <w:highlight w:val="none"/>
                <w:lang w:val="en-US" w:eastAsia="zh-CN"/>
              </w:rPr>
              <w:t>存储区</w:t>
            </w:r>
            <w:bookmarkEnd w:id="146"/>
            <w:r>
              <w:rPr>
                <w:rFonts w:hint="eastAsia" w:cs="Times New Roman" w:eastAsiaTheme="minorEastAsia"/>
                <w:color w:val="auto"/>
                <w:sz w:val="24"/>
                <w:szCs w:val="24"/>
                <w:highlight w:val="none"/>
                <w:lang w:val="en-US" w:eastAsia="zh-CN"/>
              </w:rPr>
              <w:t>、应急池、危废间等</w:t>
            </w:r>
            <w:r>
              <w:rPr>
                <w:rFonts w:hint="default" w:ascii="Times New Roman" w:hAnsi="Times New Roman" w:cs="Times New Roman" w:eastAsiaTheme="minorEastAsia"/>
                <w:color w:val="auto"/>
                <w:sz w:val="24"/>
                <w:szCs w:val="24"/>
                <w:highlight w:val="none"/>
              </w:rPr>
              <w:t>。可对回收的电池进行分类储存，其中破损</w:t>
            </w:r>
            <w:r>
              <w:rPr>
                <w:rFonts w:hint="eastAsia" w:ascii="Times New Roman" w:hAnsi="Times New Roman" w:cs="Times New Roman" w:eastAsiaTheme="minorEastAsia"/>
                <w:color w:val="auto"/>
                <w:sz w:val="24"/>
                <w:szCs w:val="24"/>
                <w:highlight w:val="none"/>
                <w:lang w:val="en-US" w:eastAsia="zh-CN"/>
              </w:rPr>
              <w:t>电池</w:t>
            </w:r>
            <w:r>
              <w:rPr>
                <w:rFonts w:hint="eastAsia" w:cs="Times New Roman" w:eastAsiaTheme="minorEastAsia"/>
                <w:color w:val="auto"/>
                <w:sz w:val="24"/>
                <w:szCs w:val="24"/>
                <w:highlight w:val="none"/>
                <w:lang w:val="en-US" w:eastAsia="zh-CN"/>
              </w:rPr>
              <w:t>存储区</w:t>
            </w:r>
            <w:r>
              <w:rPr>
                <w:rFonts w:hint="eastAsia" w:ascii="Times New Roman" w:hAnsi="Times New Roman" w:cs="Times New Roman" w:eastAsiaTheme="minorEastAsia"/>
                <w:color w:val="auto"/>
                <w:sz w:val="24"/>
                <w:szCs w:val="24"/>
                <w:highlight w:val="none"/>
                <w:lang w:val="en-US" w:eastAsia="zh-CN"/>
              </w:rPr>
              <w:t>采用仓库内二次密闭，</w:t>
            </w:r>
            <w:r>
              <w:rPr>
                <w:rFonts w:hint="eastAsia" w:cs="Times New Roman" w:eastAsiaTheme="minorEastAsia"/>
                <w:color w:val="auto"/>
                <w:sz w:val="24"/>
                <w:szCs w:val="24"/>
                <w:highlight w:val="none"/>
                <w:lang w:val="en-US" w:eastAsia="zh-CN"/>
              </w:rPr>
              <w:t>内设</w:t>
            </w:r>
            <w:r>
              <w:rPr>
                <w:rFonts w:hint="default" w:ascii="Times New Roman" w:hAnsi="Times New Roman" w:cs="Times New Roman" w:eastAsiaTheme="minorEastAsia"/>
                <w:color w:val="auto"/>
                <w:sz w:val="24"/>
                <w:szCs w:val="24"/>
                <w:highlight w:val="none"/>
              </w:rPr>
              <w:t>废液收集池，通过导流</w:t>
            </w:r>
            <w:r>
              <w:rPr>
                <w:rFonts w:hint="eastAsia" w:ascii="Times New Roman" w:hAnsi="Times New Roman" w:cs="Times New Roman" w:eastAsiaTheme="minorEastAsia"/>
                <w:color w:val="auto"/>
                <w:sz w:val="24"/>
                <w:szCs w:val="24"/>
                <w:highlight w:val="none"/>
                <w:lang w:val="en-US" w:eastAsia="zh-CN"/>
              </w:rPr>
              <w:t>槽</w:t>
            </w:r>
            <w:r>
              <w:rPr>
                <w:rFonts w:hint="default" w:ascii="Times New Roman" w:hAnsi="Times New Roman" w:cs="Times New Roman" w:eastAsiaTheme="minorEastAsia"/>
                <w:color w:val="auto"/>
                <w:sz w:val="24"/>
                <w:szCs w:val="24"/>
                <w:highlight w:val="none"/>
              </w:rPr>
              <w:t>连接至废液收集池，可在发生事故时，及时对</w:t>
            </w:r>
            <w:r>
              <w:rPr>
                <w:rFonts w:hint="eastAsia" w:cs="Times New Roman" w:eastAsiaTheme="minorEastAsia"/>
                <w:color w:val="auto"/>
                <w:sz w:val="24"/>
                <w:szCs w:val="24"/>
                <w:highlight w:val="none"/>
                <w:lang w:eastAsia="zh-CN"/>
              </w:rPr>
              <w:t>泄漏</w:t>
            </w:r>
            <w:r>
              <w:rPr>
                <w:rFonts w:hint="default" w:ascii="Times New Roman" w:hAnsi="Times New Roman" w:cs="Times New Roman" w:eastAsiaTheme="minorEastAsia"/>
                <w:color w:val="auto"/>
                <w:sz w:val="24"/>
                <w:szCs w:val="24"/>
                <w:highlight w:val="none"/>
              </w:rPr>
              <w:t>液进行处置</w:t>
            </w:r>
            <w:r>
              <w:rPr>
                <w:rFonts w:hint="eastAsia" w:ascii="Times New Roman" w:hAnsi="Times New Roman" w:cs="Times New Roman" w:eastAsiaTheme="minorEastAsia"/>
                <w:color w:val="auto"/>
                <w:sz w:val="24"/>
                <w:szCs w:val="24"/>
                <w:highlight w:val="none"/>
                <w:lang w:eastAsia="zh-CN"/>
              </w:rPr>
              <w:t>。</w:t>
            </w:r>
            <w:r>
              <w:rPr>
                <w:rFonts w:hint="eastAsia" w:ascii="Times New Roman" w:hAnsi="Times New Roman" w:cs="Times New Roman" w:eastAsiaTheme="minorEastAsia"/>
                <w:color w:val="auto"/>
                <w:sz w:val="24"/>
                <w:szCs w:val="24"/>
                <w:highlight w:val="none"/>
                <w:lang w:val="en-US" w:eastAsia="zh-CN"/>
              </w:rPr>
              <w:t>厂房所在地</w:t>
            </w:r>
            <w:r>
              <w:rPr>
                <w:rFonts w:hint="default" w:ascii="Times New Roman" w:hAnsi="Times New Roman" w:cs="Times New Roman" w:eastAsiaTheme="minorEastAsia"/>
                <w:color w:val="auto"/>
                <w:sz w:val="24"/>
                <w:szCs w:val="24"/>
                <w:highlight w:val="none"/>
              </w:rPr>
              <w:t>交通便捷，方便废铅蓄电池的输送及人员出入。本项目布置整体整洁，分工明确，交通便捷，基本合理，厂区平面布置图详见附图</w:t>
            </w:r>
            <w:r>
              <w:rPr>
                <w:rFonts w:hint="eastAsia" w:ascii="Times New Roman" w:hAnsi="Times New Roman" w:cs="Times New Roman" w:eastAsiaTheme="minorEastAsia"/>
                <w:color w:val="auto"/>
                <w:sz w:val="24"/>
                <w:szCs w:val="24"/>
                <w:highlight w:val="none"/>
                <w:lang w:val="en-US" w:eastAsia="zh-CN"/>
              </w:rPr>
              <w:t>四</w:t>
            </w:r>
            <w:r>
              <w:rPr>
                <w:rFonts w:hint="default" w:ascii="Times New Roman" w:hAnsi="Times New Roman" w:cs="Times New Roman" w:eastAsiaTheme="minorEastAsia"/>
                <w:color w:val="auto"/>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29" w:hRule="atLeast"/>
          <w:jc w:val="center"/>
        </w:trPr>
        <w:tc>
          <w:tcPr>
            <w:tcW w:w="456"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color w:val="auto"/>
              </w:rPr>
            </w:pPr>
            <w:r>
              <w:rPr>
                <w:color w:val="auto"/>
                <w:sz w:val="24"/>
              </w:rPr>
              <w:t>工艺流程和产排污环节</w:t>
            </w:r>
          </w:p>
        </w:tc>
        <w:tc>
          <w:tcPr>
            <w:tcW w:w="8595"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b/>
                <w:bCs/>
                <w:color w:val="auto"/>
                <w:sz w:val="24"/>
              </w:rPr>
            </w:pPr>
            <w:r>
              <w:rPr>
                <w:rFonts w:hint="eastAsia"/>
                <w:b/>
                <w:bCs/>
                <w:color w:val="auto"/>
                <w:sz w:val="24"/>
              </w:rPr>
              <w:t>1、</w:t>
            </w:r>
            <w:r>
              <w:rPr>
                <w:b/>
                <w:bCs/>
                <w:color w:val="auto"/>
                <w:sz w:val="24"/>
              </w:rPr>
              <w:t>生产工艺流程及产污环节图</w:t>
            </w:r>
          </w:p>
          <w:p>
            <w:pPr>
              <w:keepNext w:val="0"/>
              <w:keepLines w:val="0"/>
              <w:pageBreakBefore w:val="0"/>
              <w:widowControl w:val="0"/>
              <w:suppressLineNumbers w:val="0"/>
              <w:tabs>
                <w:tab w:val="center" w:pos="3840"/>
              </w:tabs>
              <w:kinsoku/>
              <w:wordWrap/>
              <w:overflowPunct/>
              <w:topLinePunct w:val="0"/>
              <w:autoSpaceDE/>
              <w:autoSpaceDN/>
              <w:bidi w:val="0"/>
              <w:adjustRightInd/>
              <w:snapToGrid/>
              <w:spacing w:before="0" w:beforeAutospacing="0" w:after="0" w:afterAutospacing="0" w:line="360" w:lineRule="auto"/>
              <w:ind w:left="0" w:right="0" w:firstLine="466" w:firstLineChars="200"/>
              <w:textAlignment w:val="auto"/>
              <w:rPr>
                <w:b/>
                <w:bCs/>
                <w:color w:val="auto"/>
                <w:sz w:val="24"/>
              </w:rPr>
            </w:pPr>
            <w:r>
              <w:rPr>
                <w:rFonts w:hint="eastAsia" w:hAnsi="宋体" w:cs="Courier New"/>
                <w:b/>
                <w:bCs/>
                <w:color w:val="auto"/>
                <w:spacing w:val="-4"/>
                <w:sz w:val="24"/>
              </w:rPr>
              <w:t>本项目生产工艺</w:t>
            </w:r>
            <w:r>
              <w:rPr>
                <w:rFonts w:hint="eastAsia" w:hAnsi="宋体" w:cs="Courier New"/>
                <w:b/>
                <w:bCs/>
                <w:color w:val="auto"/>
                <w:spacing w:val="-4"/>
                <w:sz w:val="24"/>
                <w:lang w:val="en-US" w:eastAsia="zh-CN"/>
              </w:rPr>
              <w:t>流程图</w:t>
            </w:r>
            <w:r>
              <w:rPr>
                <w:rFonts w:hint="eastAsia" w:hAnsi="宋体" w:cs="Courier New"/>
                <w:b/>
                <w:bCs/>
                <w:color w:val="auto"/>
                <w:spacing w:val="-4"/>
                <w:sz w:val="24"/>
              </w:rPr>
              <w:t>：</w:t>
            </w:r>
          </w:p>
          <w:p>
            <w:pPr>
              <w:pStyle w:val="12"/>
              <w:keepNext w:val="0"/>
              <w:keepLines w:val="0"/>
              <w:suppressLineNumbers w:val="0"/>
              <w:bidi w:val="0"/>
              <w:spacing w:before="0" w:beforeAutospacing="0" w:after="0" w:afterAutospacing="0"/>
              <w:ind w:left="0" w:right="0"/>
              <w:rPr>
                <w:color w:val="auto"/>
              </w:rPr>
            </w:pPr>
            <w:r>
              <w:rPr>
                <w:color w:val="auto"/>
              </w:rPr>
              <w:pict>
                <v:shape id="_x0000_s2615" o:spid="_x0000_s2615" o:spt="75" type="#_x0000_t75" style="position:absolute;left:0pt;margin-left:18.75pt;margin-top:15.35pt;height:347.95pt;width:388.35pt;mso-wrap-distance-bottom:0pt;mso-wrap-distance-top:0pt;z-index:251667456;mso-width-relative:page;mso-height-relative:page;" o:ole="t" filled="f" o:preferrelative="t" stroked="f" coordsize="21600,21600">
                  <v:path/>
                  <v:fill on="f" focussize="0,0"/>
                  <v:stroke on="f"/>
                  <v:imagedata r:id="rId20" o:title=""/>
                  <o:lock v:ext="edit" aspectratio="t"/>
                  <w10:wrap type="topAndBottom"/>
                </v:shape>
                <o:OLEObject Type="Embed" ProgID="Visio.Drawing.15" ShapeID="_x0000_s2615" DrawAspect="Content" ObjectID="_1468075725" r:id="rId19">
                  <o:LockedField>false</o:LockedField>
                </o:OLEObject>
              </w:pict>
            </w:r>
            <w:r>
              <w:rPr>
                <w:color w:val="auto"/>
              </w:rPr>
              <w:t>图</w:t>
            </w:r>
            <w:r>
              <w:rPr>
                <w:rFonts w:hint="eastAsia"/>
                <w:color w:val="auto"/>
                <w:lang w:val="en-US" w:eastAsia="zh-CN"/>
              </w:rPr>
              <w:t xml:space="preserve"> 2-3    </w:t>
            </w:r>
            <w:r>
              <w:rPr>
                <w:color w:val="auto"/>
              </w:rPr>
              <w:t>生产工艺流程及产污环节</w:t>
            </w:r>
            <w:r>
              <w:rPr>
                <w:rFonts w:hint="eastAsia"/>
                <w:color w:val="auto"/>
                <w:lang w:val="en-US" w:eastAsia="zh-CN"/>
              </w:rPr>
              <w:t>示意</w:t>
            </w:r>
            <w:r>
              <w:rPr>
                <w:color w:val="auto"/>
              </w:rPr>
              <w:t>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Ansi="宋体"/>
                <w:b/>
                <w:color w:val="auto"/>
                <w:sz w:val="24"/>
                <w:highlight w:val="none"/>
              </w:rPr>
            </w:pPr>
            <w:r>
              <w:rPr>
                <w:rFonts w:hAnsi="宋体"/>
                <w:b/>
                <w:color w:val="auto"/>
                <w:sz w:val="24"/>
                <w:highlight w:val="none"/>
              </w:rPr>
              <w:t>工艺流程说明：</w:t>
            </w:r>
          </w:p>
          <w:p>
            <w:pPr>
              <w:keepNext w:val="0"/>
              <w:keepLines w:val="0"/>
              <w:numPr>
                <w:ilvl w:val="0"/>
                <w:numId w:val="0"/>
              </w:numPr>
              <w:suppressLineNumbers w:val="0"/>
              <w:bidi w:val="0"/>
              <w:spacing w:before="0" w:beforeAutospacing="0" w:after="0" w:afterAutospacing="0"/>
              <w:ind w:left="0" w:leftChars="0" w:right="0" w:rightChars="0" w:firstLine="480" w:firstLineChars="200"/>
              <w:rPr>
                <w:rFonts w:hint="default" w:eastAsia="宋体"/>
                <w:color w:val="auto"/>
                <w:lang w:val="en-US" w:eastAsia="zh-CN"/>
              </w:rPr>
            </w:pPr>
            <w:r>
              <w:rPr>
                <w:rFonts w:hint="eastAsia"/>
                <w:color w:val="auto"/>
              </w:rPr>
              <w:t>本项目主要收集</w:t>
            </w:r>
            <w:r>
              <w:rPr>
                <w:rFonts w:hint="eastAsia"/>
                <w:color w:val="auto"/>
                <w:lang w:val="en-US" w:eastAsia="zh-CN"/>
              </w:rPr>
              <w:t>卫滨区</w:t>
            </w:r>
            <w:r>
              <w:rPr>
                <w:rFonts w:hint="eastAsia"/>
                <w:color w:val="auto"/>
              </w:rPr>
              <w:t>及周边区域电池销售点、电动车维修店及汽车修理厂等产生的机动车铅酸蓄电池、电瓶车铅酸蓄电池、电力设施中的铅酸蓄电池等</w:t>
            </w:r>
            <w:r>
              <w:rPr>
                <w:rFonts w:hint="eastAsia"/>
                <w:color w:val="auto"/>
                <w:lang w:eastAsia="zh-CN"/>
              </w:rPr>
              <w:t>。</w:t>
            </w:r>
          </w:p>
          <w:p>
            <w:pPr>
              <w:keepNext w:val="0"/>
              <w:keepLines w:val="0"/>
              <w:numPr>
                <w:ilvl w:val="0"/>
                <w:numId w:val="0"/>
              </w:numPr>
              <w:suppressLineNumbers w:val="0"/>
              <w:bidi w:val="0"/>
              <w:spacing w:before="0" w:beforeAutospacing="0" w:after="0" w:afterAutospacing="0"/>
              <w:ind w:left="0" w:leftChars="0" w:right="0" w:rightChars="0" w:firstLine="480" w:firstLineChars="200"/>
              <w:rPr>
                <w:rFonts w:hint="eastAsia"/>
                <w:color w:val="auto"/>
                <w:lang w:val="en-US" w:eastAsia="zh-CN"/>
              </w:rPr>
            </w:pPr>
            <w:r>
              <w:rPr>
                <w:rFonts w:hint="eastAsia"/>
                <w:color w:val="auto"/>
                <w:lang w:val="en-US" w:eastAsia="zh-CN"/>
              </w:rPr>
              <w:t>（1）收集废铅蓄电池：本项目只对</w:t>
            </w:r>
            <w:bookmarkStart w:id="147" w:name="OLE_LINK258"/>
            <w:r>
              <w:rPr>
                <w:rFonts w:hint="eastAsia"/>
                <w:color w:val="auto"/>
                <w:lang w:val="en-US" w:eastAsia="zh-CN"/>
              </w:rPr>
              <w:t>废铅蓄电池进行收集、暂存</w:t>
            </w:r>
            <w:bookmarkEnd w:id="147"/>
            <w:r>
              <w:rPr>
                <w:rFonts w:hint="eastAsia"/>
                <w:color w:val="auto"/>
                <w:lang w:val="en-US" w:eastAsia="zh-CN"/>
              </w:rPr>
              <w:t>，不进行拆解、加工和处置。废铅蓄电池的收集包括装车、运输、卸车几个步骤。</w:t>
            </w:r>
          </w:p>
          <w:p>
            <w:pPr>
              <w:keepNext w:val="0"/>
              <w:keepLines w:val="0"/>
              <w:numPr>
                <w:ilvl w:val="0"/>
                <w:numId w:val="0"/>
              </w:numPr>
              <w:suppressLineNumbers w:val="0"/>
              <w:bidi w:val="0"/>
              <w:spacing w:before="0" w:beforeAutospacing="0" w:after="0" w:afterAutospacing="0"/>
              <w:ind w:left="0" w:leftChars="0" w:right="0" w:rightChars="0" w:firstLine="480" w:firstLineChars="200"/>
              <w:rPr>
                <w:rFonts w:hint="eastAsia" w:cs="Times New Roman"/>
                <w:color w:val="auto"/>
                <w:kern w:val="2"/>
                <w:sz w:val="24"/>
                <w:szCs w:val="24"/>
                <w:lang w:val="en-US" w:eastAsia="zh-CN" w:bidi="ar-SA"/>
              </w:rPr>
            </w:pPr>
            <w:r>
              <w:rPr>
                <w:rFonts w:hint="eastAsia" w:cs="Times New Roman"/>
                <w:color w:val="auto"/>
                <w:kern w:val="2"/>
                <w:sz w:val="24"/>
                <w:szCs w:val="24"/>
                <w:lang w:val="en-US" w:eastAsia="zh-CN" w:bidi="ar-SA"/>
              </w:rPr>
              <w:t>①装车</w:t>
            </w:r>
          </w:p>
          <w:p>
            <w:pPr>
              <w:keepNext w:val="0"/>
              <w:keepLines w:val="0"/>
              <w:suppressLineNumbers w:val="0"/>
              <w:bidi w:val="0"/>
              <w:spacing w:before="0" w:beforeAutospacing="0" w:after="0" w:afterAutospacing="0"/>
              <w:ind w:left="0" w:right="0"/>
              <w:rPr>
                <w:rFonts w:hint="eastAsia"/>
                <w:color w:val="auto"/>
                <w:lang w:val="en-US" w:eastAsia="zh-CN"/>
              </w:rPr>
            </w:pPr>
            <w:r>
              <w:rPr>
                <w:rFonts w:ascii="宋体" w:hAnsi="宋体" w:eastAsia="宋体" w:cs="宋体"/>
                <w:color w:val="auto"/>
                <w:sz w:val="24"/>
                <w:szCs w:val="24"/>
              </w:rPr>
              <w:t>本项目在废铅蓄电池收集过程中，拟配备专业的运输车辆进行收集，专用车辆为集装箱式，车厢内地面设置耐酸、防渗、防流失地面，内设金属外框加固收集箱。</w:t>
            </w:r>
            <w:r>
              <w:rPr>
                <w:rFonts w:hint="eastAsia"/>
                <w:color w:val="auto"/>
              </w:rPr>
              <w:t>收集过程中，先检查废旧铅酸蓄电池的外观，并在蓄电池上张贴标签，注明来源、规格、完好情况等信息。</w:t>
            </w:r>
            <w:bookmarkStart w:id="148" w:name="OLE_LINK235"/>
            <w:bookmarkStart w:id="149" w:name="OLE_LINK173"/>
            <w:bookmarkStart w:id="150" w:name="OLE_LINK231"/>
            <w:r>
              <w:rPr>
                <w:rFonts w:hint="eastAsia"/>
                <w:color w:val="auto"/>
                <w:lang w:val="en-US" w:eastAsia="zh-CN"/>
              </w:rPr>
              <w:t>完整电池先用塑料薄膜包装后再装入</w:t>
            </w:r>
            <w:r>
              <w:rPr>
                <w:color w:val="auto"/>
                <w:highlight w:val="none"/>
              </w:rPr>
              <w:t>塑料托盘</w:t>
            </w:r>
            <w:bookmarkStart w:id="151" w:name="OLE_LINK172"/>
            <w:r>
              <w:rPr>
                <w:rFonts w:hint="eastAsia"/>
                <w:color w:val="auto"/>
                <w:highlight w:val="none"/>
                <w:lang w:val="en-US" w:eastAsia="zh-CN"/>
              </w:rPr>
              <w:t>中储存</w:t>
            </w:r>
            <w:bookmarkEnd w:id="151"/>
            <w:r>
              <w:rPr>
                <w:rFonts w:hint="eastAsia"/>
                <w:color w:val="auto"/>
              </w:rPr>
              <w:t>；破损的废铅蓄电池放入</w:t>
            </w:r>
            <w:r>
              <w:rPr>
                <w:rFonts w:hint="eastAsia"/>
                <w:color w:val="auto"/>
                <w:lang w:val="en-US" w:eastAsia="zh-CN"/>
              </w:rPr>
              <w:t>带盖的</w:t>
            </w:r>
            <w:r>
              <w:rPr>
                <w:color w:val="auto"/>
              </w:rPr>
              <w:t>破损电池储存</w:t>
            </w:r>
            <w:r>
              <w:rPr>
                <w:rFonts w:hint="eastAsia"/>
                <w:color w:val="auto"/>
              </w:rPr>
              <w:t>箱</w:t>
            </w:r>
            <w:bookmarkEnd w:id="148"/>
            <w:r>
              <w:rPr>
                <w:rFonts w:hint="eastAsia"/>
                <w:color w:val="auto"/>
                <w:highlight w:val="none"/>
                <w:lang w:val="en-US" w:eastAsia="zh-CN"/>
              </w:rPr>
              <w:t>中储存</w:t>
            </w:r>
            <w:bookmarkEnd w:id="149"/>
            <w:r>
              <w:rPr>
                <w:rFonts w:hint="eastAsia"/>
                <w:color w:val="auto"/>
                <w:lang w:val="en-US" w:eastAsia="zh-CN"/>
              </w:rPr>
              <w:t>。</w:t>
            </w:r>
            <w:bookmarkEnd w:id="150"/>
          </w:p>
          <w:p>
            <w:pPr>
              <w:keepNext w:val="0"/>
              <w:keepLines w:val="0"/>
              <w:numPr>
                <w:ilvl w:val="0"/>
                <w:numId w:val="0"/>
              </w:numPr>
              <w:suppressLineNumbers w:val="0"/>
              <w:bidi w:val="0"/>
              <w:spacing w:before="0" w:beforeAutospacing="0" w:after="0" w:afterAutospacing="0"/>
              <w:ind w:left="0" w:leftChars="0" w:right="0" w:rightChars="0" w:firstLine="480" w:firstLineChars="200"/>
              <w:rPr>
                <w:rFonts w:hint="default" w:cs="Times New Roman"/>
                <w:color w:val="auto"/>
                <w:kern w:val="2"/>
                <w:sz w:val="24"/>
                <w:szCs w:val="24"/>
                <w:lang w:val="en-US" w:eastAsia="zh-CN" w:bidi="ar-SA"/>
              </w:rPr>
            </w:pPr>
            <w:r>
              <w:rPr>
                <w:rFonts w:hint="eastAsia" w:cs="Times New Roman"/>
                <w:color w:val="auto"/>
                <w:kern w:val="2"/>
                <w:sz w:val="24"/>
                <w:szCs w:val="24"/>
                <w:lang w:val="en-US" w:eastAsia="zh-CN" w:bidi="ar-SA"/>
              </w:rPr>
              <w:t>②</w:t>
            </w:r>
            <w:bookmarkStart w:id="152" w:name="OLE_LINK243"/>
            <w:r>
              <w:rPr>
                <w:rFonts w:hint="eastAsia" w:cs="Times New Roman"/>
                <w:color w:val="auto"/>
                <w:kern w:val="2"/>
                <w:sz w:val="24"/>
                <w:szCs w:val="24"/>
                <w:lang w:val="en-US" w:eastAsia="zh-CN" w:bidi="ar-SA"/>
              </w:rPr>
              <w:t>运输</w:t>
            </w:r>
            <w:bookmarkEnd w:id="152"/>
          </w:p>
          <w:p>
            <w:pPr>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color w:val="auto"/>
              </w:rPr>
              <w:t>本项目废铅蓄电池运输使用车辆为专用车辆。运输车辆设置防淋挡布，车辆上铺设耐酸大槽体，存放电池的耐酸、耐腐蚀的塑料容器放于耐酸槽体上。运输车辆按照《道路危险货物运输车辆标志》（GB13392-20</w:t>
            </w:r>
            <w:r>
              <w:rPr>
                <w:rFonts w:hint="eastAsia"/>
                <w:color w:val="auto"/>
                <w:lang w:val="en-US" w:eastAsia="zh-CN"/>
              </w:rPr>
              <w:t>23</w:t>
            </w:r>
            <w:r>
              <w:rPr>
                <w:rFonts w:hint="eastAsia"/>
                <w:color w:val="auto"/>
              </w:rPr>
              <w:t>）中规定悬挂相应标志。废铅蓄电池收集相关人员需具有应对危险废物包装发生破裂、泄漏或其他事故进行处理的能力。</w:t>
            </w:r>
            <w:r>
              <w:rPr>
                <w:rFonts w:hint="eastAsia" w:cs="Times New Roman"/>
                <w:color w:val="auto"/>
                <w:kern w:val="2"/>
                <w:sz w:val="24"/>
                <w:szCs w:val="24"/>
                <w:lang w:val="en-US" w:eastAsia="zh-CN" w:bidi="ar-SA"/>
              </w:rPr>
              <w:t>运输过程中应按照</w:t>
            </w:r>
            <w:r>
              <w:rPr>
                <w:color w:val="auto"/>
              </w:rPr>
              <w:t>《危险废物收集</w:t>
            </w:r>
            <w:r>
              <w:rPr>
                <w:rFonts w:hint="eastAsia"/>
                <w:color w:val="auto"/>
                <w:lang w:val="en-US" w:eastAsia="zh-CN"/>
              </w:rPr>
              <w:t xml:space="preserve"> </w:t>
            </w:r>
            <w:r>
              <w:rPr>
                <w:color w:val="auto"/>
              </w:rPr>
              <w:t>贮存</w:t>
            </w:r>
            <w:r>
              <w:rPr>
                <w:rFonts w:hint="eastAsia"/>
                <w:color w:val="auto"/>
                <w:lang w:val="en-US" w:eastAsia="zh-CN"/>
              </w:rPr>
              <w:t xml:space="preserve"> </w:t>
            </w:r>
            <w:r>
              <w:rPr>
                <w:color w:val="auto"/>
              </w:rPr>
              <w:t>运输技术规范》（HJ2025-2012）</w:t>
            </w:r>
            <w:r>
              <w:rPr>
                <w:rFonts w:hint="eastAsia"/>
                <w:color w:val="auto"/>
                <w:lang w:val="en-US" w:eastAsia="zh-CN"/>
              </w:rPr>
              <w:t>中的相关要求。</w:t>
            </w:r>
          </w:p>
          <w:p>
            <w:pPr>
              <w:keepNext w:val="0"/>
              <w:keepLines w:val="0"/>
              <w:suppressLineNumbers w:val="0"/>
              <w:bidi w:val="0"/>
              <w:spacing w:before="0" w:beforeAutospacing="0" w:after="0" w:afterAutospacing="0"/>
              <w:ind w:left="0" w:right="0"/>
              <w:rPr>
                <w:rFonts w:hint="eastAsia"/>
                <w:color w:val="auto"/>
                <w:lang w:val="en-US" w:eastAsia="zh-CN"/>
              </w:rPr>
            </w:pPr>
            <w:bookmarkStart w:id="153" w:name="OLE_LINK219"/>
            <w:r>
              <w:rPr>
                <w:rFonts w:hint="eastAsia"/>
                <w:color w:val="auto"/>
              </w:rPr>
              <w:t>由于废铅蓄电池收集点多而分散，因此由各收集点至储存仓库不具备固定线路的条件，没有固定路线。但转运路线确定的总体原则为：转运车辆运输途中不得经过医院、学校和居民区等人口密集区，避开饮用水水源保护区、自然保护区等敏感区域。</w:t>
            </w:r>
            <w:bookmarkEnd w:id="153"/>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③卸车</w:t>
            </w:r>
          </w:p>
          <w:p>
            <w:pPr>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rPr>
              <w:t>车辆运输收集的废铅蓄电池入厂</w:t>
            </w:r>
            <w:r>
              <w:rPr>
                <w:rFonts w:hint="eastAsia"/>
                <w:color w:val="auto"/>
                <w:lang w:val="en-US" w:eastAsia="zh-CN"/>
              </w:rPr>
              <w:t>后</w:t>
            </w:r>
            <w:r>
              <w:rPr>
                <w:rFonts w:hint="eastAsia"/>
                <w:color w:val="auto"/>
              </w:rPr>
              <w:t>，使用叉车对废电池进行卸车并运至地磅处进行称重，经称重后将完整的废电池暂存于完整电池储存区，</w:t>
            </w:r>
            <w:r>
              <w:rPr>
                <w:rFonts w:hint="eastAsia"/>
                <w:color w:val="auto"/>
                <w:lang w:val="en-US" w:eastAsia="zh-CN"/>
              </w:rPr>
              <w:t>并</w:t>
            </w:r>
            <w:r>
              <w:rPr>
                <w:rFonts w:hint="eastAsia"/>
                <w:color w:val="auto"/>
              </w:rPr>
              <w:t>检查废电池有无破损，有破损的废</w:t>
            </w:r>
            <w:bookmarkStart w:id="154" w:name="OLE_LINK17"/>
            <w:r>
              <w:rPr>
                <w:rFonts w:hint="eastAsia"/>
                <w:color w:val="auto"/>
              </w:rPr>
              <w:t>电池</w:t>
            </w:r>
            <w:bookmarkEnd w:id="154"/>
            <w:r>
              <w:rPr>
                <w:rFonts w:hint="eastAsia"/>
                <w:color w:val="auto"/>
              </w:rPr>
              <w:t>暂存于破损电池</w:t>
            </w:r>
            <w:r>
              <w:rPr>
                <w:rFonts w:hint="eastAsia"/>
                <w:color w:val="auto"/>
                <w:lang w:val="en-US" w:eastAsia="zh-CN"/>
              </w:rPr>
              <w:t>储存区</w:t>
            </w:r>
            <w:r>
              <w:rPr>
                <w:rFonts w:hint="eastAsia"/>
                <w:color w:val="auto"/>
              </w:rPr>
              <w:t>，并做好记录。</w:t>
            </w:r>
          </w:p>
          <w:p>
            <w:pPr>
              <w:keepNext w:val="0"/>
              <w:keepLines w:val="0"/>
              <w:numPr>
                <w:ilvl w:val="0"/>
                <w:numId w:val="0"/>
              </w:numPr>
              <w:suppressLineNumbers w:val="0"/>
              <w:bidi w:val="0"/>
              <w:spacing w:before="0" w:beforeAutospacing="0" w:after="0" w:afterAutospacing="0"/>
              <w:ind w:left="0" w:leftChars="0" w:right="0" w:rightChars="0" w:firstLine="480" w:firstLineChars="200"/>
              <w:rPr>
                <w:color w:val="auto"/>
                <w:highlight w:val="none"/>
              </w:rPr>
            </w:pPr>
            <w:r>
              <w:rPr>
                <w:rFonts w:ascii="Times New Roman" w:hAnsi="Times New Roman" w:eastAsia="宋体" w:cs="Times New Roman"/>
                <w:color w:val="auto"/>
                <w:kern w:val="2"/>
                <w:sz w:val="24"/>
                <w:szCs w:val="24"/>
                <w:lang w:val="en-US" w:eastAsia="zh-CN" w:bidi="ar-SA"/>
              </w:rPr>
              <w:t>（2）</w:t>
            </w:r>
            <w:r>
              <w:rPr>
                <w:rFonts w:hint="eastAsia"/>
                <w:color w:val="auto"/>
                <w:lang w:val="en-US" w:eastAsia="zh-CN"/>
              </w:rPr>
              <w:t>分类储存</w:t>
            </w:r>
            <w:r>
              <w:rPr>
                <w:rFonts w:hint="eastAsia"/>
                <w:color w:val="auto"/>
              </w:rPr>
              <w:t>：将完整的废铅蓄电池和有破损的废铅蓄电池分类贮存，完整的废铅蓄电池</w:t>
            </w:r>
            <w:r>
              <w:rPr>
                <w:rFonts w:hint="eastAsia"/>
                <w:color w:val="auto"/>
                <w:lang w:val="en-US" w:eastAsia="zh-CN"/>
              </w:rPr>
              <w:t>经塑料薄膜包装后</w:t>
            </w:r>
            <w:r>
              <w:rPr>
                <w:rFonts w:hint="eastAsia"/>
                <w:color w:val="auto"/>
              </w:rPr>
              <w:t>收集至塑料托盘内暂存于</w:t>
            </w:r>
            <w:bookmarkStart w:id="155" w:name="OLE_LINK174"/>
            <w:r>
              <w:rPr>
                <w:rFonts w:hint="eastAsia"/>
                <w:color w:val="auto"/>
              </w:rPr>
              <w:t>完整电池</w:t>
            </w:r>
            <w:r>
              <w:rPr>
                <w:rFonts w:hint="eastAsia"/>
                <w:color w:val="auto"/>
                <w:lang w:val="en-US" w:eastAsia="zh-CN"/>
              </w:rPr>
              <w:t>储存</w:t>
            </w:r>
            <w:r>
              <w:rPr>
                <w:rFonts w:hint="eastAsia"/>
                <w:color w:val="auto"/>
              </w:rPr>
              <w:t>区</w:t>
            </w:r>
            <w:bookmarkEnd w:id="155"/>
            <w:r>
              <w:rPr>
                <w:rFonts w:hint="eastAsia"/>
                <w:color w:val="auto"/>
              </w:rPr>
              <w:t>；有破损的废铅蓄电池收集至破损电池储存箱内</w:t>
            </w:r>
            <w:r>
              <w:rPr>
                <w:rFonts w:hint="eastAsia"/>
                <w:color w:val="auto"/>
                <w:lang w:val="en-US" w:eastAsia="zh-CN"/>
              </w:rPr>
              <w:t>暂存于</w:t>
            </w:r>
            <w:bookmarkStart w:id="156" w:name="OLE_LINK15"/>
            <w:r>
              <w:rPr>
                <w:rFonts w:hint="eastAsia"/>
                <w:color w:val="auto"/>
              </w:rPr>
              <w:t>破损电池</w:t>
            </w:r>
            <w:r>
              <w:rPr>
                <w:rFonts w:hint="eastAsia"/>
                <w:color w:val="auto"/>
                <w:lang w:val="en-US" w:eastAsia="zh-CN"/>
              </w:rPr>
              <w:t>储存区</w:t>
            </w:r>
            <w:bookmarkEnd w:id="156"/>
            <w:r>
              <w:rPr>
                <w:rFonts w:hint="eastAsia"/>
                <w:color w:val="auto"/>
              </w:rPr>
              <w:t>。破损电池</w:t>
            </w:r>
            <w:r>
              <w:rPr>
                <w:rFonts w:hint="eastAsia"/>
                <w:color w:val="auto"/>
                <w:lang w:val="en-US" w:eastAsia="zh-CN"/>
              </w:rPr>
              <w:t>储存区</w:t>
            </w:r>
            <w:r>
              <w:rPr>
                <w:rFonts w:hint="eastAsia"/>
                <w:color w:val="auto"/>
              </w:rPr>
              <w:t>设置导流</w:t>
            </w:r>
            <w:r>
              <w:rPr>
                <w:rFonts w:hint="eastAsia"/>
                <w:color w:val="auto"/>
                <w:lang w:val="en-US" w:eastAsia="zh-CN"/>
              </w:rPr>
              <w:t>槽</w:t>
            </w:r>
            <w:r>
              <w:rPr>
                <w:rFonts w:hint="eastAsia"/>
                <w:color w:val="auto"/>
              </w:rPr>
              <w:t>和废液收集池（0.5</w:t>
            </w:r>
            <w:r>
              <w:rPr>
                <w:rFonts w:hint="eastAsia"/>
                <w:color w:val="auto"/>
                <w:lang w:eastAsia="zh-CN"/>
              </w:rPr>
              <w:t>m³</w:t>
            </w:r>
            <w:r>
              <w:rPr>
                <w:rFonts w:hint="eastAsia"/>
                <w:color w:val="auto"/>
              </w:rPr>
              <w:t>）</w:t>
            </w:r>
            <w:r>
              <w:rPr>
                <w:rFonts w:hint="eastAsia"/>
                <w:color w:val="auto"/>
                <w:lang w:eastAsia="zh-CN"/>
              </w:rPr>
              <w:t>。</w:t>
            </w:r>
            <w:r>
              <w:rPr>
                <w:rFonts w:hint="eastAsia"/>
                <w:color w:val="auto"/>
              </w:rPr>
              <w:t>所产生的</w:t>
            </w:r>
            <w:bookmarkStart w:id="157" w:name="OLE_LINK171"/>
            <w:bookmarkStart w:id="158" w:name="OLE_LINK16"/>
            <w:r>
              <w:rPr>
                <w:rFonts w:hint="eastAsia"/>
                <w:color w:val="auto"/>
              </w:rPr>
              <w:t>泄漏</w:t>
            </w:r>
            <w:bookmarkEnd w:id="157"/>
            <w:bookmarkStart w:id="159" w:name="OLE_LINK169"/>
            <w:r>
              <w:rPr>
                <w:rFonts w:hint="eastAsia"/>
                <w:color w:val="auto"/>
              </w:rPr>
              <w:t>电解液</w:t>
            </w:r>
            <w:bookmarkEnd w:id="158"/>
            <w:bookmarkEnd w:id="159"/>
            <w:r>
              <w:rPr>
                <w:rFonts w:hint="eastAsia"/>
                <w:color w:val="auto"/>
              </w:rPr>
              <w:t>经</w:t>
            </w:r>
            <w:r>
              <w:rPr>
                <w:rFonts w:hint="eastAsia"/>
                <w:color w:val="auto"/>
                <w:highlight w:val="none"/>
              </w:rPr>
              <w:t>导流</w:t>
            </w:r>
            <w:r>
              <w:rPr>
                <w:rFonts w:hint="eastAsia"/>
                <w:color w:val="auto"/>
                <w:highlight w:val="none"/>
                <w:lang w:val="en-US" w:eastAsia="zh-CN"/>
              </w:rPr>
              <w:t>槽</w:t>
            </w:r>
            <w:r>
              <w:rPr>
                <w:color w:val="auto"/>
                <w:highlight w:val="none"/>
              </w:rPr>
              <w:t>进入</w:t>
            </w:r>
            <w:bookmarkStart w:id="160" w:name="OLE_LINK175"/>
            <w:r>
              <w:rPr>
                <w:color w:val="auto"/>
                <w:highlight w:val="none"/>
              </w:rPr>
              <w:t>废液收集池</w:t>
            </w:r>
            <w:bookmarkEnd w:id="160"/>
            <w:r>
              <w:rPr>
                <w:color w:val="auto"/>
                <w:highlight w:val="none"/>
              </w:rPr>
              <w:t>内</w:t>
            </w:r>
            <w:r>
              <w:rPr>
                <w:rFonts w:hint="eastAsia"/>
                <w:color w:val="auto"/>
                <w:highlight w:val="none"/>
                <w:lang w:eastAsia="zh-CN"/>
              </w:rPr>
              <w:t>，</w:t>
            </w:r>
            <w:r>
              <w:rPr>
                <w:rFonts w:hint="eastAsia"/>
                <w:color w:val="auto"/>
              </w:rPr>
              <w:t>泄漏电解液</w:t>
            </w:r>
            <w:r>
              <w:rPr>
                <w:rFonts w:hint="eastAsia"/>
                <w:color w:val="auto"/>
                <w:lang w:val="en-US" w:eastAsia="zh-CN"/>
              </w:rPr>
              <w:t>装在</w:t>
            </w:r>
            <w:bookmarkStart w:id="161" w:name="OLE_LINK259"/>
            <w:r>
              <w:rPr>
                <w:color w:val="auto"/>
              </w:rPr>
              <w:t>PVC桶</w:t>
            </w:r>
            <w:bookmarkEnd w:id="161"/>
            <w:r>
              <w:rPr>
                <w:rFonts w:hint="eastAsia"/>
                <w:color w:val="auto"/>
                <w:lang w:val="en-US" w:eastAsia="zh-CN"/>
              </w:rPr>
              <w:t>里储存在危废间</w:t>
            </w:r>
            <w:r>
              <w:rPr>
                <w:rFonts w:hint="eastAsia"/>
                <w:color w:val="auto"/>
                <w:lang w:eastAsia="zh-CN"/>
              </w:rPr>
              <w:t>，</w:t>
            </w:r>
            <w:r>
              <w:rPr>
                <w:rFonts w:hint="eastAsia"/>
                <w:color w:val="auto"/>
              </w:rPr>
              <w:t>电解液泄漏</w:t>
            </w:r>
            <w:r>
              <w:rPr>
                <w:rFonts w:hint="eastAsia"/>
                <w:color w:val="auto"/>
                <w:highlight w:val="none"/>
                <w:lang w:val="en-US" w:eastAsia="zh-CN"/>
              </w:rPr>
              <w:t>过程中产生的硫酸雾</w:t>
            </w:r>
            <w:r>
              <w:rPr>
                <w:color w:val="auto"/>
                <w:highlight w:val="none"/>
              </w:rPr>
              <w:t>收集后</w:t>
            </w:r>
            <w:r>
              <w:rPr>
                <w:rFonts w:hint="eastAsia"/>
                <w:color w:val="auto"/>
                <w:highlight w:val="none"/>
                <w:lang w:val="en-US" w:eastAsia="zh-CN"/>
              </w:rPr>
              <w:t>经一套</w:t>
            </w:r>
            <w:r>
              <w:rPr>
                <w:color w:val="auto"/>
                <w:highlight w:val="none"/>
              </w:rPr>
              <w:t>酸雾吸收塔处理。</w:t>
            </w:r>
          </w:p>
          <w:p>
            <w:pPr>
              <w:keepNext w:val="0"/>
              <w:keepLines w:val="0"/>
              <w:numPr>
                <w:ilvl w:val="0"/>
                <w:numId w:val="0"/>
              </w:numPr>
              <w:suppressLineNumbers w:val="0"/>
              <w:bidi w:val="0"/>
              <w:spacing w:before="0" w:beforeAutospacing="0" w:after="0" w:afterAutospacing="0"/>
              <w:ind w:left="0" w:leftChars="0" w:right="0" w:rightChars="0" w:firstLine="480" w:firstLineChars="200"/>
              <w:rPr>
                <w:rFonts w:hint="eastAsia"/>
                <w:color w:val="auto"/>
              </w:rPr>
            </w:pPr>
            <w:r>
              <w:rPr>
                <w:rFonts w:hint="eastAsia"/>
                <w:color w:val="auto"/>
              </w:rPr>
              <w:t>储存车间</w:t>
            </w:r>
            <w:r>
              <w:rPr>
                <w:rFonts w:hint="eastAsia"/>
                <w:color w:val="auto"/>
                <w:lang w:val="en-US" w:eastAsia="zh-CN"/>
              </w:rPr>
              <w:t>要</w:t>
            </w:r>
            <w:r>
              <w:rPr>
                <w:rFonts w:hint="eastAsia"/>
                <w:color w:val="auto"/>
              </w:rPr>
              <w:t>根据《危险废物贮存污染控制标准》（GB18597-2023）中的要求</w:t>
            </w:r>
            <w:r>
              <w:rPr>
                <w:rFonts w:hint="eastAsia"/>
                <w:color w:val="auto"/>
                <w:lang w:val="en-US" w:eastAsia="zh-CN"/>
              </w:rPr>
              <w:t>对</w:t>
            </w:r>
            <w:r>
              <w:rPr>
                <w:rFonts w:hint="eastAsia"/>
                <w:color w:val="auto"/>
              </w:rPr>
              <w:t>重点防渗区</w:t>
            </w:r>
            <w:r>
              <w:rPr>
                <w:rFonts w:hint="eastAsia"/>
                <w:color w:val="auto"/>
                <w:lang w:eastAsia="zh-CN"/>
              </w:rPr>
              <w:t>（</w:t>
            </w:r>
            <w:r>
              <w:rPr>
                <w:rFonts w:hint="eastAsia"/>
                <w:color w:val="auto"/>
              </w:rPr>
              <w:t>完整电池</w:t>
            </w:r>
            <w:r>
              <w:rPr>
                <w:rFonts w:hint="eastAsia"/>
                <w:color w:val="auto"/>
                <w:lang w:val="en-US" w:eastAsia="zh-CN"/>
              </w:rPr>
              <w:t>储存</w:t>
            </w:r>
            <w:r>
              <w:rPr>
                <w:rFonts w:hint="eastAsia"/>
                <w:color w:val="auto"/>
              </w:rPr>
              <w:t>区、破损电池</w:t>
            </w:r>
            <w:r>
              <w:rPr>
                <w:rFonts w:hint="eastAsia"/>
                <w:color w:val="auto"/>
                <w:lang w:val="en-US" w:eastAsia="zh-CN"/>
              </w:rPr>
              <w:t>储存区</w:t>
            </w:r>
            <w:r>
              <w:rPr>
                <w:rFonts w:hint="eastAsia"/>
                <w:color w:val="auto"/>
              </w:rPr>
              <w:t>、危废暂存间、废液收集池等</w:t>
            </w:r>
            <w:r>
              <w:rPr>
                <w:rFonts w:hint="eastAsia"/>
                <w:color w:val="auto"/>
                <w:lang w:eastAsia="zh-CN"/>
              </w:rPr>
              <w:t>）</w:t>
            </w:r>
            <w:r>
              <w:rPr>
                <w:rFonts w:hint="eastAsia"/>
                <w:color w:val="auto"/>
              </w:rPr>
              <w:t>采取防渗、防腐措施</w:t>
            </w:r>
            <w:r>
              <w:rPr>
                <w:rFonts w:hint="eastAsia"/>
                <w:color w:val="auto"/>
                <w:lang w:eastAsia="zh-CN"/>
              </w:rPr>
              <w:t>。</w:t>
            </w:r>
          </w:p>
          <w:p>
            <w:pPr>
              <w:keepNext w:val="0"/>
              <w:keepLines w:val="0"/>
              <w:numPr>
                <w:ilvl w:val="0"/>
                <w:numId w:val="0"/>
              </w:numPr>
              <w:suppressLineNumbers w:val="0"/>
              <w:bidi w:val="0"/>
              <w:spacing w:before="0" w:beforeAutospacing="0" w:after="0" w:afterAutospacing="0"/>
              <w:ind w:left="0" w:leftChars="0" w:right="0" w:rightChars="0" w:firstLine="480" w:firstLineChars="200"/>
              <w:rPr>
                <w:color w:val="auto"/>
              </w:rPr>
            </w:pPr>
            <w:r>
              <w:rPr>
                <w:rFonts w:hint="eastAsia"/>
                <w:color w:val="auto"/>
                <w:highlight w:val="none"/>
                <w:lang w:val="en-US" w:eastAsia="zh-CN"/>
              </w:rPr>
              <w:t>危废暂存间内</w:t>
            </w:r>
            <w:r>
              <w:rPr>
                <w:color w:val="auto"/>
                <w:highlight w:val="none"/>
              </w:rPr>
              <w:t>设有</w:t>
            </w:r>
            <w:r>
              <w:rPr>
                <w:color w:val="auto"/>
              </w:rPr>
              <w:t>PVC桶</w:t>
            </w:r>
            <w:r>
              <w:rPr>
                <w:color w:val="auto"/>
                <w:highlight w:val="none"/>
              </w:rPr>
              <w:t>（</w:t>
            </w:r>
            <w:bookmarkStart w:id="162" w:name="OLE_LINK238"/>
            <w:r>
              <w:rPr>
                <w:color w:val="auto"/>
                <w:highlight w:val="none"/>
              </w:rPr>
              <w:t>耐酸、防渗</w:t>
            </w:r>
            <w:bookmarkEnd w:id="162"/>
            <w:r>
              <w:rPr>
                <w:color w:val="auto"/>
                <w:highlight w:val="none"/>
              </w:rPr>
              <w:t>），主要用于收集破损</w:t>
            </w:r>
            <w:bookmarkStart w:id="163" w:name="OLE_LINK221"/>
            <w:r>
              <w:rPr>
                <w:rFonts w:hint="eastAsia"/>
                <w:color w:val="auto"/>
                <w:highlight w:val="none"/>
              </w:rPr>
              <w:t>废铅蓄</w:t>
            </w:r>
            <w:r>
              <w:rPr>
                <w:color w:val="auto"/>
                <w:highlight w:val="none"/>
              </w:rPr>
              <w:t>电池</w:t>
            </w:r>
            <w:bookmarkEnd w:id="163"/>
            <w:bookmarkStart w:id="164" w:name="OLE_LINK232"/>
            <w:r>
              <w:rPr>
                <w:rFonts w:hint="eastAsia"/>
                <w:color w:val="auto"/>
                <w:highlight w:val="none"/>
                <w:lang w:val="en-US" w:eastAsia="zh-CN"/>
              </w:rPr>
              <w:t>泄漏的</w:t>
            </w:r>
            <w:r>
              <w:rPr>
                <w:color w:val="auto"/>
                <w:highlight w:val="none"/>
              </w:rPr>
              <w:t>电解液</w:t>
            </w:r>
            <w:bookmarkEnd w:id="164"/>
            <w:r>
              <w:rPr>
                <w:color w:val="auto"/>
                <w:highlight w:val="none"/>
              </w:rPr>
              <w:t>。</w:t>
            </w:r>
            <w:r>
              <w:rPr>
                <w:rFonts w:hint="eastAsia"/>
                <w:color w:val="auto"/>
                <w:highlight w:val="none"/>
                <w:lang w:val="en-US" w:eastAsia="zh-CN"/>
              </w:rPr>
              <w:t>企业</w:t>
            </w:r>
            <w:r>
              <w:rPr>
                <w:rFonts w:hint="eastAsia"/>
                <w:color w:val="auto"/>
                <w:highlight w:val="none"/>
              </w:rPr>
              <w:t>在车间内建设15m</w:t>
            </w:r>
            <w:r>
              <w:rPr>
                <w:rFonts w:hint="eastAsia"/>
                <w:color w:val="auto"/>
                <w:highlight w:val="none"/>
                <w:vertAlign w:val="superscript"/>
              </w:rPr>
              <w:t>2</w:t>
            </w:r>
            <w:r>
              <w:rPr>
                <w:rFonts w:hint="eastAsia"/>
                <w:color w:val="auto"/>
                <w:highlight w:val="none"/>
              </w:rPr>
              <w:t>的</w:t>
            </w:r>
            <w:r>
              <w:rPr>
                <w:rFonts w:hint="eastAsia"/>
                <w:color w:val="auto"/>
                <w:highlight w:val="none"/>
                <w:lang w:val="en-US" w:eastAsia="zh-CN"/>
              </w:rPr>
              <w:t>危废暂存间</w:t>
            </w:r>
            <w:r>
              <w:rPr>
                <w:rFonts w:hint="eastAsia"/>
                <w:color w:val="auto"/>
                <w:highlight w:val="none"/>
              </w:rPr>
              <w:t>，</w:t>
            </w:r>
            <w:r>
              <w:rPr>
                <w:rFonts w:hint="eastAsia"/>
                <w:color w:val="auto"/>
              </w:rPr>
              <w:t>用于</w:t>
            </w:r>
            <w:r>
              <w:rPr>
                <w:rFonts w:hint="eastAsia"/>
                <w:color w:val="auto"/>
                <w:lang w:val="en-US" w:eastAsia="zh-CN"/>
              </w:rPr>
              <w:t>储存</w:t>
            </w:r>
            <w:r>
              <w:rPr>
                <w:rFonts w:hint="eastAsia"/>
                <w:color w:val="auto"/>
              </w:rPr>
              <w:t>收集废铅蓄电池储存过程产生的</w:t>
            </w:r>
            <w:r>
              <w:rPr>
                <w:rFonts w:hint="eastAsia"/>
                <w:color w:val="auto"/>
                <w:lang w:val="en-US" w:eastAsia="zh-CN"/>
              </w:rPr>
              <w:t>一些危废</w:t>
            </w:r>
            <w:r>
              <w:rPr>
                <w:rFonts w:hint="eastAsia"/>
                <w:color w:val="auto"/>
              </w:rPr>
              <w:t>。</w:t>
            </w:r>
          </w:p>
          <w:p>
            <w:pPr>
              <w:keepNext w:val="0"/>
              <w:keepLines w:val="0"/>
              <w:suppressLineNumbers w:val="0"/>
              <w:bidi w:val="0"/>
              <w:spacing w:before="0" w:beforeAutospacing="0" w:after="0" w:afterAutospacing="0"/>
              <w:ind w:left="0" w:right="0"/>
              <w:rPr>
                <w:rFonts w:hint="eastAsia"/>
                <w:color w:val="auto"/>
                <w:lang w:val="en-US" w:eastAsia="zh-CN"/>
              </w:rPr>
            </w:pPr>
            <w:r>
              <w:rPr>
                <w:color w:val="auto"/>
              </w:rPr>
              <w:t>（5）</w:t>
            </w:r>
            <w:r>
              <w:rPr>
                <w:rFonts w:hint="eastAsia"/>
                <w:color w:val="auto"/>
                <w:lang w:val="en-US" w:eastAsia="zh-CN"/>
              </w:rPr>
              <w:t>装车</w:t>
            </w:r>
            <w:r>
              <w:rPr>
                <w:color w:val="auto"/>
              </w:rPr>
              <w:t>转运：项目</w:t>
            </w:r>
            <w:r>
              <w:rPr>
                <w:rFonts w:hint="eastAsia"/>
                <w:color w:val="auto"/>
                <w:lang w:val="en-US" w:eastAsia="zh-CN"/>
              </w:rPr>
              <w:t>储存区</w:t>
            </w:r>
            <w:r>
              <w:rPr>
                <w:color w:val="auto"/>
              </w:rPr>
              <w:t>存量满足运输公司发货车辆额定载重后，立即装车转运，并做好登记工作，</w:t>
            </w:r>
            <w:r>
              <w:rPr>
                <w:color w:val="auto"/>
                <w:highlight w:val="none"/>
              </w:rPr>
              <w:t>保持</w:t>
            </w:r>
            <w:r>
              <w:rPr>
                <w:rFonts w:hint="eastAsia"/>
                <w:color w:val="auto"/>
                <w:highlight w:val="none"/>
                <w:lang w:val="en-US" w:eastAsia="zh-CN"/>
              </w:rPr>
              <w:t>储存</w:t>
            </w:r>
            <w:r>
              <w:rPr>
                <w:color w:val="auto"/>
                <w:highlight w:val="none"/>
              </w:rPr>
              <w:t>区存量不大于</w:t>
            </w:r>
            <w:r>
              <w:rPr>
                <w:rFonts w:hint="eastAsia"/>
                <w:color w:val="auto"/>
                <w:highlight w:val="none"/>
                <w:lang w:val="en-US" w:eastAsia="zh-CN"/>
              </w:rPr>
              <w:t>30</w:t>
            </w:r>
            <w:r>
              <w:rPr>
                <w:color w:val="auto"/>
                <w:highlight w:val="none"/>
              </w:rPr>
              <w:t>t</w:t>
            </w:r>
            <w:r>
              <w:rPr>
                <w:rFonts w:hint="eastAsia"/>
                <w:color w:val="auto"/>
                <w:highlight w:val="none"/>
              </w:rPr>
              <w:t>/d</w:t>
            </w:r>
            <w:r>
              <w:rPr>
                <w:color w:val="auto"/>
                <w:highlight w:val="none"/>
              </w:rPr>
              <w:t>，</w:t>
            </w:r>
            <w:r>
              <w:rPr>
                <w:color w:val="auto"/>
              </w:rPr>
              <w:t>及时转运，最长贮存时间不超过</w:t>
            </w:r>
            <w:r>
              <w:rPr>
                <w:rFonts w:hint="eastAsia"/>
                <w:color w:val="auto"/>
                <w:lang w:val="en-US" w:eastAsia="zh-CN"/>
              </w:rPr>
              <w:t>3</w:t>
            </w:r>
            <w:r>
              <w:rPr>
                <w:rFonts w:hint="eastAsia"/>
                <w:color w:val="auto"/>
              </w:rPr>
              <w:t>天</w:t>
            </w:r>
            <w:r>
              <w:rPr>
                <w:color w:val="auto"/>
              </w:rPr>
              <w:t>。装车时连同塑料托盘和破损电池储存</w:t>
            </w:r>
            <w:r>
              <w:rPr>
                <w:rFonts w:hint="eastAsia"/>
                <w:color w:val="auto"/>
              </w:rPr>
              <w:t>箱</w:t>
            </w:r>
            <w:r>
              <w:rPr>
                <w:color w:val="auto"/>
              </w:rPr>
              <w:t>一并装车，降低搬运过程中使电池受损的可能。同时，优先安排破损电池装车，减少废气影响。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eastAsiaTheme="minorEastAsia"/>
                <w:b/>
                <w:bCs/>
                <w:color w:val="auto"/>
                <w:sz w:val="24"/>
              </w:rPr>
            </w:pPr>
            <w:r>
              <w:rPr>
                <w:rFonts w:hint="eastAsia" w:eastAsiaTheme="minorEastAsia"/>
                <w:b/>
                <w:bCs/>
                <w:color w:val="auto"/>
                <w:sz w:val="24"/>
              </w:rPr>
              <w:t>2</w:t>
            </w:r>
            <w:r>
              <w:rPr>
                <w:rFonts w:hAnsiTheme="minorEastAsia" w:eastAsiaTheme="minorEastAsia"/>
                <w:b/>
                <w:bCs/>
                <w:color w:val="auto"/>
                <w:sz w:val="24"/>
              </w:rPr>
              <w:t>、主要污染工序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color w:val="auto"/>
                <w:sz w:val="24"/>
              </w:rPr>
            </w:pPr>
            <w:r>
              <w:rPr>
                <w:color w:val="auto"/>
                <w:sz w:val="24"/>
              </w:rPr>
              <w:t>项目生产过程中主要污染因素为废气、废水、噪声和固废</w:t>
            </w:r>
            <w:r>
              <w:rPr>
                <w:rFonts w:hint="eastAsia"/>
                <w:color w:val="auto"/>
                <w:sz w:val="24"/>
              </w:rPr>
              <w:t>，详</w:t>
            </w:r>
            <w:r>
              <w:rPr>
                <w:color w:val="auto"/>
                <w:sz w:val="24"/>
              </w:rPr>
              <w:t>见下表。</w:t>
            </w:r>
          </w:p>
          <w:p>
            <w:pPr>
              <w:pStyle w:val="12"/>
              <w:keepNext w:val="0"/>
              <w:keepLines w:val="0"/>
              <w:suppressLineNumbers w:val="0"/>
              <w:bidi w:val="0"/>
              <w:spacing w:before="0" w:beforeAutospacing="0" w:after="0" w:afterAutospacing="0"/>
              <w:ind w:left="0" w:right="0"/>
              <w:rPr>
                <w:rFonts w:hint="default"/>
                <w:color w:val="auto"/>
              </w:rPr>
            </w:pPr>
            <w:r>
              <w:rPr>
                <w:rFonts w:hint="eastAsia"/>
                <w:color w:val="auto"/>
              </w:rPr>
              <w:t>表</w:t>
            </w:r>
            <w:r>
              <w:rPr>
                <w:rFonts w:hint="eastAsia"/>
                <w:color w:val="auto"/>
                <w:lang w:val="en-US" w:eastAsia="zh-CN"/>
              </w:rPr>
              <w:t xml:space="preserve"> 2-8    </w:t>
            </w:r>
            <w:r>
              <w:rPr>
                <w:rFonts w:hint="eastAsia"/>
                <w:color w:val="auto"/>
              </w:rPr>
              <w:t>项目产污环节一览表</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1948"/>
              <w:gridCol w:w="1707"/>
              <w:gridCol w:w="3928"/>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b/>
                      <w:bCs/>
                      <w:color w:val="auto"/>
                      <w:kern w:val="2"/>
                      <w:sz w:val="21"/>
                    </w:rPr>
                  </w:pPr>
                  <w:r>
                    <w:rPr>
                      <w:b/>
                      <w:bCs/>
                      <w:color w:val="auto"/>
                      <w:kern w:val="2"/>
                      <w:sz w:val="21"/>
                    </w:rPr>
                    <w:t>污染因素</w:t>
                  </w:r>
                </w:p>
              </w:tc>
              <w:tc>
                <w:tcPr>
                  <w:tcW w:w="1162"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b/>
                      <w:bCs/>
                      <w:color w:val="auto"/>
                      <w:kern w:val="2"/>
                      <w:sz w:val="21"/>
                    </w:rPr>
                  </w:pPr>
                  <w:r>
                    <w:rPr>
                      <w:b/>
                      <w:bCs/>
                      <w:color w:val="auto"/>
                      <w:kern w:val="2"/>
                      <w:sz w:val="21"/>
                    </w:rPr>
                    <w:t>产污环节</w:t>
                  </w:r>
                </w:p>
              </w:tc>
              <w:tc>
                <w:tcPr>
                  <w:tcW w:w="1018"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b/>
                      <w:bCs/>
                      <w:color w:val="auto"/>
                      <w:kern w:val="2"/>
                      <w:sz w:val="21"/>
                    </w:rPr>
                  </w:pPr>
                  <w:r>
                    <w:rPr>
                      <w:b/>
                      <w:bCs/>
                      <w:color w:val="auto"/>
                      <w:kern w:val="2"/>
                      <w:sz w:val="21"/>
                    </w:rPr>
                    <w:t>污染物</w:t>
                  </w:r>
                </w:p>
              </w:tc>
              <w:tc>
                <w:tcPr>
                  <w:tcW w:w="2343"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b/>
                      <w:bCs/>
                      <w:color w:val="auto"/>
                      <w:kern w:val="2"/>
                      <w:sz w:val="21"/>
                    </w:rPr>
                  </w:pPr>
                  <w:r>
                    <w:rPr>
                      <w:b/>
                      <w:bCs/>
                      <w:color w:val="auto"/>
                      <w:kern w:val="2"/>
                      <w:sz w:val="21"/>
                    </w:rPr>
                    <w:t>污染防治措施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color w:val="auto"/>
                      <w:kern w:val="2"/>
                      <w:sz w:val="21"/>
                    </w:rPr>
                    <w:t>废气</w:t>
                  </w:r>
                </w:p>
              </w:tc>
              <w:tc>
                <w:tcPr>
                  <w:tcW w:w="1162"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eastAsia="宋体"/>
                      <w:color w:val="auto"/>
                      <w:kern w:val="2"/>
                      <w:sz w:val="21"/>
                      <w:lang w:val="en-US" w:eastAsia="zh-CN"/>
                    </w:rPr>
                  </w:pPr>
                  <w:r>
                    <w:rPr>
                      <w:rFonts w:hint="eastAsia" w:ascii="Times New Roman" w:hAnsi="Times New Roman" w:eastAsia="宋体"/>
                      <w:color w:val="auto"/>
                      <w:kern w:val="2"/>
                      <w:sz w:val="21"/>
                      <w:lang w:val="en-US" w:eastAsia="zh-CN"/>
                    </w:rPr>
                    <w:t>破损电池</w:t>
                  </w:r>
                  <w:r>
                    <w:rPr>
                      <w:rFonts w:hint="eastAsia"/>
                      <w:color w:val="auto"/>
                      <w:kern w:val="2"/>
                      <w:sz w:val="21"/>
                      <w:lang w:val="en-US" w:eastAsia="zh-CN"/>
                    </w:rPr>
                    <w:t>储存</w:t>
                  </w:r>
                  <w:r>
                    <w:rPr>
                      <w:rFonts w:hint="eastAsia" w:ascii="Times New Roman" w:hAnsi="Times New Roman" w:eastAsia="宋体"/>
                      <w:color w:val="auto"/>
                      <w:kern w:val="2"/>
                      <w:sz w:val="21"/>
                      <w:lang w:val="en-US" w:eastAsia="zh-CN"/>
                    </w:rPr>
                    <w:t>区</w:t>
                  </w:r>
                </w:p>
              </w:tc>
              <w:tc>
                <w:tcPr>
                  <w:tcW w:w="1018"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eastAsia" w:ascii="Times New Roman" w:hAnsi="Times New Roman" w:eastAsia="宋体"/>
                      <w:color w:val="auto"/>
                      <w:kern w:val="2"/>
                      <w:sz w:val="21"/>
                      <w:lang w:val="en-US" w:eastAsia="zh-CN"/>
                    </w:rPr>
                  </w:pPr>
                  <w:r>
                    <w:rPr>
                      <w:rFonts w:hint="eastAsia" w:ascii="Times New Roman" w:hAnsi="Times New Roman" w:eastAsia="宋体"/>
                      <w:color w:val="auto"/>
                      <w:kern w:val="2"/>
                      <w:sz w:val="21"/>
                      <w:lang w:val="en-US" w:eastAsia="zh-CN"/>
                    </w:rPr>
                    <w:t>硫酸雾</w:t>
                  </w:r>
                </w:p>
              </w:tc>
              <w:tc>
                <w:tcPr>
                  <w:tcW w:w="2343"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eastAsia" w:ascii="Times New Roman" w:hAnsi="Times New Roman" w:eastAsia="宋体"/>
                      <w:color w:val="auto"/>
                      <w:kern w:val="2"/>
                      <w:sz w:val="21"/>
                      <w:lang w:val="en-US" w:eastAsia="zh-CN"/>
                    </w:rPr>
                  </w:pPr>
                  <w:r>
                    <w:rPr>
                      <w:rFonts w:hint="eastAsia" w:ascii="Times New Roman" w:hAnsi="Times New Roman" w:eastAsia="宋体"/>
                      <w:color w:val="auto"/>
                      <w:kern w:val="2"/>
                      <w:sz w:val="21"/>
                      <w:lang w:val="en-US" w:eastAsia="zh-CN"/>
                    </w:rPr>
                    <w:t>硫酸雾废气经收集后送至1套酸雾吸收塔处理，后经1根15m高排气筒（DA001）有组织排放。</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color w:val="auto"/>
                      <w:kern w:val="2"/>
                      <w:sz w:val="21"/>
                    </w:rPr>
                    <w:t>废水</w:t>
                  </w:r>
                </w:p>
              </w:tc>
              <w:tc>
                <w:tcPr>
                  <w:tcW w:w="1162"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color w:val="auto"/>
                      <w:kern w:val="2"/>
                      <w:sz w:val="21"/>
                    </w:rPr>
                    <w:t>生活污水</w:t>
                  </w:r>
                </w:p>
              </w:tc>
              <w:tc>
                <w:tcPr>
                  <w:tcW w:w="1018"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color w:val="auto"/>
                      <w:kern w:val="2"/>
                      <w:sz w:val="21"/>
                    </w:rPr>
                    <w:t>COD、SS、</w:t>
                  </w:r>
                </w:p>
                <w:p>
                  <w:pPr>
                    <w:pStyle w:val="28"/>
                    <w:keepNext w:val="0"/>
                    <w:keepLines w:val="0"/>
                    <w:widowControl/>
                    <w:suppressLineNumbers w:val="0"/>
                    <w:bidi w:val="0"/>
                    <w:spacing w:before="0" w:beforeAutospacing="0" w:after="0" w:afterAutospacing="0"/>
                    <w:ind w:left="0" w:right="0"/>
                    <w:rPr>
                      <w:color w:val="auto"/>
                      <w:kern w:val="2"/>
                      <w:sz w:val="21"/>
                    </w:rPr>
                  </w:pPr>
                  <w:r>
                    <w:rPr>
                      <w:color w:val="auto"/>
                      <w:kern w:val="2"/>
                      <w:sz w:val="21"/>
                    </w:rPr>
                    <w:t>NH</w:t>
                  </w:r>
                  <w:r>
                    <w:rPr>
                      <w:color w:val="auto"/>
                      <w:kern w:val="2"/>
                      <w:sz w:val="21"/>
                      <w:vertAlign w:val="subscript"/>
                    </w:rPr>
                    <w:t>3</w:t>
                  </w:r>
                  <w:r>
                    <w:rPr>
                      <w:color w:val="auto"/>
                      <w:kern w:val="2"/>
                      <w:sz w:val="21"/>
                    </w:rPr>
                    <w:t>-N、TP</w:t>
                  </w:r>
                  <w:r>
                    <w:rPr>
                      <w:rFonts w:hint="eastAsia"/>
                      <w:color w:val="auto"/>
                      <w:kern w:val="2"/>
                      <w:sz w:val="21"/>
                    </w:rPr>
                    <w:t>、TN</w:t>
                  </w:r>
                </w:p>
              </w:tc>
              <w:tc>
                <w:tcPr>
                  <w:tcW w:w="2343"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eastAsia" w:ascii="Times New Roman" w:hAnsi="Times New Roman" w:eastAsia="宋体"/>
                      <w:color w:val="auto"/>
                      <w:kern w:val="2"/>
                      <w:sz w:val="21"/>
                      <w:lang w:eastAsia="zh-CN"/>
                    </w:rPr>
                  </w:pPr>
                  <w:r>
                    <w:rPr>
                      <w:rFonts w:hAnsiTheme="minorEastAsia" w:eastAsiaTheme="minorEastAsia"/>
                      <w:color w:val="auto"/>
                      <w:sz w:val="21"/>
                      <w:szCs w:val="21"/>
                    </w:rPr>
                    <w:t>生活污水经化粪池处理后，</w:t>
                  </w:r>
                  <w:r>
                    <w:rPr>
                      <w:rFonts w:hint="eastAsia" w:hAnsiTheme="minorEastAsia" w:eastAsiaTheme="minorEastAsia"/>
                      <w:color w:val="auto"/>
                      <w:sz w:val="21"/>
                      <w:szCs w:val="21"/>
                      <w:lang w:val="en-US" w:eastAsia="zh-CN"/>
                    </w:rPr>
                    <w:t>定期清运</w:t>
                  </w:r>
                  <w:r>
                    <w:rPr>
                      <w:rFonts w:hint="eastAsia" w:hAnsiTheme="minorEastAsia" w:eastAsiaTheme="minorEastAsia"/>
                      <w:color w:val="auto"/>
                      <w:sz w:val="21"/>
                      <w:szCs w:val="21"/>
                      <w:lang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color w:val="auto"/>
                      <w:kern w:val="2"/>
                      <w:sz w:val="21"/>
                    </w:rPr>
                    <w:t>噪声</w:t>
                  </w:r>
                </w:p>
              </w:tc>
              <w:tc>
                <w:tcPr>
                  <w:tcW w:w="1162"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rFonts w:hint="eastAsia"/>
                      <w:color w:val="auto"/>
                      <w:kern w:val="2"/>
                      <w:sz w:val="21"/>
                      <w:lang w:val="en-US" w:eastAsia="zh-CN"/>
                    </w:rPr>
                    <w:t>收集、转运工程</w:t>
                  </w:r>
                </w:p>
              </w:tc>
              <w:tc>
                <w:tcPr>
                  <w:tcW w:w="1018"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color w:val="auto"/>
                      <w:kern w:val="2"/>
                      <w:sz w:val="21"/>
                    </w:rPr>
                    <w:t>噪声</w:t>
                  </w:r>
                </w:p>
              </w:tc>
              <w:tc>
                <w:tcPr>
                  <w:tcW w:w="2343"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color w:val="auto"/>
                      <w:kern w:val="2"/>
                      <w:sz w:val="21"/>
                    </w:rPr>
                    <w:t>基础减振、厂房密闭隔音等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 w:type="pct"/>
                  <w:vMerge w:val="restart"/>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lang w:val="en-US" w:eastAsia="zh-CN"/>
                    </w:rPr>
                  </w:pPr>
                  <w:r>
                    <w:rPr>
                      <w:rFonts w:hint="eastAsia"/>
                      <w:color w:val="auto"/>
                      <w:kern w:val="2"/>
                      <w:sz w:val="21"/>
                      <w:lang w:val="en-US" w:eastAsia="zh-CN"/>
                    </w:rPr>
                    <w:t>危险废物</w:t>
                  </w:r>
                </w:p>
              </w:tc>
              <w:tc>
                <w:tcPr>
                  <w:tcW w:w="1162"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rPr>
                  </w:pPr>
                  <w:r>
                    <w:rPr>
                      <w:rFonts w:hint="eastAsia"/>
                      <w:color w:val="auto"/>
                      <w:kern w:val="2"/>
                      <w:sz w:val="21"/>
                      <w:lang w:val="en-US" w:eastAsia="zh-CN"/>
                    </w:rPr>
                    <w:t>生产过程中</w:t>
                  </w:r>
                </w:p>
              </w:tc>
              <w:tc>
                <w:tcPr>
                  <w:tcW w:w="1018"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rFonts w:hint="eastAsia"/>
                      <w:color w:val="auto"/>
                      <w:kern w:val="2"/>
                      <w:sz w:val="21"/>
                      <w:lang w:val="en-US" w:eastAsia="zh-CN"/>
                    </w:rPr>
                    <w:t>废劳保用品</w:t>
                  </w:r>
                </w:p>
              </w:tc>
              <w:tc>
                <w:tcPr>
                  <w:tcW w:w="2343" w:type="pct"/>
                  <w:vMerge w:val="restart"/>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lang w:val="en-US" w:eastAsia="zh-CN"/>
                    </w:rPr>
                  </w:pPr>
                  <w:r>
                    <w:rPr>
                      <w:color w:val="auto"/>
                      <w:kern w:val="2"/>
                      <w:sz w:val="21"/>
                    </w:rPr>
                    <w:t>密闭桶装后，在</w:t>
                  </w:r>
                  <w:r>
                    <w:rPr>
                      <w:rFonts w:hint="eastAsia"/>
                      <w:color w:val="auto"/>
                      <w:kern w:val="2"/>
                      <w:sz w:val="21"/>
                      <w:lang w:val="en-US" w:eastAsia="zh-CN"/>
                    </w:rPr>
                    <w:t>危废暂存间</w:t>
                  </w:r>
                  <w:r>
                    <w:rPr>
                      <w:color w:val="auto"/>
                      <w:kern w:val="2"/>
                      <w:sz w:val="21"/>
                    </w:rPr>
                    <w:t>存放，定期委托有资质的单位处置</w:t>
                  </w:r>
                  <w:r>
                    <w:rPr>
                      <w:rFonts w:hint="eastAsia"/>
                      <w:color w:val="auto"/>
                      <w:kern w:val="2"/>
                      <w:sz w:val="21"/>
                      <w:lang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 w:type="pct"/>
                  <w:vMerge w:val="continue"/>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lang w:val="en-US" w:eastAsia="zh-CN"/>
                    </w:rPr>
                  </w:pPr>
                </w:p>
              </w:tc>
              <w:tc>
                <w:tcPr>
                  <w:tcW w:w="1162"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lang w:val="en-US" w:eastAsia="zh-CN"/>
                    </w:rPr>
                  </w:pPr>
                  <w:r>
                    <w:rPr>
                      <w:color w:val="auto"/>
                      <w:kern w:val="2"/>
                      <w:sz w:val="21"/>
                    </w:rPr>
                    <w:t>破损电池</w:t>
                  </w:r>
                </w:p>
              </w:tc>
              <w:tc>
                <w:tcPr>
                  <w:tcW w:w="1018"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color w:val="auto"/>
                      <w:kern w:val="2"/>
                      <w:sz w:val="21"/>
                    </w:rPr>
                    <w:t>废电解液</w:t>
                  </w:r>
                </w:p>
              </w:tc>
              <w:tc>
                <w:tcPr>
                  <w:tcW w:w="2343" w:type="pct"/>
                  <w:vMerge w:val="continue"/>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 w:type="pct"/>
                  <w:vMerge w:val="continue"/>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lang w:val="en-US" w:eastAsia="zh-CN"/>
                    </w:rPr>
                  </w:pPr>
                </w:p>
              </w:tc>
              <w:tc>
                <w:tcPr>
                  <w:tcW w:w="1162"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color w:val="auto"/>
                      <w:kern w:val="2"/>
                      <w:sz w:val="21"/>
                    </w:rPr>
                    <w:t>废气治理设施</w:t>
                  </w:r>
                </w:p>
                <w:p>
                  <w:pPr>
                    <w:pStyle w:val="28"/>
                    <w:keepNext w:val="0"/>
                    <w:keepLines w:val="0"/>
                    <w:widowControl/>
                    <w:suppressLineNumbers w:val="0"/>
                    <w:bidi w:val="0"/>
                    <w:spacing w:before="0" w:beforeAutospacing="0" w:after="0" w:afterAutospacing="0"/>
                    <w:ind w:left="0" w:right="0"/>
                    <w:rPr>
                      <w:rFonts w:hint="default"/>
                      <w:color w:val="auto"/>
                      <w:kern w:val="2"/>
                      <w:sz w:val="21"/>
                      <w:lang w:val="en-US" w:eastAsia="zh-CN"/>
                    </w:rPr>
                  </w:pPr>
                  <w:r>
                    <w:rPr>
                      <w:color w:val="auto"/>
                      <w:kern w:val="2"/>
                      <w:sz w:val="21"/>
                    </w:rPr>
                    <w:t>（酸雾吸收塔）</w:t>
                  </w:r>
                </w:p>
              </w:tc>
              <w:tc>
                <w:tcPr>
                  <w:tcW w:w="1018"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lang w:val="en-US" w:eastAsia="zh-CN"/>
                    </w:rPr>
                  </w:pPr>
                  <w:r>
                    <w:rPr>
                      <w:color w:val="auto"/>
                      <w:kern w:val="2"/>
                      <w:sz w:val="21"/>
                    </w:rPr>
                    <w:t>废吸收液</w:t>
                  </w:r>
                </w:p>
              </w:tc>
              <w:tc>
                <w:tcPr>
                  <w:tcW w:w="2343" w:type="pct"/>
                  <w:vMerge w:val="continue"/>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lang w:val="en-US" w:eastAsia="zh-CN"/>
                    </w:rPr>
                  </w:pPr>
                </w:p>
              </w:tc>
            </w:tr>
          </w:tbl>
          <w:p>
            <w:pPr>
              <w:keepNext w:val="0"/>
              <w:keepLines w:val="0"/>
              <w:suppressLineNumbers w:val="0"/>
              <w:spacing w:before="0" w:beforeAutospacing="0" w:after="0" w:afterAutospacing="0"/>
              <w:ind w:left="0" w:right="0" w:firstLine="0" w:firstLineChars="0"/>
              <w:rPr>
                <w:color w:val="auto"/>
              </w:rPr>
            </w:pPr>
          </w:p>
          <w:p>
            <w:pPr>
              <w:keepNext w:val="0"/>
              <w:keepLines w:val="0"/>
              <w:suppressLineNumbers w:val="0"/>
              <w:spacing w:before="0" w:beforeAutospacing="0" w:after="0" w:afterAutospacing="0"/>
              <w:ind w:left="0" w:right="0" w:firstLine="0" w:firstLineChars="0"/>
              <w:rPr>
                <w:color w:val="auto"/>
              </w:rPr>
            </w:pPr>
          </w:p>
          <w:p>
            <w:pPr>
              <w:keepNext w:val="0"/>
              <w:keepLines w:val="0"/>
              <w:suppressLineNumbers w:val="0"/>
              <w:spacing w:before="0" w:beforeAutospacing="0" w:after="0" w:afterAutospacing="0"/>
              <w:ind w:left="0" w:right="0" w:firstLine="0" w:firstLineChars="0"/>
              <w:rPr>
                <w:color w:val="auto"/>
              </w:rPr>
            </w:pPr>
          </w:p>
          <w:p>
            <w:pPr>
              <w:keepNext w:val="0"/>
              <w:keepLines w:val="0"/>
              <w:suppressLineNumbers w:val="0"/>
              <w:spacing w:before="0" w:beforeAutospacing="0" w:after="0" w:afterAutospacing="0"/>
              <w:ind w:left="0" w:right="0" w:firstLine="0" w:firstLineChars="0"/>
              <w:rPr>
                <w:color w:val="auto"/>
              </w:rPr>
            </w:pPr>
          </w:p>
          <w:p>
            <w:pPr>
              <w:keepNext w:val="0"/>
              <w:keepLines w:val="0"/>
              <w:suppressLineNumbers w:val="0"/>
              <w:spacing w:before="0" w:beforeAutospacing="0" w:after="0" w:afterAutospacing="0"/>
              <w:ind w:left="0" w:right="0" w:firstLine="0" w:firstLineChars="0"/>
              <w:rPr>
                <w:color w:val="auto"/>
              </w:rPr>
            </w:pPr>
          </w:p>
          <w:p>
            <w:pPr>
              <w:keepNext w:val="0"/>
              <w:keepLines w:val="0"/>
              <w:suppressLineNumbers w:val="0"/>
              <w:spacing w:before="0" w:beforeAutospacing="0" w:after="0" w:afterAutospacing="0"/>
              <w:ind w:left="0" w:right="0" w:firstLine="0" w:firstLineChars="0"/>
              <w:rPr>
                <w:color w:val="auto"/>
              </w:rPr>
            </w:pPr>
          </w:p>
          <w:p>
            <w:pPr>
              <w:keepNext w:val="0"/>
              <w:keepLines w:val="0"/>
              <w:suppressLineNumbers w:val="0"/>
              <w:spacing w:before="0" w:beforeAutospacing="0" w:after="0" w:afterAutospacing="0"/>
              <w:ind w:left="0" w:right="0" w:firstLine="0" w:firstLineChars="0"/>
              <w:rPr>
                <w:color w:val="auto"/>
              </w:rPr>
            </w:pPr>
          </w:p>
          <w:p>
            <w:pPr>
              <w:keepNext w:val="0"/>
              <w:keepLines w:val="0"/>
              <w:suppressLineNumbers w:val="0"/>
              <w:spacing w:before="0" w:beforeAutospacing="0" w:after="0" w:afterAutospacing="0"/>
              <w:ind w:left="0" w:right="0" w:firstLine="0" w:firstLineChars="0"/>
              <w:rPr>
                <w:color w:val="auto"/>
              </w:rPr>
            </w:pPr>
          </w:p>
          <w:p>
            <w:pPr>
              <w:keepNext w:val="0"/>
              <w:keepLines w:val="0"/>
              <w:suppressLineNumbers w:val="0"/>
              <w:spacing w:before="0" w:beforeAutospacing="0" w:after="0" w:afterAutospacing="0"/>
              <w:ind w:left="0" w:right="0" w:firstLine="0" w:firstLineChars="0"/>
              <w:rPr>
                <w:color w:val="auto"/>
              </w:rPr>
            </w:pPr>
          </w:p>
        </w:tc>
      </w:tr>
      <w:bookmarkEnd w:id="100"/>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01" w:hRule="atLeast"/>
          <w:jc w:val="center"/>
        </w:trPr>
        <w:tc>
          <w:tcPr>
            <w:tcW w:w="45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color w:val="auto"/>
                <w:szCs w:val="21"/>
              </w:rPr>
            </w:pPr>
            <w:r>
              <w:rPr>
                <w:rFonts w:hint="eastAsia"/>
                <w:color w:val="auto"/>
                <w:sz w:val="24"/>
              </w:rPr>
              <w:t>与项目有关的原有环境污染问题</w:t>
            </w:r>
          </w:p>
        </w:tc>
        <w:tc>
          <w:tcPr>
            <w:tcW w:w="8595" w:type="dxa"/>
            <w:noWrap/>
            <w:vAlign w:val="center"/>
          </w:tcPr>
          <w:p>
            <w:pPr>
              <w:keepNext w:val="0"/>
              <w:keepLines w:val="0"/>
              <w:suppressLineNumbers w:val="0"/>
              <w:spacing w:before="0" w:beforeAutospacing="0" w:after="0" w:afterAutospacing="0" w:line="440" w:lineRule="exact"/>
              <w:ind w:left="0" w:right="0" w:firstLine="480" w:firstLineChars="200"/>
              <w:jc w:val="left"/>
              <w:rPr>
                <w:color w:val="auto"/>
                <w:sz w:val="24"/>
              </w:rPr>
            </w:pPr>
            <w:r>
              <w:rPr>
                <w:color w:val="auto"/>
                <w:sz w:val="24"/>
              </w:rPr>
              <w:t>本项目为新建项目，不存在与项目有关的原有环境污染问题。</w:t>
            </w:r>
          </w:p>
          <w:p>
            <w:pPr>
              <w:keepNext w:val="0"/>
              <w:keepLines w:val="0"/>
              <w:suppressLineNumbers w:val="0"/>
              <w:spacing w:before="0" w:beforeAutospacing="0" w:after="0" w:afterAutospacing="0"/>
              <w:ind w:left="0" w:right="0"/>
              <w:jc w:val="left"/>
              <w:rPr>
                <w:color w:val="auto"/>
              </w:rPr>
            </w:pPr>
          </w:p>
        </w:tc>
      </w:tr>
      <w:bookmarkEnd w:id="101"/>
    </w:tbl>
    <w:p>
      <w:pPr>
        <w:rPr>
          <w:color w:val="auto"/>
        </w:rPr>
        <w:sectPr>
          <w:pgSz w:w="11906" w:h="16838"/>
          <w:pgMar w:top="1701" w:right="1531" w:bottom="1701" w:left="1531" w:header="851" w:footer="1134" w:gutter="0"/>
          <w:pgBorders>
            <w:top w:val="none" w:sz="0" w:space="0"/>
            <w:left w:val="none" w:sz="0" w:space="0"/>
            <w:bottom w:val="none" w:sz="0" w:space="0"/>
            <w:right w:val="none" w:sz="0" w:space="0"/>
          </w:pgBorders>
          <w:pgNumType w:fmt="decimal"/>
          <w:cols w:space="720" w:num="1"/>
          <w:docGrid w:linePitch="312" w:charSpace="0"/>
        </w:sectPr>
      </w:pPr>
    </w:p>
    <w:p>
      <w:pPr>
        <w:pStyle w:val="2"/>
        <w:bidi w:val="0"/>
        <w:rPr>
          <w:color w:val="auto"/>
        </w:rPr>
      </w:pPr>
      <w:r>
        <w:rPr>
          <w:color w:val="auto"/>
        </w:rPr>
        <w:t>三、区域环境质量现状、环境保护目标及评价标准</w:t>
      </w:r>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63"/>
        <w:gridCol w:w="829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3" w:type="dxa"/>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ascii="宋体" w:hAnsi="宋体" w:cs="宋体"/>
                <w:color w:val="auto"/>
                <w:kern w:val="0"/>
                <w:sz w:val="24"/>
              </w:rPr>
            </w:pPr>
            <w:r>
              <w:rPr>
                <w:rFonts w:hint="eastAsia" w:ascii="宋体" w:hAnsi="宋体" w:cs="宋体"/>
                <w:color w:val="auto"/>
                <w:kern w:val="0"/>
                <w:sz w:val="24"/>
              </w:rPr>
              <w:t>区域</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ascii="宋体" w:hAnsi="宋体" w:cs="宋体"/>
                <w:color w:val="auto"/>
                <w:kern w:val="0"/>
                <w:sz w:val="24"/>
              </w:rPr>
            </w:pPr>
            <w:r>
              <w:rPr>
                <w:rFonts w:hint="eastAsia" w:ascii="宋体" w:hAnsi="宋体" w:cs="宋体"/>
                <w:color w:val="auto"/>
                <w:kern w:val="0"/>
                <w:sz w:val="24"/>
              </w:rPr>
              <w:t>环境</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ascii="宋体" w:hAnsi="宋体" w:cs="宋体"/>
                <w:color w:val="auto"/>
                <w:kern w:val="0"/>
                <w:sz w:val="24"/>
              </w:rPr>
            </w:pPr>
            <w:r>
              <w:rPr>
                <w:rFonts w:hint="eastAsia" w:ascii="宋体" w:hAnsi="宋体" w:cs="宋体"/>
                <w:color w:val="auto"/>
                <w:kern w:val="0"/>
                <w:sz w:val="24"/>
              </w:rPr>
              <w:t>质量</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ascii="宋体" w:hAnsi="宋体" w:cs="宋体"/>
                <w:color w:val="auto"/>
                <w:kern w:val="0"/>
                <w:szCs w:val="21"/>
              </w:rPr>
            </w:pPr>
            <w:r>
              <w:rPr>
                <w:rFonts w:hint="eastAsia" w:ascii="宋体" w:hAnsi="宋体" w:cs="宋体"/>
                <w:color w:val="auto"/>
                <w:kern w:val="0"/>
                <w:sz w:val="24"/>
              </w:rPr>
              <w:t>现状</w:t>
            </w:r>
          </w:p>
        </w:tc>
        <w:tc>
          <w:tcPr>
            <w:tcW w:w="8298" w:type="dxa"/>
            <w:vAlign w:val="center"/>
          </w:tcPr>
          <w:p>
            <w:pPr>
              <w:keepNext w:val="0"/>
              <w:keepLines w:val="0"/>
              <w:suppressLineNumbers w:val="0"/>
              <w:bidi w:val="0"/>
              <w:spacing w:before="0" w:beforeAutospacing="0" w:after="0" w:afterAutospacing="0"/>
              <w:ind w:left="0" w:right="0"/>
              <w:rPr>
                <w:b/>
                <w:bCs/>
                <w:color w:val="auto"/>
              </w:rPr>
            </w:pPr>
            <w:r>
              <w:rPr>
                <w:b/>
                <w:bCs/>
                <w:color w:val="auto"/>
              </w:rPr>
              <w:t>1、大气环境质量现状</w:t>
            </w:r>
          </w:p>
          <w:p>
            <w:pPr>
              <w:keepNext w:val="0"/>
              <w:keepLines w:val="0"/>
              <w:suppressLineNumbers w:val="0"/>
              <w:bidi w:val="0"/>
              <w:spacing w:before="0" w:beforeAutospacing="0" w:after="0" w:afterAutospacing="0"/>
              <w:ind w:left="0" w:right="0"/>
              <w:rPr>
                <w:color w:val="auto"/>
                <w:highlight w:val="green"/>
              </w:rPr>
            </w:pPr>
            <w:r>
              <w:rPr>
                <w:color w:val="auto"/>
              </w:rPr>
              <w:t>根据大气功能区划分原则，项目所在区域为二类功能区，环境空气质量应执行</w:t>
            </w:r>
            <w:bookmarkStart w:id="165" w:name="OLE_LINK56"/>
            <w:bookmarkStart w:id="166" w:name="OLE_LINK64"/>
            <w:r>
              <w:rPr>
                <w:color w:val="auto"/>
              </w:rPr>
              <w:t>《环境空气质量标准》</w:t>
            </w:r>
            <w:bookmarkEnd w:id="165"/>
            <w:r>
              <w:rPr>
                <w:color w:val="auto"/>
              </w:rPr>
              <w:t>（GB3095-20</w:t>
            </w:r>
            <w:r>
              <w:rPr>
                <w:rFonts w:hint="eastAsia"/>
                <w:color w:val="auto"/>
                <w:lang w:val="en-US" w:eastAsia="zh-CN"/>
              </w:rPr>
              <w:t>26</w:t>
            </w:r>
            <w:r>
              <w:rPr>
                <w:color w:val="auto"/>
              </w:rPr>
              <w:t>）二级标准</w:t>
            </w:r>
            <w:bookmarkEnd w:id="166"/>
            <w:r>
              <w:rPr>
                <w:color w:val="auto"/>
              </w:rPr>
              <w:t>。</w:t>
            </w:r>
            <w:r>
              <w:rPr>
                <w:color w:val="auto"/>
                <w:lang w:val="en-US" w:eastAsia="zh-CN"/>
              </w:rPr>
              <w:t>根据新乡市生态环境局发布的《</w:t>
            </w:r>
            <w:bookmarkStart w:id="167" w:name="OLE_LINK182"/>
            <w:r>
              <w:rPr>
                <w:rFonts w:hint="eastAsia"/>
                <w:color w:val="auto"/>
                <w:lang w:val="en-US" w:eastAsia="zh-CN"/>
              </w:rPr>
              <w:t>2024年</w:t>
            </w:r>
            <w:bookmarkEnd w:id="167"/>
            <w:bookmarkStart w:id="168" w:name="OLE_LINK183"/>
            <w:bookmarkStart w:id="169" w:name="OLE_LINK59"/>
            <w:r>
              <w:rPr>
                <w:rFonts w:hint="eastAsia"/>
                <w:color w:val="auto"/>
              </w:rPr>
              <w:t>新乡市</w:t>
            </w:r>
            <w:bookmarkEnd w:id="168"/>
            <w:r>
              <w:rPr>
                <w:rFonts w:hint="eastAsia"/>
                <w:color w:val="auto"/>
              </w:rPr>
              <w:t>环境质量</w:t>
            </w:r>
            <w:r>
              <w:rPr>
                <w:rFonts w:hint="eastAsia"/>
                <w:color w:val="auto"/>
                <w:lang w:val="en-US" w:eastAsia="zh-CN"/>
              </w:rPr>
              <w:t>公报</w:t>
            </w:r>
            <w:bookmarkEnd w:id="169"/>
            <w:r>
              <w:rPr>
                <w:color w:val="auto"/>
                <w:lang w:val="en-US" w:eastAsia="zh-CN"/>
              </w:rPr>
              <w:t>》</w:t>
            </w:r>
            <w:r>
              <w:rPr>
                <w:color w:val="auto"/>
              </w:rPr>
              <w:t>，</w:t>
            </w:r>
            <w:r>
              <w:rPr>
                <w:rFonts w:hint="eastAsia"/>
                <w:color w:val="auto"/>
              </w:rPr>
              <w:t>项目</w:t>
            </w:r>
            <w:r>
              <w:rPr>
                <w:color w:val="auto"/>
              </w:rPr>
              <w:t>区域</w:t>
            </w:r>
            <w:bookmarkStart w:id="170" w:name="OLE_LINK184"/>
            <w:r>
              <w:rPr>
                <w:color w:val="auto"/>
              </w:rPr>
              <w:t>空气质量</w:t>
            </w:r>
            <w:bookmarkEnd w:id="170"/>
            <w:r>
              <w:rPr>
                <w:color w:val="auto"/>
              </w:rPr>
              <w:t>现状数据如下表所示。</w:t>
            </w:r>
          </w:p>
          <w:p>
            <w:pPr>
              <w:pStyle w:val="12"/>
              <w:keepNext w:val="0"/>
              <w:keepLines w:val="0"/>
              <w:suppressLineNumbers w:val="0"/>
              <w:bidi w:val="0"/>
              <w:spacing w:before="0" w:beforeAutospacing="0" w:after="0" w:afterAutospacing="0"/>
              <w:ind w:left="0" w:right="0"/>
              <w:rPr>
                <w:rFonts w:hint="eastAsia"/>
                <w:color w:val="auto"/>
              </w:rPr>
            </w:pPr>
            <w:r>
              <w:rPr>
                <w:rFonts w:hint="eastAsia"/>
                <w:color w:val="auto"/>
              </w:rPr>
              <w:t>表</w:t>
            </w:r>
            <w:r>
              <w:rPr>
                <w:rFonts w:hint="eastAsia"/>
                <w:color w:val="auto"/>
                <w:lang w:val="en-US" w:eastAsia="zh-CN"/>
              </w:rPr>
              <w:t xml:space="preserve"> 3-1    </w:t>
            </w:r>
            <w:r>
              <w:rPr>
                <w:rFonts w:hint="eastAsia"/>
                <w:color w:val="auto"/>
              </w:rPr>
              <w:t>区域空气质量现状评价表</w:t>
            </w:r>
          </w:p>
          <w:tbl>
            <w:tblPr>
              <w:tblStyle w:val="22"/>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35"/>
              <w:gridCol w:w="924"/>
              <w:gridCol w:w="1025"/>
              <w:gridCol w:w="1037"/>
              <w:gridCol w:w="825"/>
              <w:gridCol w:w="931"/>
              <w:gridCol w:w="2"/>
              <w:gridCol w:w="1030"/>
              <w:gridCol w:w="830"/>
              <w:gridCol w:w="93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39" w:hRule="atLeast"/>
                <w:jc w:val="center"/>
              </w:trPr>
              <w:tc>
                <w:tcPr>
                  <w:tcW w:w="331" w:type="pct"/>
                  <w:vMerge w:val="restar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rFonts w:hint="default"/>
                      <w:b/>
                      <w:bCs/>
                      <w:color w:val="auto"/>
                      <w:kern w:val="2"/>
                      <w:sz w:val="21"/>
                    </w:rPr>
                  </w:pPr>
                  <w:bookmarkStart w:id="171" w:name="OLE_LINK176" w:colFirst="3" w:colLast="5"/>
                  <w:r>
                    <w:rPr>
                      <w:rFonts w:hint="default"/>
                      <w:b/>
                      <w:bCs/>
                      <w:color w:val="auto"/>
                      <w:kern w:val="2"/>
                      <w:sz w:val="21"/>
                    </w:rPr>
                    <w:t>污染物</w:t>
                  </w:r>
                </w:p>
              </w:tc>
              <w:tc>
                <w:tcPr>
                  <w:tcW w:w="572" w:type="pct"/>
                  <w:vMerge w:val="restar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rFonts w:hint="default"/>
                      <w:b/>
                      <w:bCs/>
                      <w:color w:val="auto"/>
                      <w:kern w:val="2"/>
                      <w:sz w:val="21"/>
                    </w:rPr>
                  </w:pPr>
                  <w:r>
                    <w:rPr>
                      <w:rFonts w:hint="default"/>
                      <w:b/>
                      <w:bCs/>
                      <w:color w:val="auto"/>
                      <w:kern w:val="2"/>
                      <w:sz w:val="21"/>
                    </w:rPr>
                    <w:t>年评价指标</w:t>
                  </w:r>
                </w:p>
              </w:tc>
              <w:tc>
                <w:tcPr>
                  <w:tcW w:w="634" w:type="pct"/>
                  <w:vMerge w:val="restar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rFonts w:hint="default"/>
                      <w:b/>
                      <w:bCs/>
                      <w:color w:val="auto"/>
                      <w:kern w:val="2"/>
                      <w:sz w:val="21"/>
                    </w:rPr>
                  </w:pPr>
                  <w:r>
                    <w:rPr>
                      <w:rFonts w:hint="default"/>
                      <w:b/>
                      <w:bCs/>
                      <w:color w:val="auto"/>
                      <w:kern w:val="2"/>
                      <w:sz w:val="21"/>
                    </w:rPr>
                    <w:t>现状浓度/</w:t>
                  </w:r>
                </w:p>
                <w:p>
                  <w:pPr>
                    <w:pStyle w:val="28"/>
                    <w:keepNext w:val="0"/>
                    <w:keepLines w:val="0"/>
                    <w:widowControl/>
                    <w:suppressLineNumbers w:val="0"/>
                    <w:bidi w:val="0"/>
                    <w:spacing w:before="0" w:beforeAutospacing="0" w:after="0" w:afterAutospacing="0"/>
                    <w:ind w:left="0" w:right="0"/>
                    <w:rPr>
                      <w:rFonts w:hint="default"/>
                      <w:b/>
                      <w:bCs/>
                      <w:color w:val="auto"/>
                      <w:kern w:val="2"/>
                      <w:sz w:val="21"/>
                    </w:rPr>
                  </w:pPr>
                  <w:r>
                    <w:rPr>
                      <w:rFonts w:hint="default"/>
                      <w:b/>
                      <w:bCs/>
                      <w:color w:val="auto"/>
                      <w:kern w:val="2"/>
                      <w:sz w:val="21"/>
                    </w:rPr>
                    <w:t>（μg/</w:t>
                  </w:r>
                  <w:r>
                    <w:rPr>
                      <w:rFonts w:hint="eastAsia"/>
                      <w:b/>
                      <w:bCs/>
                      <w:color w:val="auto"/>
                      <w:kern w:val="2"/>
                      <w:sz w:val="21"/>
                      <w:lang w:eastAsia="zh-CN"/>
                    </w:rPr>
                    <w:t>m³</w:t>
                  </w:r>
                  <w:r>
                    <w:rPr>
                      <w:rFonts w:hint="default"/>
                      <w:b/>
                      <w:bCs/>
                      <w:color w:val="auto"/>
                      <w:kern w:val="2"/>
                      <w:sz w:val="21"/>
                    </w:rPr>
                    <w:t>）</w:t>
                  </w:r>
                </w:p>
              </w:tc>
              <w:tc>
                <w:tcPr>
                  <w:tcW w:w="1730" w:type="pct"/>
                  <w:gridSpan w:val="4"/>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leftChars="0" w:right="0" w:rightChars="0" w:firstLine="0" w:firstLineChars="0"/>
                    <w:rPr>
                      <w:rFonts w:hint="eastAsia" w:eastAsia="宋体"/>
                      <w:b/>
                      <w:bCs/>
                      <w:color w:val="auto"/>
                      <w:kern w:val="2"/>
                      <w:sz w:val="21"/>
                      <w:lang w:eastAsia="zh-CN"/>
                    </w:rPr>
                  </w:pPr>
                  <w:r>
                    <w:rPr>
                      <w:rFonts w:hint="default"/>
                      <w:b/>
                      <w:bCs/>
                      <w:color w:val="auto"/>
                      <w:kern w:val="2"/>
                      <w:sz w:val="21"/>
                    </w:rPr>
                    <w:t>（</w:t>
                  </w:r>
                  <w:bookmarkStart w:id="172" w:name="OLE_LINK185"/>
                  <w:r>
                    <w:rPr>
                      <w:rFonts w:hint="default"/>
                      <w:b/>
                      <w:bCs/>
                      <w:color w:val="auto"/>
                      <w:kern w:val="2"/>
                      <w:sz w:val="21"/>
                    </w:rPr>
                    <w:t>GB3095-2012</w:t>
                  </w:r>
                  <w:bookmarkEnd w:id="172"/>
                  <w:r>
                    <w:rPr>
                      <w:rFonts w:hint="default"/>
                      <w:b/>
                      <w:bCs/>
                      <w:color w:val="auto"/>
                      <w:kern w:val="2"/>
                      <w:sz w:val="21"/>
                    </w:rPr>
                    <w:t>）二级标准</w:t>
                  </w:r>
                  <w:bookmarkStart w:id="173" w:name="OLE_LINK180"/>
                  <w:r>
                    <w:rPr>
                      <w:rFonts w:hint="eastAsia"/>
                      <w:b/>
                      <w:bCs/>
                      <w:color w:val="auto"/>
                      <w:kern w:val="2"/>
                      <w:sz w:val="21"/>
                      <w:lang w:eastAsia="zh-CN"/>
                    </w:rPr>
                    <w:t>（</w:t>
                  </w:r>
                  <w:bookmarkStart w:id="174" w:name="OLE_LINK186"/>
                  <w:r>
                    <w:rPr>
                      <w:rFonts w:hint="eastAsia"/>
                      <w:b/>
                      <w:bCs/>
                      <w:color w:val="auto"/>
                      <w:kern w:val="2"/>
                      <w:sz w:val="21"/>
                      <w:lang w:val="en-US" w:eastAsia="zh-CN"/>
                    </w:rPr>
                    <w:t>2026.3.1废止</w:t>
                  </w:r>
                  <w:bookmarkEnd w:id="174"/>
                  <w:r>
                    <w:rPr>
                      <w:rFonts w:hint="eastAsia"/>
                      <w:b/>
                      <w:bCs/>
                      <w:color w:val="auto"/>
                      <w:kern w:val="2"/>
                      <w:sz w:val="21"/>
                      <w:lang w:eastAsia="zh-CN"/>
                    </w:rPr>
                    <w:t>）</w:t>
                  </w:r>
                  <w:bookmarkEnd w:id="173"/>
                </w:p>
              </w:tc>
              <w:tc>
                <w:tcPr>
                  <w:tcW w:w="1731" w:type="pct"/>
                  <w:gridSpan w:val="3"/>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leftChars="0" w:right="0" w:rightChars="0" w:firstLine="0" w:firstLineChars="0"/>
                    <w:rPr>
                      <w:rFonts w:hint="default"/>
                      <w:b/>
                      <w:bCs/>
                      <w:color w:val="auto"/>
                      <w:kern w:val="2"/>
                      <w:sz w:val="21"/>
                    </w:rPr>
                  </w:pPr>
                  <w:r>
                    <w:rPr>
                      <w:color w:val="auto"/>
                    </w:rPr>
                    <w:t>（</w:t>
                  </w:r>
                  <w:r>
                    <w:rPr>
                      <w:rFonts w:hint="eastAsia"/>
                      <w:b/>
                      <w:bCs/>
                      <w:color w:val="auto"/>
                      <w:kern w:val="2"/>
                      <w:sz w:val="21"/>
                      <w:lang w:val="en-US" w:eastAsia="zh-CN"/>
                    </w:rPr>
                    <w:t>GB3095-2026）二级标准</w:t>
                  </w:r>
                  <w:r>
                    <w:rPr>
                      <w:rFonts w:hint="eastAsia"/>
                      <w:b/>
                      <w:bCs/>
                      <w:color w:val="auto"/>
                      <w:kern w:val="2"/>
                      <w:sz w:val="21"/>
                      <w:lang w:eastAsia="zh-CN"/>
                    </w:rPr>
                    <w:t>（</w:t>
                  </w:r>
                  <w:r>
                    <w:rPr>
                      <w:rFonts w:hint="eastAsia"/>
                      <w:b/>
                      <w:bCs/>
                      <w:color w:val="auto"/>
                      <w:kern w:val="2"/>
                      <w:sz w:val="21"/>
                      <w:lang w:val="en-US" w:eastAsia="zh-CN"/>
                    </w:rPr>
                    <w:t>2026.3.1实施</w:t>
                  </w:r>
                  <w:r>
                    <w:rPr>
                      <w:rFonts w:hint="eastAsia"/>
                      <w:b/>
                      <w:bCs/>
                      <w:color w:val="auto"/>
                      <w:kern w:val="2"/>
                      <w:sz w:val="21"/>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39" w:hRule="atLeast"/>
                <w:jc w:val="center"/>
              </w:trPr>
              <w:tc>
                <w:tcPr>
                  <w:tcW w:w="331" w:type="pct"/>
                  <w:vMerge w:val="continue"/>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color w:val="auto"/>
                    </w:rPr>
                  </w:pPr>
                </w:p>
              </w:tc>
              <w:tc>
                <w:tcPr>
                  <w:tcW w:w="572" w:type="pct"/>
                  <w:vMerge w:val="continue"/>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color w:val="auto"/>
                    </w:rPr>
                  </w:pPr>
                </w:p>
              </w:tc>
              <w:tc>
                <w:tcPr>
                  <w:tcW w:w="634" w:type="pct"/>
                  <w:vMerge w:val="continue"/>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color w:val="auto"/>
                    </w:rPr>
                  </w:pPr>
                </w:p>
              </w:tc>
              <w:tc>
                <w:tcPr>
                  <w:tcW w:w="642"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leftChars="0" w:right="0" w:rightChars="0" w:firstLine="0" w:firstLineChars="0"/>
                    <w:rPr>
                      <w:rFonts w:hint="default" w:ascii="Times New Roman" w:hAnsi="Times New Roman" w:eastAsia="宋体" w:cstheme="minorBidi"/>
                      <w:b/>
                      <w:bCs/>
                      <w:color w:val="auto"/>
                      <w:kern w:val="2"/>
                      <w:sz w:val="21"/>
                      <w:szCs w:val="21"/>
                      <w:lang w:val="en-US" w:eastAsia="zh-CN" w:bidi="ar-SA"/>
                    </w:rPr>
                  </w:pPr>
                  <w:bookmarkStart w:id="175" w:name="OLE_LINK177"/>
                  <w:r>
                    <w:rPr>
                      <w:rFonts w:hint="default"/>
                      <w:b/>
                      <w:bCs/>
                      <w:color w:val="auto"/>
                      <w:kern w:val="2"/>
                      <w:sz w:val="21"/>
                    </w:rPr>
                    <w:t>标准值/（μg/</w:t>
                  </w:r>
                  <w:r>
                    <w:rPr>
                      <w:rFonts w:hint="eastAsia"/>
                      <w:b/>
                      <w:bCs/>
                      <w:color w:val="auto"/>
                      <w:kern w:val="2"/>
                      <w:sz w:val="21"/>
                      <w:lang w:eastAsia="zh-CN"/>
                    </w:rPr>
                    <w:t>m³</w:t>
                  </w:r>
                  <w:r>
                    <w:rPr>
                      <w:rFonts w:hint="default"/>
                      <w:b/>
                      <w:bCs/>
                      <w:color w:val="auto"/>
                      <w:kern w:val="2"/>
                      <w:sz w:val="21"/>
                    </w:rPr>
                    <w:t>）</w:t>
                  </w:r>
                  <w:bookmarkEnd w:id="175"/>
                </w:p>
              </w:tc>
              <w:tc>
                <w:tcPr>
                  <w:tcW w:w="510"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leftChars="0" w:right="0" w:rightChars="0" w:firstLine="0" w:firstLineChars="0"/>
                    <w:rPr>
                      <w:rFonts w:hint="default" w:ascii="Times New Roman" w:hAnsi="Times New Roman" w:eastAsia="宋体" w:cstheme="minorBidi"/>
                      <w:b/>
                      <w:bCs/>
                      <w:color w:val="auto"/>
                      <w:kern w:val="2"/>
                      <w:sz w:val="21"/>
                      <w:szCs w:val="21"/>
                      <w:lang w:val="en-US" w:eastAsia="zh-CN" w:bidi="ar-SA"/>
                    </w:rPr>
                  </w:pPr>
                  <w:r>
                    <w:rPr>
                      <w:rFonts w:hint="default"/>
                      <w:b/>
                      <w:bCs/>
                      <w:color w:val="auto"/>
                      <w:kern w:val="2"/>
                      <w:sz w:val="21"/>
                    </w:rPr>
                    <w:t>占标率/%</w:t>
                  </w:r>
                </w:p>
              </w:tc>
              <w:tc>
                <w:tcPr>
                  <w:tcW w:w="576"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leftChars="0" w:right="0" w:rightChars="0" w:firstLine="0" w:firstLineChars="0"/>
                    <w:rPr>
                      <w:rFonts w:hint="default" w:ascii="Times New Roman" w:hAnsi="Times New Roman" w:eastAsia="宋体" w:cstheme="minorBidi"/>
                      <w:b/>
                      <w:bCs/>
                      <w:color w:val="auto"/>
                      <w:kern w:val="2"/>
                      <w:sz w:val="21"/>
                      <w:szCs w:val="21"/>
                      <w:lang w:val="en-US" w:eastAsia="zh-CN" w:bidi="ar-SA"/>
                    </w:rPr>
                  </w:pPr>
                  <w:r>
                    <w:rPr>
                      <w:rFonts w:hint="default"/>
                      <w:b/>
                      <w:bCs/>
                      <w:color w:val="auto"/>
                      <w:kern w:val="2"/>
                      <w:sz w:val="21"/>
                    </w:rPr>
                    <w:t>达标情况</w:t>
                  </w:r>
                </w:p>
              </w:tc>
              <w:tc>
                <w:tcPr>
                  <w:tcW w:w="639" w:type="pct"/>
                  <w:gridSpan w:val="2"/>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leftChars="0" w:right="0" w:rightChars="0" w:firstLine="0" w:firstLineChars="0"/>
                    <w:rPr>
                      <w:rFonts w:hint="default" w:ascii="Times New Roman" w:hAnsi="Times New Roman" w:eastAsia="宋体" w:cstheme="minorBidi"/>
                      <w:b/>
                      <w:bCs/>
                      <w:color w:val="auto"/>
                      <w:kern w:val="2"/>
                      <w:sz w:val="21"/>
                      <w:szCs w:val="21"/>
                      <w:lang w:val="en-US" w:eastAsia="zh-CN" w:bidi="ar-SA"/>
                    </w:rPr>
                  </w:pPr>
                  <w:r>
                    <w:rPr>
                      <w:rFonts w:hint="eastAsia"/>
                      <w:b/>
                      <w:bCs/>
                      <w:color w:val="auto"/>
                      <w:kern w:val="2"/>
                      <w:sz w:val="21"/>
                      <w:lang w:val="en-US" w:eastAsia="zh-CN"/>
                    </w:rPr>
                    <w:t>过渡阶段</w:t>
                  </w:r>
                  <w:r>
                    <w:rPr>
                      <w:rFonts w:hint="default"/>
                      <w:b/>
                      <w:bCs/>
                      <w:color w:val="auto"/>
                      <w:kern w:val="2"/>
                      <w:sz w:val="21"/>
                    </w:rPr>
                    <w:t>标准值/（μg/</w:t>
                  </w:r>
                  <w:r>
                    <w:rPr>
                      <w:rFonts w:hint="eastAsia"/>
                      <w:b/>
                      <w:bCs/>
                      <w:color w:val="auto"/>
                      <w:kern w:val="2"/>
                      <w:sz w:val="21"/>
                      <w:lang w:eastAsia="zh-CN"/>
                    </w:rPr>
                    <w:t>m³</w:t>
                  </w:r>
                  <w:r>
                    <w:rPr>
                      <w:rFonts w:hint="default"/>
                      <w:b/>
                      <w:bCs/>
                      <w:color w:val="auto"/>
                      <w:kern w:val="2"/>
                      <w:sz w:val="21"/>
                    </w:rPr>
                    <w:t>）</w:t>
                  </w:r>
                </w:p>
              </w:tc>
              <w:tc>
                <w:tcPr>
                  <w:tcW w:w="513"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leftChars="0" w:right="0" w:rightChars="0" w:firstLine="0" w:firstLineChars="0"/>
                    <w:rPr>
                      <w:rFonts w:hint="default" w:ascii="Times New Roman" w:hAnsi="Times New Roman" w:eastAsia="宋体" w:cstheme="minorBidi"/>
                      <w:b/>
                      <w:bCs/>
                      <w:color w:val="auto"/>
                      <w:kern w:val="2"/>
                      <w:sz w:val="21"/>
                      <w:szCs w:val="21"/>
                      <w:lang w:val="en-US" w:eastAsia="zh-CN" w:bidi="ar-SA"/>
                    </w:rPr>
                  </w:pPr>
                  <w:r>
                    <w:rPr>
                      <w:rFonts w:hint="default"/>
                      <w:b/>
                      <w:bCs/>
                      <w:color w:val="auto"/>
                      <w:kern w:val="2"/>
                      <w:sz w:val="21"/>
                    </w:rPr>
                    <w:t>占标率/%</w:t>
                  </w:r>
                </w:p>
              </w:tc>
              <w:tc>
                <w:tcPr>
                  <w:tcW w:w="579"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leftChars="0" w:right="0" w:rightChars="0" w:firstLine="0" w:firstLineChars="0"/>
                    <w:rPr>
                      <w:rFonts w:hint="default" w:ascii="Times New Roman" w:hAnsi="Times New Roman" w:eastAsia="宋体" w:cstheme="minorBidi"/>
                      <w:b/>
                      <w:bCs/>
                      <w:color w:val="auto"/>
                      <w:kern w:val="2"/>
                      <w:sz w:val="21"/>
                      <w:szCs w:val="21"/>
                      <w:lang w:val="en-US" w:eastAsia="zh-CN" w:bidi="ar-SA"/>
                    </w:rPr>
                  </w:pPr>
                  <w:r>
                    <w:rPr>
                      <w:rFonts w:hint="default"/>
                      <w:b/>
                      <w:bCs/>
                      <w:color w:val="auto"/>
                      <w:kern w:val="2"/>
                      <w:sz w:val="21"/>
                    </w:rPr>
                    <w:t>达标情况</w:t>
                  </w:r>
                </w:p>
              </w:tc>
            </w:tr>
            <w:bookmarkEnd w:id="171"/>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31"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rPr>
                  </w:pPr>
                  <w:bookmarkStart w:id="176" w:name="OLE_LINK62" w:colFirst="2" w:colLast="3"/>
                  <w:bookmarkStart w:id="177" w:name="OLE_LINK178" w:colFirst="3" w:colLast="5"/>
                  <w:r>
                    <w:rPr>
                      <w:rFonts w:hint="default"/>
                      <w:color w:val="auto"/>
                      <w:kern w:val="2"/>
                      <w:sz w:val="21"/>
                    </w:rPr>
                    <w:t>P</w:t>
                  </w:r>
                  <w:bookmarkStart w:id="178" w:name="OLE_LINK33"/>
                  <w:r>
                    <w:rPr>
                      <w:rFonts w:hint="default"/>
                      <w:color w:val="auto"/>
                      <w:kern w:val="2"/>
                      <w:sz w:val="21"/>
                    </w:rPr>
                    <w:t>M</w:t>
                  </w:r>
                  <w:bookmarkEnd w:id="178"/>
                  <w:r>
                    <w:rPr>
                      <w:rFonts w:hint="default"/>
                      <w:color w:val="auto"/>
                      <w:kern w:val="2"/>
                      <w:sz w:val="21"/>
                      <w:vertAlign w:val="subscript"/>
                    </w:rPr>
                    <w:t>10</w:t>
                  </w:r>
                </w:p>
              </w:tc>
              <w:tc>
                <w:tcPr>
                  <w:tcW w:w="572"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rPr>
                  </w:pPr>
                  <w:r>
                    <w:rPr>
                      <w:rFonts w:hint="default"/>
                      <w:color w:val="auto"/>
                      <w:kern w:val="2"/>
                      <w:sz w:val="21"/>
                    </w:rPr>
                    <w:t>年平均质量浓度</w:t>
                  </w:r>
                </w:p>
              </w:tc>
              <w:tc>
                <w:tcPr>
                  <w:tcW w:w="634"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eastAsia="宋体"/>
                      <w:color w:val="auto"/>
                      <w:kern w:val="2"/>
                      <w:sz w:val="21"/>
                      <w:lang w:val="en-US" w:eastAsia="zh-CN"/>
                    </w:rPr>
                  </w:pPr>
                  <w:r>
                    <w:rPr>
                      <w:rFonts w:hint="default" w:ascii="Times New Roman" w:hAnsi="Times New Roman" w:eastAsia="宋体"/>
                      <w:color w:val="auto"/>
                      <w:kern w:val="2"/>
                      <w:sz w:val="21"/>
                      <w:lang w:val="en-US" w:eastAsia="zh-CN"/>
                    </w:rPr>
                    <w:t>8</w:t>
                  </w:r>
                  <w:r>
                    <w:rPr>
                      <w:rFonts w:hint="eastAsia" w:ascii="Times New Roman" w:hAnsi="Times New Roman" w:eastAsia="宋体"/>
                      <w:color w:val="auto"/>
                      <w:kern w:val="2"/>
                      <w:sz w:val="21"/>
                      <w:lang w:val="en-US" w:eastAsia="zh-CN"/>
                    </w:rPr>
                    <w:t>2</w:t>
                  </w:r>
                </w:p>
              </w:tc>
              <w:tc>
                <w:tcPr>
                  <w:tcW w:w="642"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eastAsia="宋体"/>
                      <w:color w:val="auto"/>
                      <w:kern w:val="2"/>
                      <w:sz w:val="21"/>
                      <w:lang w:val="en-US" w:eastAsia="zh-CN"/>
                    </w:rPr>
                  </w:pPr>
                  <w:r>
                    <w:rPr>
                      <w:rFonts w:hint="default" w:ascii="Times New Roman" w:hAnsi="Times New Roman" w:eastAsia="宋体"/>
                      <w:color w:val="auto"/>
                      <w:kern w:val="2"/>
                      <w:sz w:val="21"/>
                      <w:lang w:val="en-US" w:eastAsia="zh-CN"/>
                    </w:rPr>
                    <w:t>70</w:t>
                  </w:r>
                </w:p>
              </w:tc>
              <w:tc>
                <w:tcPr>
                  <w:tcW w:w="510"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eastAsia="宋体"/>
                      <w:color w:val="auto"/>
                      <w:kern w:val="2"/>
                      <w:sz w:val="21"/>
                      <w:lang w:val="en-US" w:eastAsia="zh-CN"/>
                    </w:rPr>
                  </w:pPr>
                  <w:r>
                    <w:rPr>
                      <w:rFonts w:hint="eastAsia"/>
                      <w:color w:val="auto"/>
                      <w:kern w:val="2"/>
                      <w:sz w:val="21"/>
                      <w:lang w:val="en-US" w:eastAsia="zh-CN"/>
                    </w:rPr>
                    <w:t>117.1</w:t>
                  </w:r>
                  <w:r>
                    <w:rPr>
                      <w:rFonts w:hint="eastAsia" w:ascii="Times New Roman" w:hAnsi="Times New Roman" w:eastAsia="宋体"/>
                      <w:color w:val="auto"/>
                      <w:kern w:val="2"/>
                      <w:sz w:val="21"/>
                      <w:lang w:val="en-US" w:eastAsia="zh-CN"/>
                    </w:rPr>
                    <w:t xml:space="preserve"> </w:t>
                  </w:r>
                </w:p>
              </w:tc>
              <w:tc>
                <w:tcPr>
                  <w:tcW w:w="576"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rPr>
                  </w:pPr>
                  <w:r>
                    <w:rPr>
                      <w:rFonts w:hint="default"/>
                      <w:color w:val="auto"/>
                      <w:kern w:val="2"/>
                      <w:sz w:val="21"/>
                    </w:rPr>
                    <w:t>超标</w:t>
                  </w:r>
                </w:p>
              </w:tc>
              <w:tc>
                <w:tcPr>
                  <w:tcW w:w="639" w:type="pct"/>
                  <w:gridSpan w:val="2"/>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leftChars="0" w:right="0" w:rightChars="0" w:firstLine="0" w:firstLineChars="0"/>
                    <w:rPr>
                      <w:rFonts w:hint="default"/>
                      <w:color w:val="auto"/>
                      <w:kern w:val="2"/>
                      <w:sz w:val="21"/>
                      <w:lang w:val="en-US"/>
                    </w:rPr>
                  </w:pPr>
                  <w:r>
                    <w:rPr>
                      <w:rFonts w:hint="eastAsia"/>
                      <w:color w:val="auto"/>
                      <w:kern w:val="2"/>
                      <w:sz w:val="21"/>
                      <w:lang w:val="en-US" w:eastAsia="zh-CN"/>
                    </w:rPr>
                    <w:t>60</w:t>
                  </w:r>
                </w:p>
              </w:tc>
              <w:tc>
                <w:tcPr>
                  <w:tcW w:w="513"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leftChars="0" w:right="0" w:rightChars="0" w:firstLine="0" w:firstLineChars="0"/>
                    <w:rPr>
                      <w:rFonts w:hint="default"/>
                      <w:color w:val="auto"/>
                      <w:kern w:val="2"/>
                      <w:sz w:val="21"/>
                      <w:lang w:val="en-US"/>
                    </w:rPr>
                  </w:pPr>
                  <w:r>
                    <w:rPr>
                      <w:rFonts w:hint="eastAsia"/>
                      <w:color w:val="auto"/>
                      <w:kern w:val="2"/>
                      <w:sz w:val="21"/>
                      <w:lang w:val="en-US" w:eastAsia="zh-CN"/>
                    </w:rPr>
                    <w:t>13.6.7</w:t>
                  </w:r>
                </w:p>
              </w:tc>
              <w:tc>
                <w:tcPr>
                  <w:tcW w:w="579"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leftChars="0" w:right="0" w:rightChars="0" w:firstLine="0" w:firstLineChars="0"/>
                    <w:rPr>
                      <w:rFonts w:hint="default"/>
                      <w:color w:val="auto"/>
                      <w:kern w:val="2"/>
                      <w:sz w:val="21"/>
                    </w:rPr>
                  </w:pPr>
                  <w:r>
                    <w:rPr>
                      <w:rFonts w:hint="default"/>
                      <w:color w:val="auto"/>
                      <w:kern w:val="2"/>
                      <w:sz w:val="21"/>
                    </w:rPr>
                    <w:t>超标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31"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rPr>
                  </w:pPr>
                  <w:r>
                    <w:rPr>
                      <w:rFonts w:hint="default"/>
                      <w:color w:val="auto"/>
                      <w:kern w:val="2"/>
                      <w:sz w:val="21"/>
                    </w:rPr>
                    <w:t>PM</w:t>
                  </w:r>
                  <w:r>
                    <w:rPr>
                      <w:rFonts w:hint="eastAsia"/>
                      <w:color w:val="auto"/>
                      <w:kern w:val="2"/>
                      <w:sz w:val="21"/>
                      <w:vertAlign w:val="subscript"/>
                      <w:lang w:val="en-US" w:eastAsia="zh-CN"/>
                    </w:rPr>
                    <w:t>2</w:t>
                  </w:r>
                  <w:r>
                    <w:rPr>
                      <w:rFonts w:hint="default"/>
                      <w:color w:val="auto"/>
                      <w:kern w:val="2"/>
                      <w:sz w:val="21"/>
                      <w:vertAlign w:val="subscript"/>
                    </w:rPr>
                    <w:t>.5</w:t>
                  </w:r>
                </w:p>
              </w:tc>
              <w:tc>
                <w:tcPr>
                  <w:tcW w:w="572"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rPr>
                  </w:pPr>
                  <w:r>
                    <w:rPr>
                      <w:rFonts w:hint="default"/>
                      <w:color w:val="auto"/>
                      <w:kern w:val="2"/>
                      <w:sz w:val="21"/>
                    </w:rPr>
                    <w:t>年平均质量浓度</w:t>
                  </w:r>
                </w:p>
              </w:tc>
              <w:tc>
                <w:tcPr>
                  <w:tcW w:w="634"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eastAsia="宋体"/>
                      <w:color w:val="auto"/>
                      <w:kern w:val="2"/>
                      <w:sz w:val="21"/>
                      <w:lang w:val="en-US" w:eastAsia="zh-CN"/>
                    </w:rPr>
                  </w:pPr>
                  <w:r>
                    <w:rPr>
                      <w:rFonts w:hint="default" w:ascii="Times New Roman" w:hAnsi="Times New Roman" w:eastAsia="宋体"/>
                      <w:color w:val="auto"/>
                      <w:kern w:val="2"/>
                      <w:sz w:val="21"/>
                      <w:lang w:val="en-US" w:eastAsia="zh-CN"/>
                    </w:rPr>
                    <w:t>4</w:t>
                  </w:r>
                  <w:r>
                    <w:rPr>
                      <w:rFonts w:hint="eastAsia" w:ascii="Times New Roman" w:hAnsi="Times New Roman" w:eastAsia="宋体"/>
                      <w:color w:val="auto"/>
                      <w:kern w:val="2"/>
                      <w:sz w:val="21"/>
                      <w:lang w:val="en-US" w:eastAsia="zh-CN"/>
                    </w:rPr>
                    <w:t>9</w:t>
                  </w:r>
                </w:p>
              </w:tc>
              <w:tc>
                <w:tcPr>
                  <w:tcW w:w="642"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eastAsia="宋体"/>
                      <w:color w:val="auto"/>
                      <w:kern w:val="2"/>
                      <w:sz w:val="21"/>
                      <w:lang w:val="en-US" w:eastAsia="zh-CN"/>
                    </w:rPr>
                  </w:pPr>
                  <w:r>
                    <w:rPr>
                      <w:rFonts w:hint="default" w:ascii="Times New Roman" w:hAnsi="Times New Roman" w:eastAsia="宋体"/>
                      <w:color w:val="auto"/>
                      <w:kern w:val="2"/>
                      <w:sz w:val="21"/>
                      <w:lang w:val="en-US" w:eastAsia="zh-CN"/>
                    </w:rPr>
                    <w:t>35</w:t>
                  </w:r>
                </w:p>
              </w:tc>
              <w:tc>
                <w:tcPr>
                  <w:tcW w:w="510"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eastAsia="宋体"/>
                      <w:color w:val="auto"/>
                      <w:kern w:val="2"/>
                      <w:sz w:val="21"/>
                      <w:lang w:val="en-US" w:eastAsia="zh-CN"/>
                    </w:rPr>
                  </w:pPr>
                  <w:r>
                    <w:rPr>
                      <w:rFonts w:hint="eastAsia"/>
                      <w:color w:val="auto"/>
                      <w:kern w:val="2"/>
                      <w:sz w:val="21"/>
                      <w:lang w:val="en-US" w:eastAsia="zh-CN"/>
                    </w:rPr>
                    <w:t>140</w:t>
                  </w:r>
                </w:p>
              </w:tc>
              <w:tc>
                <w:tcPr>
                  <w:tcW w:w="576"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rPr>
                  </w:pPr>
                  <w:r>
                    <w:rPr>
                      <w:rFonts w:hint="default"/>
                      <w:color w:val="auto"/>
                      <w:kern w:val="2"/>
                      <w:sz w:val="21"/>
                    </w:rPr>
                    <w:t>超标</w:t>
                  </w:r>
                </w:p>
              </w:tc>
              <w:tc>
                <w:tcPr>
                  <w:tcW w:w="639" w:type="pct"/>
                  <w:gridSpan w:val="2"/>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leftChars="0" w:right="0" w:rightChars="0" w:firstLine="0" w:firstLineChars="0"/>
                    <w:rPr>
                      <w:rFonts w:hint="default"/>
                      <w:color w:val="auto"/>
                      <w:kern w:val="2"/>
                      <w:sz w:val="21"/>
                      <w:lang w:val="en-US"/>
                    </w:rPr>
                  </w:pPr>
                  <w:r>
                    <w:rPr>
                      <w:rFonts w:hint="eastAsia"/>
                      <w:color w:val="auto"/>
                      <w:kern w:val="2"/>
                      <w:sz w:val="21"/>
                      <w:lang w:val="en-US" w:eastAsia="zh-CN"/>
                    </w:rPr>
                    <w:t>30</w:t>
                  </w:r>
                </w:p>
              </w:tc>
              <w:tc>
                <w:tcPr>
                  <w:tcW w:w="513"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leftChars="0" w:right="0" w:rightChars="0" w:firstLine="0" w:firstLineChars="0"/>
                    <w:rPr>
                      <w:rFonts w:hint="default"/>
                      <w:color w:val="auto"/>
                      <w:kern w:val="2"/>
                      <w:sz w:val="21"/>
                      <w:lang w:val="en-US"/>
                    </w:rPr>
                  </w:pPr>
                  <w:r>
                    <w:rPr>
                      <w:rFonts w:hint="eastAsia"/>
                      <w:color w:val="auto"/>
                      <w:kern w:val="2"/>
                      <w:sz w:val="21"/>
                      <w:lang w:val="en-US" w:eastAsia="zh-CN"/>
                    </w:rPr>
                    <w:t>163.3</w:t>
                  </w:r>
                </w:p>
              </w:tc>
              <w:tc>
                <w:tcPr>
                  <w:tcW w:w="579"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leftChars="0" w:right="0" w:rightChars="0" w:firstLine="0" w:firstLineChars="0"/>
                    <w:rPr>
                      <w:rFonts w:hint="default"/>
                      <w:color w:val="auto"/>
                      <w:kern w:val="2"/>
                      <w:sz w:val="21"/>
                    </w:rPr>
                  </w:pPr>
                  <w:r>
                    <w:rPr>
                      <w:rFonts w:hint="default"/>
                      <w:color w:val="auto"/>
                      <w:kern w:val="2"/>
                      <w:sz w:val="21"/>
                    </w:rPr>
                    <w:t>超标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31"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rPr>
                  </w:pPr>
                  <w:r>
                    <w:rPr>
                      <w:rFonts w:hint="default"/>
                      <w:color w:val="auto"/>
                      <w:kern w:val="2"/>
                      <w:sz w:val="21"/>
                    </w:rPr>
                    <w:t>SO</w:t>
                  </w:r>
                  <w:r>
                    <w:rPr>
                      <w:rFonts w:hint="default"/>
                      <w:color w:val="auto"/>
                      <w:kern w:val="2"/>
                      <w:sz w:val="21"/>
                      <w:vertAlign w:val="subscript"/>
                    </w:rPr>
                    <w:t>2</w:t>
                  </w:r>
                </w:p>
              </w:tc>
              <w:tc>
                <w:tcPr>
                  <w:tcW w:w="572"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rPr>
                  </w:pPr>
                  <w:r>
                    <w:rPr>
                      <w:rFonts w:hint="default"/>
                      <w:color w:val="auto"/>
                      <w:kern w:val="2"/>
                      <w:sz w:val="21"/>
                    </w:rPr>
                    <w:t>年平均质量浓度</w:t>
                  </w:r>
                </w:p>
              </w:tc>
              <w:tc>
                <w:tcPr>
                  <w:tcW w:w="634"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eastAsia="宋体"/>
                      <w:color w:val="auto"/>
                      <w:kern w:val="2"/>
                      <w:sz w:val="21"/>
                      <w:lang w:val="en-US" w:eastAsia="zh-CN"/>
                    </w:rPr>
                  </w:pPr>
                  <w:r>
                    <w:rPr>
                      <w:rFonts w:hint="eastAsia" w:ascii="Times New Roman" w:hAnsi="Times New Roman" w:eastAsia="宋体"/>
                      <w:color w:val="auto"/>
                      <w:kern w:val="2"/>
                      <w:sz w:val="21"/>
                      <w:lang w:val="en-US" w:eastAsia="zh-CN"/>
                    </w:rPr>
                    <w:t>8</w:t>
                  </w:r>
                </w:p>
              </w:tc>
              <w:tc>
                <w:tcPr>
                  <w:tcW w:w="642"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eastAsia="宋体"/>
                      <w:color w:val="auto"/>
                      <w:kern w:val="2"/>
                      <w:sz w:val="21"/>
                      <w:lang w:val="en-US" w:eastAsia="zh-CN"/>
                    </w:rPr>
                  </w:pPr>
                  <w:r>
                    <w:rPr>
                      <w:rFonts w:hint="default" w:ascii="Times New Roman" w:hAnsi="Times New Roman" w:eastAsia="宋体"/>
                      <w:color w:val="auto"/>
                      <w:kern w:val="2"/>
                      <w:sz w:val="21"/>
                      <w:lang w:val="en-US" w:eastAsia="zh-CN"/>
                    </w:rPr>
                    <w:t>60</w:t>
                  </w:r>
                </w:p>
              </w:tc>
              <w:tc>
                <w:tcPr>
                  <w:tcW w:w="510"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eastAsia="宋体"/>
                      <w:color w:val="auto"/>
                      <w:kern w:val="2"/>
                      <w:sz w:val="21"/>
                      <w:lang w:val="en-US" w:eastAsia="zh-CN"/>
                    </w:rPr>
                  </w:pPr>
                  <w:bookmarkStart w:id="179" w:name="OLE_LINK181"/>
                  <w:r>
                    <w:rPr>
                      <w:rFonts w:hint="eastAsia"/>
                      <w:color w:val="auto"/>
                      <w:kern w:val="2"/>
                      <w:sz w:val="21"/>
                      <w:lang w:val="en-US" w:eastAsia="zh-CN"/>
                    </w:rPr>
                    <w:t>13.3</w:t>
                  </w:r>
                  <w:bookmarkEnd w:id="179"/>
                </w:p>
              </w:tc>
              <w:tc>
                <w:tcPr>
                  <w:tcW w:w="576"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rPr>
                  </w:pPr>
                  <w:r>
                    <w:rPr>
                      <w:rFonts w:hint="default"/>
                      <w:color w:val="auto"/>
                      <w:kern w:val="2"/>
                      <w:sz w:val="21"/>
                    </w:rPr>
                    <w:t>达标</w:t>
                  </w:r>
                </w:p>
              </w:tc>
              <w:tc>
                <w:tcPr>
                  <w:tcW w:w="639" w:type="pct"/>
                  <w:gridSpan w:val="2"/>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leftChars="0" w:right="0" w:rightChars="0" w:firstLine="0" w:firstLineChars="0"/>
                    <w:rPr>
                      <w:rFonts w:hint="default"/>
                      <w:color w:val="auto"/>
                      <w:kern w:val="2"/>
                      <w:sz w:val="21"/>
                      <w:lang w:val="en-US"/>
                    </w:rPr>
                  </w:pPr>
                  <w:r>
                    <w:rPr>
                      <w:rFonts w:hint="eastAsia"/>
                      <w:color w:val="auto"/>
                      <w:kern w:val="2"/>
                      <w:sz w:val="21"/>
                      <w:lang w:val="en-US" w:eastAsia="zh-CN"/>
                    </w:rPr>
                    <w:t>60</w:t>
                  </w:r>
                </w:p>
              </w:tc>
              <w:tc>
                <w:tcPr>
                  <w:tcW w:w="513"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leftChars="0" w:right="0" w:rightChars="0" w:firstLine="0" w:firstLineChars="0"/>
                    <w:rPr>
                      <w:rFonts w:hint="default"/>
                      <w:color w:val="auto"/>
                      <w:kern w:val="2"/>
                      <w:sz w:val="21"/>
                    </w:rPr>
                  </w:pPr>
                  <w:r>
                    <w:rPr>
                      <w:rFonts w:hint="eastAsia"/>
                      <w:color w:val="auto"/>
                      <w:kern w:val="2"/>
                      <w:sz w:val="21"/>
                      <w:lang w:val="en-US" w:eastAsia="zh-CN"/>
                    </w:rPr>
                    <w:t>13.3</w:t>
                  </w:r>
                </w:p>
              </w:tc>
              <w:tc>
                <w:tcPr>
                  <w:tcW w:w="579"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leftChars="0" w:right="0" w:rightChars="0" w:firstLine="0" w:firstLineChars="0"/>
                    <w:rPr>
                      <w:rFonts w:hint="default"/>
                      <w:color w:val="auto"/>
                      <w:kern w:val="2"/>
                      <w:sz w:val="21"/>
                    </w:rPr>
                  </w:pPr>
                  <w:r>
                    <w:rPr>
                      <w:rFonts w:hint="default"/>
                      <w:color w:val="auto"/>
                      <w:kern w:val="2"/>
                      <w:sz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31"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rPr>
                  </w:pPr>
                  <w:r>
                    <w:rPr>
                      <w:rFonts w:hint="default"/>
                      <w:color w:val="auto"/>
                      <w:kern w:val="2"/>
                      <w:sz w:val="21"/>
                    </w:rPr>
                    <w:t>NO</w:t>
                  </w:r>
                  <w:r>
                    <w:rPr>
                      <w:rFonts w:hint="default"/>
                      <w:color w:val="auto"/>
                      <w:kern w:val="2"/>
                      <w:sz w:val="21"/>
                      <w:vertAlign w:val="subscript"/>
                    </w:rPr>
                    <w:t>2</w:t>
                  </w:r>
                </w:p>
              </w:tc>
              <w:tc>
                <w:tcPr>
                  <w:tcW w:w="572"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rPr>
                  </w:pPr>
                  <w:r>
                    <w:rPr>
                      <w:rFonts w:hint="default"/>
                      <w:color w:val="auto"/>
                      <w:kern w:val="2"/>
                      <w:sz w:val="21"/>
                    </w:rPr>
                    <w:t>年平均质量浓度</w:t>
                  </w:r>
                </w:p>
              </w:tc>
              <w:tc>
                <w:tcPr>
                  <w:tcW w:w="634"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eastAsia="宋体"/>
                      <w:color w:val="auto"/>
                      <w:kern w:val="2"/>
                      <w:sz w:val="21"/>
                      <w:lang w:val="en-US" w:eastAsia="zh-CN"/>
                    </w:rPr>
                  </w:pPr>
                  <w:r>
                    <w:rPr>
                      <w:rFonts w:hint="eastAsia" w:ascii="Times New Roman" w:hAnsi="Times New Roman" w:eastAsia="宋体"/>
                      <w:color w:val="auto"/>
                      <w:kern w:val="2"/>
                      <w:sz w:val="21"/>
                      <w:lang w:val="en-US" w:eastAsia="zh-CN"/>
                    </w:rPr>
                    <w:t>27</w:t>
                  </w:r>
                </w:p>
              </w:tc>
              <w:tc>
                <w:tcPr>
                  <w:tcW w:w="642"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eastAsia="宋体"/>
                      <w:color w:val="auto"/>
                      <w:kern w:val="2"/>
                      <w:sz w:val="21"/>
                      <w:lang w:val="en-US" w:eastAsia="zh-CN"/>
                    </w:rPr>
                  </w:pPr>
                  <w:r>
                    <w:rPr>
                      <w:rFonts w:hint="default" w:ascii="Times New Roman" w:hAnsi="Times New Roman" w:eastAsia="宋体"/>
                      <w:color w:val="auto"/>
                      <w:kern w:val="2"/>
                      <w:sz w:val="21"/>
                      <w:lang w:val="en-US" w:eastAsia="zh-CN"/>
                    </w:rPr>
                    <w:t>40</w:t>
                  </w:r>
                </w:p>
              </w:tc>
              <w:tc>
                <w:tcPr>
                  <w:tcW w:w="510"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eastAsia="宋体"/>
                      <w:color w:val="auto"/>
                      <w:kern w:val="2"/>
                      <w:sz w:val="21"/>
                      <w:lang w:val="en-US" w:eastAsia="zh-CN"/>
                    </w:rPr>
                  </w:pPr>
                  <w:r>
                    <w:rPr>
                      <w:rFonts w:hint="eastAsia"/>
                      <w:color w:val="auto"/>
                      <w:kern w:val="2"/>
                      <w:sz w:val="21"/>
                      <w:lang w:val="en-US" w:eastAsia="zh-CN"/>
                    </w:rPr>
                    <w:t>67.5</w:t>
                  </w:r>
                </w:p>
              </w:tc>
              <w:tc>
                <w:tcPr>
                  <w:tcW w:w="576"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rPr>
                  </w:pPr>
                  <w:r>
                    <w:rPr>
                      <w:rFonts w:hint="default"/>
                      <w:color w:val="auto"/>
                      <w:kern w:val="2"/>
                      <w:sz w:val="21"/>
                    </w:rPr>
                    <w:t>达标</w:t>
                  </w:r>
                </w:p>
              </w:tc>
              <w:tc>
                <w:tcPr>
                  <w:tcW w:w="639" w:type="pct"/>
                  <w:gridSpan w:val="2"/>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leftChars="0" w:right="0" w:rightChars="0" w:firstLine="0" w:firstLineChars="0"/>
                    <w:rPr>
                      <w:rFonts w:hint="default"/>
                      <w:color w:val="auto"/>
                      <w:kern w:val="2"/>
                      <w:sz w:val="21"/>
                      <w:lang w:val="en-US"/>
                    </w:rPr>
                  </w:pPr>
                  <w:r>
                    <w:rPr>
                      <w:rFonts w:hint="eastAsia"/>
                      <w:color w:val="auto"/>
                      <w:kern w:val="2"/>
                      <w:sz w:val="21"/>
                      <w:lang w:val="en-US" w:eastAsia="zh-CN"/>
                    </w:rPr>
                    <w:t>40</w:t>
                  </w:r>
                </w:p>
              </w:tc>
              <w:tc>
                <w:tcPr>
                  <w:tcW w:w="513"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leftChars="0" w:right="0" w:rightChars="0" w:firstLine="0" w:firstLineChars="0"/>
                    <w:rPr>
                      <w:rFonts w:hint="default"/>
                      <w:color w:val="auto"/>
                      <w:kern w:val="2"/>
                      <w:sz w:val="21"/>
                    </w:rPr>
                  </w:pPr>
                  <w:r>
                    <w:rPr>
                      <w:rFonts w:hint="eastAsia" w:ascii="Times New Roman" w:hAnsi="Times New Roman" w:eastAsia="宋体"/>
                      <w:color w:val="auto"/>
                      <w:kern w:val="2"/>
                      <w:sz w:val="21"/>
                      <w:lang w:val="en-US" w:eastAsia="zh-CN"/>
                    </w:rPr>
                    <w:t xml:space="preserve">90.0 </w:t>
                  </w:r>
                </w:p>
              </w:tc>
              <w:tc>
                <w:tcPr>
                  <w:tcW w:w="579"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leftChars="0" w:right="0" w:rightChars="0" w:firstLine="0" w:firstLineChars="0"/>
                    <w:rPr>
                      <w:rFonts w:hint="default"/>
                      <w:color w:val="auto"/>
                      <w:kern w:val="2"/>
                      <w:sz w:val="21"/>
                    </w:rPr>
                  </w:pPr>
                  <w:r>
                    <w:rPr>
                      <w:rFonts w:hint="default"/>
                      <w:color w:val="auto"/>
                      <w:kern w:val="2"/>
                      <w:sz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31"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rPr>
                  </w:pPr>
                  <w:r>
                    <w:rPr>
                      <w:rFonts w:hint="default"/>
                      <w:color w:val="auto"/>
                      <w:kern w:val="2"/>
                      <w:sz w:val="21"/>
                    </w:rPr>
                    <w:t>CO</w:t>
                  </w:r>
                </w:p>
              </w:tc>
              <w:tc>
                <w:tcPr>
                  <w:tcW w:w="572"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rPr>
                  </w:pPr>
                  <w:r>
                    <w:rPr>
                      <w:rFonts w:hint="default"/>
                      <w:color w:val="auto"/>
                      <w:kern w:val="2"/>
                      <w:sz w:val="21"/>
                    </w:rPr>
                    <w:t>第95百分位浓度</w:t>
                  </w:r>
                </w:p>
              </w:tc>
              <w:tc>
                <w:tcPr>
                  <w:tcW w:w="634"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rFonts w:hint="eastAsia" w:ascii="Times New Roman" w:hAnsi="Times New Roman" w:eastAsia="宋体"/>
                      <w:color w:val="auto"/>
                      <w:kern w:val="2"/>
                      <w:sz w:val="21"/>
                      <w:lang w:val="en-US" w:eastAsia="zh-CN"/>
                    </w:rPr>
                  </w:pPr>
                  <w:r>
                    <w:rPr>
                      <w:rFonts w:hint="default" w:ascii="Times New Roman" w:hAnsi="Times New Roman" w:eastAsia="宋体"/>
                      <w:color w:val="auto"/>
                      <w:kern w:val="2"/>
                      <w:sz w:val="21"/>
                      <w:lang w:val="en-US" w:eastAsia="zh-CN"/>
                    </w:rPr>
                    <w:t>1.</w:t>
                  </w:r>
                  <w:r>
                    <w:rPr>
                      <w:rFonts w:hint="eastAsia" w:ascii="Times New Roman" w:hAnsi="Times New Roman" w:eastAsia="宋体"/>
                      <w:color w:val="auto"/>
                      <w:kern w:val="2"/>
                      <w:sz w:val="21"/>
                      <w:lang w:val="en-US" w:eastAsia="zh-CN"/>
                    </w:rPr>
                    <w:t>3</w:t>
                  </w:r>
                  <w:r>
                    <w:rPr>
                      <w:rFonts w:hint="default" w:ascii="Times New Roman" w:hAnsi="Times New Roman" w:eastAsia="宋体"/>
                      <w:color w:val="auto"/>
                      <w:kern w:val="2"/>
                      <w:sz w:val="21"/>
                      <w:lang w:val="en-US" w:eastAsia="zh-CN"/>
                    </w:rPr>
                    <w:t>mg/</w:t>
                  </w:r>
                  <w:bookmarkStart w:id="180" w:name="OLE_LINK179"/>
                  <w:r>
                    <w:rPr>
                      <w:rFonts w:hint="default" w:ascii="Times New Roman" w:hAnsi="Times New Roman" w:eastAsia="宋体"/>
                      <w:color w:val="auto"/>
                      <w:kern w:val="2"/>
                      <w:sz w:val="21"/>
                      <w:lang w:val="en-US" w:eastAsia="zh-CN"/>
                    </w:rPr>
                    <w:t>m</w:t>
                  </w:r>
                  <w:r>
                    <w:rPr>
                      <w:rFonts w:hint="eastAsia" w:ascii="Times New Roman" w:hAnsi="Times New Roman" w:eastAsia="宋体"/>
                      <w:color w:val="auto"/>
                      <w:kern w:val="2"/>
                      <w:sz w:val="21"/>
                      <w:lang w:val="en-US" w:eastAsia="zh-CN"/>
                    </w:rPr>
                    <w:t>³</w:t>
                  </w:r>
                  <w:bookmarkEnd w:id="180"/>
                </w:p>
              </w:tc>
              <w:tc>
                <w:tcPr>
                  <w:tcW w:w="642"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rFonts w:hint="eastAsia" w:ascii="Times New Roman" w:hAnsi="Times New Roman" w:eastAsia="宋体"/>
                      <w:color w:val="auto"/>
                      <w:kern w:val="2"/>
                      <w:sz w:val="21"/>
                      <w:lang w:val="en-US" w:eastAsia="zh-CN"/>
                    </w:rPr>
                  </w:pPr>
                  <w:r>
                    <w:rPr>
                      <w:rFonts w:hint="default" w:ascii="Times New Roman" w:hAnsi="Times New Roman" w:eastAsia="宋体"/>
                      <w:color w:val="auto"/>
                      <w:kern w:val="2"/>
                      <w:sz w:val="21"/>
                      <w:lang w:val="en-US" w:eastAsia="zh-CN"/>
                    </w:rPr>
                    <w:t>4mg/</w:t>
                  </w:r>
                  <w:r>
                    <w:rPr>
                      <w:rFonts w:hint="eastAsia"/>
                      <w:color w:val="auto"/>
                      <w:kern w:val="2"/>
                      <w:sz w:val="21"/>
                      <w:lang w:val="en-US" w:eastAsia="zh-CN"/>
                    </w:rPr>
                    <w:t>m³</w:t>
                  </w:r>
                </w:p>
              </w:tc>
              <w:tc>
                <w:tcPr>
                  <w:tcW w:w="510"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eastAsia="宋体"/>
                      <w:color w:val="auto"/>
                      <w:kern w:val="2"/>
                      <w:sz w:val="21"/>
                      <w:lang w:val="en-US" w:eastAsia="zh-CN"/>
                    </w:rPr>
                  </w:pPr>
                  <w:r>
                    <w:rPr>
                      <w:rFonts w:hint="eastAsia"/>
                      <w:color w:val="auto"/>
                      <w:kern w:val="2"/>
                      <w:sz w:val="21"/>
                      <w:lang w:val="en-US" w:eastAsia="zh-CN"/>
                    </w:rPr>
                    <w:t>32.5</w:t>
                  </w:r>
                </w:p>
              </w:tc>
              <w:tc>
                <w:tcPr>
                  <w:tcW w:w="576"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rPr>
                  </w:pPr>
                  <w:r>
                    <w:rPr>
                      <w:rFonts w:hint="default"/>
                      <w:color w:val="auto"/>
                      <w:kern w:val="2"/>
                      <w:sz w:val="21"/>
                    </w:rPr>
                    <w:t>达标</w:t>
                  </w:r>
                </w:p>
              </w:tc>
              <w:tc>
                <w:tcPr>
                  <w:tcW w:w="639" w:type="pct"/>
                  <w:gridSpan w:val="2"/>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leftChars="0" w:right="0" w:rightChars="0" w:firstLine="0" w:firstLineChars="0"/>
                    <w:rPr>
                      <w:rFonts w:hint="default"/>
                      <w:color w:val="auto"/>
                      <w:kern w:val="2"/>
                      <w:sz w:val="21"/>
                    </w:rPr>
                  </w:pPr>
                  <w:r>
                    <w:rPr>
                      <w:rFonts w:hint="eastAsia" w:ascii="Times New Roman" w:hAnsi="Times New Roman" w:eastAsia="宋体"/>
                      <w:color w:val="auto"/>
                      <w:kern w:val="2"/>
                      <w:sz w:val="21"/>
                      <w:lang w:val="en-US" w:eastAsia="zh-CN"/>
                    </w:rPr>
                    <w:t>4mg/m³</w:t>
                  </w:r>
                </w:p>
              </w:tc>
              <w:tc>
                <w:tcPr>
                  <w:tcW w:w="513"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leftChars="0" w:right="0" w:rightChars="0" w:firstLine="0" w:firstLineChars="0"/>
                    <w:rPr>
                      <w:rFonts w:hint="default"/>
                      <w:color w:val="auto"/>
                      <w:kern w:val="2"/>
                      <w:sz w:val="21"/>
                    </w:rPr>
                  </w:pPr>
                  <w:r>
                    <w:rPr>
                      <w:rFonts w:hint="eastAsia" w:ascii="Times New Roman" w:hAnsi="Times New Roman" w:eastAsia="宋体"/>
                      <w:color w:val="auto"/>
                      <w:kern w:val="2"/>
                      <w:sz w:val="21"/>
                      <w:lang w:val="en-US" w:eastAsia="zh-CN"/>
                    </w:rPr>
                    <w:t xml:space="preserve">32.5 </w:t>
                  </w:r>
                </w:p>
              </w:tc>
              <w:tc>
                <w:tcPr>
                  <w:tcW w:w="579"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leftChars="0" w:right="0" w:rightChars="0" w:firstLine="0" w:firstLineChars="0"/>
                    <w:rPr>
                      <w:rFonts w:hint="default"/>
                      <w:color w:val="auto"/>
                      <w:kern w:val="2"/>
                      <w:sz w:val="21"/>
                    </w:rPr>
                  </w:pPr>
                  <w:r>
                    <w:rPr>
                      <w:rFonts w:hint="default"/>
                      <w:color w:val="auto"/>
                      <w:kern w:val="2"/>
                      <w:sz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31"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rPr>
                  </w:pPr>
                  <w:r>
                    <w:rPr>
                      <w:rFonts w:hint="default"/>
                      <w:color w:val="auto"/>
                      <w:kern w:val="2"/>
                      <w:sz w:val="21"/>
                    </w:rPr>
                    <w:t>O</w:t>
                  </w:r>
                  <w:r>
                    <w:rPr>
                      <w:rFonts w:hint="default"/>
                      <w:color w:val="auto"/>
                      <w:kern w:val="2"/>
                      <w:sz w:val="21"/>
                      <w:vertAlign w:val="subscript"/>
                    </w:rPr>
                    <w:t>3</w:t>
                  </w:r>
                </w:p>
              </w:tc>
              <w:tc>
                <w:tcPr>
                  <w:tcW w:w="572"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rPr>
                  </w:pPr>
                  <w:r>
                    <w:rPr>
                      <w:rFonts w:hint="default"/>
                      <w:color w:val="auto"/>
                      <w:kern w:val="2"/>
                      <w:sz w:val="21"/>
                    </w:rPr>
                    <w:t>第90百分位浓度</w:t>
                  </w:r>
                </w:p>
              </w:tc>
              <w:tc>
                <w:tcPr>
                  <w:tcW w:w="634"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eastAsia="宋体"/>
                      <w:color w:val="auto"/>
                      <w:kern w:val="2"/>
                      <w:sz w:val="21"/>
                      <w:lang w:val="en-US" w:eastAsia="zh-CN"/>
                    </w:rPr>
                  </w:pPr>
                  <w:r>
                    <w:rPr>
                      <w:rFonts w:hint="default" w:ascii="Times New Roman" w:hAnsi="Times New Roman" w:eastAsia="宋体"/>
                      <w:color w:val="auto"/>
                      <w:kern w:val="2"/>
                      <w:sz w:val="21"/>
                      <w:lang w:val="en-US" w:eastAsia="zh-CN"/>
                    </w:rPr>
                    <w:t>183</w:t>
                  </w:r>
                </w:p>
              </w:tc>
              <w:tc>
                <w:tcPr>
                  <w:tcW w:w="642"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eastAsia="宋体"/>
                      <w:color w:val="auto"/>
                      <w:kern w:val="2"/>
                      <w:sz w:val="21"/>
                      <w:lang w:val="en-US" w:eastAsia="zh-CN"/>
                    </w:rPr>
                  </w:pPr>
                  <w:r>
                    <w:rPr>
                      <w:rFonts w:hint="default" w:ascii="Times New Roman" w:hAnsi="Times New Roman" w:eastAsia="宋体"/>
                      <w:color w:val="auto"/>
                      <w:kern w:val="2"/>
                      <w:sz w:val="21"/>
                      <w:lang w:val="en-US" w:eastAsia="zh-CN"/>
                    </w:rPr>
                    <w:t>160</w:t>
                  </w:r>
                </w:p>
              </w:tc>
              <w:tc>
                <w:tcPr>
                  <w:tcW w:w="510"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eastAsia="宋体"/>
                      <w:color w:val="auto"/>
                      <w:kern w:val="2"/>
                      <w:sz w:val="21"/>
                      <w:lang w:val="en-US" w:eastAsia="zh-CN"/>
                    </w:rPr>
                  </w:pPr>
                  <w:r>
                    <w:rPr>
                      <w:rFonts w:hint="eastAsia" w:ascii="Times New Roman" w:hAnsi="Times New Roman" w:eastAsia="宋体"/>
                      <w:color w:val="auto"/>
                      <w:kern w:val="2"/>
                      <w:sz w:val="21"/>
                      <w:lang w:val="en-US" w:eastAsia="zh-CN"/>
                    </w:rPr>
                    <w:t xml:space="preserve">114.4 </w:t>
                  </w:r>
                </w:p>
              </w:tc>
              <w:tc>
                <w:tcPr>
                  <w:tcW w:w="576"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rPr>
                  </w:pPr>
                  <w:r>
                    <w:rPr>
                      <w:rFonts w:hint="default"/>
                      <w:color w:val="auto"/>
                      <w:kern w:val="2"/>
                      <w:sz w:val="21"/>
                    </w:rPr>
                    <w:t>超标</w:t>
                  </w:r>
                </w:p>
              </w:tc>
              <w:tc>
                <w:tcPr>
                  <w:tcW w:w="639" w:type="pct"/>
                  <w:gridSpan w:val="2"/>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leftChars="0" w:right="0" w:rightChars="0" w:firstLine="0" w:firstLineChars="0"/>
                    <w:rPr>
                      <w:rFonts w:hint="default"/>
                      <w:color w:val="auto"/>
                      <w:kern w:val="2"/>
                      <w:sz w:val="21"/>
                    </w:rPr>
                  </w:pPr>
                  <w:r>
                    <w:rPr>
                      <w:rFonts w:hint="eastAsia" w:ascii="Times New Roman" w:hAnsi="Times New Roman" w:eastAsia="宋体"/>
                      <w:color w:val="auto"/>
                      <w:kern w:val="2"/>
                      <w:sz w:val="21"/>
                      <w:lang w:val="en-US" w:eastAsia="zh-CN"/>
                    </w:rPr>
                    <w:t>160</w:t>
                  </w:r>
                </w:p>
              </w:tc>
              <w:tc>
                <w:tcPr>
                  <w:tcW w:w="513"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leftChars="0" w:right="0" w:rightChars="0" w:firstLine="0" w:firstLineChars="0"/>
                    <w:rPr>
                      <w:rFonts w:hint="default"/>
                      <w:color w:val="auto"/>
                      <w:kern w:val="2"/>
                      <w:sz w:val="21"/>
                    </w:rPr>
                  </w:pPr>
                  <w:r>
                    <w:rPr>
                      <w:rFonts w:hint="eastAsia" w:ascii="Times New Roman" w:hAnsi="Times New Roman" w:eastAsia="宋体"/>
                      <w:color w:val="auto"/>
                      <w:kern w:val="2"/>
                      <w:sz w:val="21"/>
                      <w:lang w:val="en-US" w:eastAsia="zh-CN"/>
                    </w:rPr>
                    <w:t xml:space="preserve">114.4 </w:t>
                  </w:r>
                </w:p>
              </w:tc>
              <w:tc>
                <w:tcPr>
                  <w:tcW w:w="579" w:type="pct"/>
                  <w:tcBorders>
                    <w:tl2br w:val="nil"/>
                    <w:tr2bl w:val="nil"/>
                  </w:tcBorders>
                  <w:noWrap w:val="0"/>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leftChars="0" w:right="0" w:rightChars="0" w:firstLine="0" w:firstLineChars="0"/>
                    <w:rPr>
                      <w:rFonts w:hint="default"/>
                      <w:color w:val="auto"/>
                      <w:kern w:val="2"/>
                      <w:sz w:val="21"/>
                    </w:rPr>
                  </w:pPr>
                  <w:r>
                    <w:rPr>
                      <w:rFonts w:hint="default"/>
                      <w:color w:val="auto"/>
                      <w:kern w:val="2"/>
                      <w:sz w:val="21"/>
                    </w:rPr>
                    <w:t>超标</w:t>
                  </w:r>
                </w:p>
              </w:tc>
            </w:tr>
            <w:bookmarkEnd w:id="176"/>
            <w:bookmarkEnd w:id="177"/>
          </w:tbl>
          <w:p>
            <w:pPr>
              <w:keepNext w:val="0"/>
              <w:keepLines w:val="0"/>
              <w:suppressLineNumbers w:val="0"/>
              <w:bidi w:val="0"/>
              <w:spacing w:before="0" w:beforeAutospacing="0" w:after="0" w:afterAutospacing="0"/>
              <w:ind w:left="0" w:right="0"/>
              <w:rPr>
                <w:color w:val="auto"/>
              </w:rPr>
            </w:pPr>
            <w:r>
              <w:rPr>
                <w:color w:val="auto"/>
              </w:rPr>
              <w:t>由上表可知，</w:t>
            </w:r>
            <w:bookmarkStart w:id="181" w:name="OLE_LINK194"/>
            <w:r>
              <w:rPr>
                <w:rFonts w:hint="eastAsia"/>
                <w:color w:val="auto"/>
                <w:lang w:val="en-US" w:eastAsia="zh-CN"/>
              </w:rPr>
              <w:t>2024年</w:t>
            </w:r>
            <w:r>
              <w:rPr>
                <w:rFonts w:hint="eastAsia"/>
                <w:color w:val="auto"/>
              </w:rPr>
              <w:t>新乡市</w:t>
            </w:r>
            <w:r>
              <w:rPr>
                <w:color w:val="auto"/>
              </w:rPr>
              <w:t>空气质量中P</w:t>
            </w:r>
            <w:bookmarkStart w:id="182" w:name="OLE_LINK34"/>
            <w:r>
              <w:rPr>
                <w:color w:val="auto"/>
              </w:rPr>
              <w:t>M</w:t>
            </w:r>
            <w:bookmarkEnd w:id="182"/>
            <w:r>
              <w:rPr>
                <w:color w:val="auto"/>
                <w:vertAlign w:val="subscript"/>
              </w:rPr>
              <w:t>10</w:t>
            </w:r>
            <w:r>
              <w:rPr>
                <w:color w:val="auto"/>
              </w:rPr>
              <w:t>、PM</w:t>
            </w:r>
            <w:r>
              <w:rPr>
                <w:rFonts w:hint="eastAsia"/>
                <w:color w:val="auto"/>
                <w:vertAlign w:val="subscript"/>
                <w:lang w:val="en-US" w:eastAsia="zh-CN"/>
              </w:rPr>
              <w:t>2</w:t>
            </w:r>
            <w:r>
              <w:rPr>
                <w:color w:val="auto"/>
                <w:vertAlign w:val="subscript"/>
              </w:rPr>
              <w:t>.5</w:t>
            </w:r>
            <w:r>
              <w:rPr>
                <w:color w:val="auto"/>
              </w:rPr>
              <w:t>、O</w:t>
            </w:r>
            <w:r>
              <w:rPr>
                <w:color w:val="auto"/>
                <w:vertAlign w:val="subscript"/>
              </w:rPr>
              <w:t>3</w:t>
            </w:r>
            <w:r>
              <w:rPr>
                <w:color w:val="auto"/>
              </w:rPr>
              <w:t>均</w:t>
            </w:r>
            <w:bookmarkStart w:id="183" w:name="OLE_LINK192"/>
            <w:r>
              <w:rPr>
                <w:rFonts w:hint="eastAsia"/>
                <w:color w:val="auto"/>
                <w:lang w:val="en-US" w:eastAsia="zh-CN"/>
              </w:rPr>
              <w:t>未达到</w:t>
            </w:r>
            <w:r>
              <w:rPr>
                <w:color w:val="auto"/>
              </w:rPr>
              <w:t>《环境空气质量标准》（</w:t>
            </w:r>
            <w:r>
              <w:rPr>
                <w:rFonts w:hint="default"/>
                <w:color w:val="auto"/>
              </w:rPr>
              <w:t>GB3095-2012</w:t>
            </w:r>
            <w:r>
              <w:rPr>
                <w:color w:val="auto"/>
              </w:rPr>
              <w:t>）</w:t>
            </w:r>
            <w:bookmarkEnd w:id="183"/>
            <w:r>
              <w:rPr>
                <w:color w:val="auto"/>
              </w:rPr>
              <w:t>二级标准</w:t>
            </w:r>
            <w:r>
              <w:rPr>
                <w:rFonts w:hint="eastAsia"/>
                <w:color w:val="auto"/>
                <w:lang w:eastAsia="zh-CN"/>
              </w:rPr>
              <w:t>，</w:t>
            </w:r>
            <w:r>
              <w:rPr>
                <w:rFonts w:hint="eastAsia"/>
                <w:color w:val="auto"/>
                <w:lang w:val="en-US" w:eastAsia="zh-CN"/>
              </w:rPr>
              <w:t>该标准已于2026年3月1日废止，目前执行的是</w:t>
            </w:r>
            <w:r>
              <w:rPr>
                <w:color w:val="auto"/>
              </w:rPr>
              <w:t>《环境空气质量标准》（GB3095-20</w:t>
            </w:r>
            <w:r>
              <w:rPr>
                <w:rFonts w:hint="eastAsia"/>
                <w:color w:val="auto"/>
                <w:lang w:val="en-US" w:eastAsia="zh-CN"/>
              </w:rPr>
              <w:t>26</w:t>
            </w:r>
            <w:r>
              <w:rPr>
                <w:color w:val="auto"/>
              </w:rPr>
              <w:t>）二级标准</w:t>
            </w:r>
            <w:r>
              <w:rPr>
                <w:rFonts w:hint="eastAsia"/>
                <w:color w:val="auto"/>
                <w:lang w:val="en-US" w:eastAsia="zh-CN"/>
              </w:rPr>
              <w:t>过渡阶段浓度限值</w:t>
            </w:r>
            <w:r>
              <w:rPr>
                <w:rFonts w:hint="eastAsia"/>
                <w:color w:val="auto"/>
                <w:lang w:eastAsia="zh-CN"/>
              </w:rPr>
              <w:t>，</w:t>
            </w:r>
            <w:bookmarkEnd w:id="181"/>
            <w:r>
              <w:rPr>
                <w:color w:val="auto"/>
              </w:rPr>
              <w:t>但上述指标同样不能满足新标准的要求。</w:t>
            </w:r>
          </w:p>
          <w:p>
            <w:pPr>
              <w:keepNext w:val="0"/>
              <w:keepLines w:val="0"/>
              <w:suppressLineNumbers w:val="0"/>
              <w:bidi w:val="0"/>
              <w:spacing w:before="0" w:beforeAutospacing="0" w:after="0" w:afterAutospacing="0"/>
              <w:ind w:left="0" w:right="0"/>
              <w:rPr>
                <w:rFonts w:hint="default"/>
                <w:color w:val="auto"/>
              </w:rPr>
            </w:pPr>
            <w:r>
              <w:rPr>
                <w:color w:val="auto"/>
                <w:sz w:val="24"/>
                <w:u w:val="none"/>
              </w:rPr>
              <w:t>目前，新乡市正在实施</w:t>
            </w:r>
            <w:r>
              <w:rPr>
                <w:color w:val="auto"/>
                <w:u w:val="none"/>
              </w:rPr>
              <w:t>新乡市生态环境保护委员会办公室关于印发</w:t>
            </w:r>
            <w:r>
              <w:rPr>
                <w:rFonts w:hint="eastAsia"/>
                <w:color w:val="auto"/>
                <w:u w:val="none"/>
                <w:lang w:eastAsia="zh-CN"/>
              </w:rPr>
              <w:t>《</w:t>
            </w:r>
            <w:r>
              <w:rPr>
                <w:color w:val="auto"/>
                <w:u w:val="none"/>
              </w:rPr>
              <w:t>新乡市202</w:t>
            </w:r>
            <w:r>
              <w:rPr>
                <w:rFonts w:hint="eastAsia"/>
                <w:color w:val="auto"/>
                <w:u w:val="none"/>
                <w:lang w:val="en-US" w:eastAsia="zh-CN"/>
              </w:rPr>
              <w:t>5</w:t>
            </w:r>
            <w:r>
              <w:rPr>
                <w:color w:val="auto"/>
                <w:u w:val="none"/>
              </w:rPr>
              <w:t>年蓝天保卫战实施方案</w:t>
            </w:r>
            <w:r>
              <w:rPr>
                <w:rFonts w:hint="eastAsia"/>
                <w:color w:val="auto"/>
                <w:u w:val="none"/>
              </w:rPr>
              <w:t>》的通</w:t>
            </w:r>
            <w:r>
              <w:rPr>
                <w:rFonts w:hint="eastAsia"/>
                <w:color w:val="auto"/>
                <w:sz w:val="24"/>
                <w:u w:val="none"/>
              </w:rPr>
              <w:t>知</w:t>
            </w:r>
            <w:r>
              <w:rPr>
                <w:color w:val="auto"/>
                <w:sz w:val="24"/>
                <w:u w:val="none"/>
              </w:rPr>
              <w:t>等一系列措施，实施这些方案将不断改善区域大气环境质量。</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2、地表水环境质量现状</w:t>
            </w:r>
          </w:p>
          <w:p>
            <w:pPr>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本项目无生产废水，生活污水经化粪池处理后，定期清运。</w:t>
            </w:r>
            <w:r>
              <w:rPr>
                <w:rFonts w:hint="default" w:ascii="Times New Roman" w:hAnsi="Times New Roman" w:cs="Times New Roman"/>
                <w:color w:val="auto"/>
              </w:rPr>
              <w:t>距离本项目最近的市考地表功能水体为西北侧</w:t>
            </w:r>
            <w:r>
              <w:rPr>
                <w:rFonts w:hint="default" w:ascii="Times New Roman" w:hAnsi="Times New Roman" w:cs="Times New Roman"/>
                <w:color w:val="auto"/>
                <w:lang w:val="en-US" w:eastAsia="zh-CN"/>
              </w:rPr>
              <w:t>2.3</w:t>
            </w:r>
            <w:r>
              <w:rPr>
                <w:rFonts w:hint="default" w:ascii="Times New Roman" w:hAnsi="Times New Roman" w:cs="Times New Roman"/>
                <w:color w:val="auto"/>
              </w:rPr>
              <w:t>km处的西孟姜女河，属于海河流域。</w:t>
            </w:r>
            <w:bookmarkStart w:id="184" w:name="OLE_LINK195"/>
            <w:r>
              <w:rPr>
                <w:rFonts w:hint="default" w:ascii="Times New Roman" w:hAnsi="Times New Roman" w:cs="Times New Roman"/>
                <w:color w:val="auto"/>
              </w:rPr>
              <w:t>根据《</w:t>
            </w:r>
            <w:r>
              <w:rPr>
                <w:rFonts w:hint="default" w:ascii="Times New Roman" w:hAnsi="Times New Roman" w:cs="Times New Roman"/>
                <w:color w:val="auto"/>
                <w:lang w:val="en-US" w:eastAsia="zh-CN"/>
              </w:rPr>
              <w:t>新乡市生态环境关于印发</w:t>
            </w:r>
            <w:bookmarkStart w:id="185" w:name="OLE_LINK205"/>
            <w:r>
              <w:rPr>
                <w:rFonts w:hint="default" w:ascii="Times New Roman" w:hAnsi="Times New Roman" w:cs="Times New Roman"/>
                <w:color w:val="auto"/>
                <w:lang w:val="en-US" w:eastAsia="zh-CN"/>
              </w:rPr>
              <w:t>2025年</w:t>
            </w:r>
            <w:bookmarkEnd w:id="185"/>
            <w:r>
              <w:rPr>
                <w:rFonts w:hint="default" w:ascii="Times New Roman" w:hAnsi="Times New Roman" w:cs="Times New Roman"/>
                <w:color w:val="auto"/>
                <w:lang w:val="en-US" w:eastAsia="zh-CN"/>
              </w:rPr>
              <w:t>地表水环境质量目标的函》，</w:t>
            </w:r>
            <w:r>
              <w:rPr>
                <w:rFonts w:hint="default" w:ascii="Times New Roman" w:hAnsi="Times New Roman" w:cs="Times New Roman"/>
                <w:color w:val="auto"/>
              </w:rPr>
              <w:t>西</w:t>
            </w:r>
            <w:r>
              <w:rPr>
                <w:rFonts w:hint="default" w:ascii="Times New Roman" w:hAnsi="Times New Roman" w:cs="Times New Roman"/>
                <w:color w:val="auto"/>
                <w:lang w:val="en-US" w:eastAsia="zh-CN"/>
              </w:rPr>
              <w:t>孟姜女河2025年的水体功能类别为Ⅲ类标准。</w:t>
            </w:r>
            <w:bookmarkEnd w:id="184"/>
            <w:r>
              <w:rPr>
                <w:rFonts w:hint="default" w:ascii="Times New Roman" w:hAnsi="Times New Roman" w:cs="Times New Roman"/>
                <w:color w:val="auto"/>
                <w:lang w:val="en-US" w:eastAsia="zh-CN"/>
              </w:rPr>
              <w:t>自</w:t>
            </w:r>
            <w:r>
              <w:rPr>
                <w:rFonts w:hint="default" w:ascii="Times New Roman" w:hAnsi="Times New Roman" w:cs="Times New Roman"/>
                <w:color w:val="auto"/>
              </w:rPr>
              <w:t>202</w:t>
            </w:r>
            <w:r>
              <w:rPr>
                <w:rFonts w:hint="default" w:ascii="Times New Roman" w:hAnsi="Times New Roman" w:cs="Times New Roman"/>
                <w:color w:val="auto"/>
                <w:lang w:val="en-US" w:eastAsia="zh-CN"/>
              </w:rPr>
              <w:t>4</w:t>
            </w:r>
            <w:r>
              <w:rPr>
                <w:rFonts w:hint="default" w:ascii="Times New Roman" w:hAnsi="Times New Roman" w:cs="Times New Roman"/>
                <w:color w:val="auto"/>
              </w:rPr>
              <w:t>年</w:t>
            </w:r>
            <w:bookmarkStart w:id="186" w:name="OLE_LINK154"/>
            <w:r>
              <w:rPr>
                <w:rFonts w:hint="default" w:ascii="Times New Roman" w:hAnsi="Times New Roman" w:cs="Times New Roman"/>
                <w:color w:val="auto"/>
                <w:lang w:val="en-US" w:eastAsia="zh-CN"/>
              </w:rPr>
              <w:t>11月至2025年，</w:t>
            </w:r>
            <w:r>
              <w:rPr>
                <w:rFonts w:hint="default" w:ascii="Times New Roman" w:hAnsi="Times New Roman" w:cs="Times New Roman"/>
                <w:color w:val="auto"/>
              </w:rPr>
              <w:t>西</w:t>
            </w:r>
            <w:bookmarkEnd w:id="186"/>
            <w:r>
              <w:rPr>
                <w:rFonts w:hint="default" w:ascii="Times New Roman" w:hAnsi="Times New Roman" w:cs="Times New Roman"/>
                <w:color w:val="auto"/>
              </w:rPr>
              <w:t>孟姜女河</w:t>
            </w:r>
            <w:r>
              <w:rPr>
                <w:rFonts w:hint="default" w:ascii="Times New Roman" w:hAnsi="Times New Roman" w:cs="Times New Roman"/>
                <w:color w:val="auto"/>
                <w:lang w:val="en-US" w:eastAsia="zh-CN"/>
              </w:rPr>
              <w:t>入卫口处于断流状态</w:t>
            </w:r>
            <w:r>
              <w:rPr>
                <w:rFonts w:hint="default" w:ascii="Times New Roman" w:hAnsi="Times New Roman" w:cs="Times New Roman"/>
                <w:color w:val="auto"/>
                <w:lang w:eastAsia="zh-CN"/>
              </w:rPr>
              <w:t>，</w:t>
            </w:r>
            <w:bookmarkStart w:id="187" w:name="OLE_LINK202"/>
            <w:r>
              <w:rPr>
                <w:rFonts w:hint="default" w:ascii="Times New Roman" w:hAnsi="Times New Roman" w:cs="Times New Roman"/>
                <w:color w:val="auto"/>
                <w:lang w:val="en-US" w:eastAsia="zh-CN"/>
              </w:rPr>
              <w:t>因此2024年仅有1-10月监测数据，</w:t>
            </w:r>
            <w:bookmarkStart w:id="188" w:name="OLE_LINK66"/>
            <w:r>
              <w:rPr>
                <w:rFonts w:hint="default" w:ascii="Times New Roman" w:hAnsi="Times New Roman" w:cs="Times New Roman"/>
                <w:color w:val="auto"/>
              </w:rPr>
              <w:t>2024年，该河流的水体功能类别为Ⅳ类标准。2024年1</w:t>
            </w:r>
            <w:r>
              <w:rPr>
                <w:rFonts w:hint="default" w:ascii="Times New Roman" w:hAnsi="Times New Roman" w:cs="Times New Roman"/>
                <w:color w:val="auto"/>
                <w:lang w:val="en-US" w:eastAsia="zh-CN"/>
              </w:rPr>
              <w:t>-</w:t>
            </w:r>
            <w:r>
              <w:rPr>
                <w:rFonts w:hint="default" w:ascii="Times New Roman" w:hAnsi="Times New Roman" w:cs="Times New Roman"/>
                <w:color w:val="auto"/>
              </w:rPr>
              <w:t>10月</w:t>
            </w:r>
            <w:r>
              <w:rPr>
                <w:rFonts w:hint="default" w:ascii="Times New Roman" w:hAnsi="Times New Roman" w:cs="Times New Roman"/>
                <w:color w:val="auto"/>
                <w:lang w:eastAsia="zh-CN"/>
              </w:rPr>
              <w:t>，</w:t>
            </w:r>
            <w:r>
              <w:rPr>
                <w:rFonts w:hint="default" w:ascii="Times New Roman" w:hAnsi="Times New Roman" w:cs="Times New Roman"/>
                <w:color w:val="auto"/>
              </w:rPr>
              <w:t>卫滨区西孟入卫口</w:t>
            </w:r>
            <w:bookmarkEnd w:id="188"/>
            <w:r>
              <w:rPr>
                <w:rFonts w:hint="default" w:ascii="Times New Roman" w:hAnsi="Times New Roman" w:cs="Times New Roman"/>
                <w:color w:val="auto"/>
              </w:rPr>
              <w:t>断面监测结果达标情况详见下表。</w:t>
            </w:r>
            <w:bookmarkEnd w:id="187"/>
          </w:p>
          <w:p>
            <w:pPr>
              <w:pStyle w:val="12"/>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表</w:t>
            </w:r>
            <w:r>
              <w:rPr>
                <w:rFonts w:hint="eastAsia"/>
                <w:color w:val="auto"/>
                <w:lang w:val="en-US" w:eastAsia="zh-CN"/>
              </w:rPr>
              <w:t xml:space="preserve"> 3-2  </w:t>
            </w:r>
            <w:r>
              <w:rPr>
                <w:rFonts w:hint="eastAsia"/>
                <w:color w:val="auto"/>
                <w:sz w:val="24"/>
                <w:szCs w:val="18"/>
              </w:rPr>
              <w:t>卫滨区西孟入卫口</w:t>
            </w:r>
            <w:r>
              <w:rPr>
                <w:rFonts w:hint="default"/>
                <w:color w:val="auto"/>
                <w:lang w:val="en-US" w:eastAsia="zh-CN"/>
              </w:rPr>
              <w:t>断面水质监测结果一览表（202</w:t>
            </w:r>
            <w:r>
              <w:rPr>
                <w:rFonts w:hint="eastAsia"/>
                <w:color w:val="auto"/>
                <w:lang w:val="en-US" w:eastAsia="zh-CN"/>
              </w:rPr>
              <w:t>4</w:t>
            </w:r>
            <w:r>
              <w:rPr>
                <w:rFonts w:hint="default"/>
                <w:color w:val="auto"/>
                <w:lang w:val="en-US" w:eastAsia="zh-CN"/>
              </w:rPr>
              <w:t>年</w:t>
            </w:r>
            <w:r>
              <w:rPr>
                <w:rFonts w:hint="eastAsia"/>
                <w:color w:val="auto"/>
                <w:lang w:val="en-US" w:eastAsia="zh-CN"/>
              </w:rPr>
              <w:t>1-10</w:t>
            </w:r>
            <w:r>
              <w:rPr>
                <w:rFonts w:hint="default"/>
                <w:color w:val="auto"/>
                <w:lang w:val="en-US" w:eastAsia="zh-CN"/>
              </w:rPr>
              <w:t>月平均值）</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019"/>
              <w:gridCol w:w="2020"/>
              <w:gridCol w:w="2020"/>
              <w:gridCol w:w="202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249" w:type="pct"/>
                  <w:tcBorders>
                    <w:tl2br w:val="nil"/>
                    <w:tr2bl w:val="nil"/>
                  </w:tcBorders>
                  <w:shd w:val="clear" w:color="auto" w:fill="auto"/>
                  <w:vAlign w:val="center"/>
                </w:tcPr>
                <w:p>
                  <w:pPr>
                    <w:pStyle w:val="28"/>
                    <w:keepNext w:val="0"/>
                    <w:keepLines w:val="0"/>
                    <w:suppressLineNumbers w:val="0"/>
                    <w:bidi w:val="0"/>
                    <w:spacing w:before="0" w:beforeAutospacing="0" w:after="0" w:afterAutospacing="0"/>
                    <w:ind w:left="0" w:right="0"/>
                    <w:rPr>
                      <w:rFonts w:hint="default"/>
                      <w:b/>
                      <w:bCs/>
                      <w:color w:val="auto"/>
                      <w:lang w:val="en-US" w:eastAsia="zh-CN"/>
                    </w:rPr>
                  </w:pPr>
                  <w:r>
                    <w:rPr>
                      <w:rFonts w:hint="eastAsia"/>
                      <w:b/>
                      <w:bCs/>
                      <w:color w:val="auto"/>
                      <w:lang w:val="en-US" w:eastAsia="zh-CN"/>
                    </w:rPr>
                    <w:t>监测因子</w:t>
                  </w:r>
                </w:p>
              </w:tc>
              <w:tc>
                <w:tcPr>
                  <w:tcW w:w="1249" w:type="pct"/>
                  <w:tcBorders>
                    <w:tl2br w:val="nil"/>
                    <w:tr2bl w:val="nil"/>
                  </w:tcBorders>
                  <w:shd w:val="clear" w:color="auto" w:fill="auto"/>
                  <w:vAlign w:val="center"/>
                </w:tcPr>
                <w:p>
                  <w:pPr>
                    <w:pStyle w:val="28"/>
                    <w:keepNext w:val="0"/>
                    <w:keepLines w:val="0"/>
                    <w:suppressLineNumbers w:val="0"/>
                    <w:bidi w:val="0"/>
                    <w:spacing w:before="0" w:beforeAutospacing="0" w:after="0" w:afterAutospacing="0"/>
                    <w:ind w:left="0" w:right="0"/>
                    <w:rPr>
                      <w:rFonts w:hint="default" w:eastAsia="宋体"/>
                      <w:b/>
                      <w:bCs/>
                      <w:color w:val="auto"/>
                      <w:lang w:val="en-US" w:eastAsia="zh-CN"/>
                    </w:rPr>
                  </w:pPr>
                  <w:r>
                    <w:rPr>
                      <w:b/>
                      <w:bCs/>
                      <w:color w:val="auto"/>
                    </w:rPr>
                    <w:t>COD</w:t>
                  </w:r>
                </w:p>
              </w:tc>
              <w:tc>
                <w:tcPr>
                  <w:tcW w:w="1249" w:type="pct"/>
                  <w:tcBorders>
                    <w:tl2br w:val="nil"/>
                    <w:tr2bl w:val="nil"/>
                  </w:tcBorders>
                  <w:shd w:val="clear" w:color="auto" w:fill="auto"/>
                  <w:vAlign w:val="center"/>
                </w:tcPr>
                <w:p>
                  <w:pPr>
                    <w:pStyle w:val="28"/>
                    <w:keepNext w:val="0"/>
                    <w:keepLines w:val="0"/>
                    <w:suppressLineNumbers w:val="0"/>
                    <w:bidi w:val="0"/>
                    <w:spacing w:before="0" w:beforeAutospacing="0" w:after="0" w:afterAutospacing="0"/>
                    <w:ind w:left="0" w:right="0"/>
                    <w:rPr>
                      <w:rFonts w:hint="default"/>
                      <w:b/>
                      <w:bCs/>
                      <w:color w:val="auto"/>
                      <w:lang w:val="en-US" w:eastAsia="zh-CN"/>
                    </w:rPr>
                  </w:pPr>
                  <w:r>
                    <w:rPr>
                      <w:b/>
                      <w:bCs/>
                      <w:color w:val="auto"/>
                    </w:rPr>
                    <w:t>NH</w:t>
                  </w:r>
                  <w:r>
                    <w:rPr>
                      <w:b/>
                      <w:bCs/>
                      <w:color w:val="auto"/>
                      <w:vertAlign w:val="subscript"/>
                    </w:rPr>
                    <w:t>3</w:t>
                  </w:r>
                  <w:r>
                    <w:rPr>
                      <w:b/>
                      <w:bCs/>
                      <w:color w:val="auto"/>
                    </w:rPr>
                    <w:t>-N</w:t>
                  </w:r>
                </w:p>
              </w:tc>
              <w:tc>
                <w:tcPr>
                  <w:tcW w:w="1250" w:type="pct"/>
                  <w:tcBorders>
                    <w:tl2br w:val="nil"/>
                    <w:tr2bl w:val="nil"/>
                  </w:tcBorders>
                  <w:shd w:val="clear" w:color="auto" w:fill="auto"/>
                  <w:vAlign w:val="center"/>
                </w:tcPr>
                <w:p>
                  <w:pPr>
                    <w:pStyle w:val="28"/>
                    <w:keepNext w:val="0"/>
                    <w:keepLines w:val="0"/>
                    <w:suppressLineNumbers w:val="0"/>
                    <w:bidi w:val="0"/>
                    <w:spacing w:before="0" w:beforeAutospacing="0" w:after="0" w:afterAutospacing="0"/>
                    <w:ind w:left="0" w:right="0"/>
                    <w:rPr>
                      <w:rFonts w:hint="default"/>
                      <w:b/>
                      <w:bCs/>
                      <w:color w:val="auto"/>
                      <w:lang w:val="en-US" w:eastAsia="zh-CN"/>
                    </w:rPr>
                  </w:pPr>
                  <w:r>
                    <w:rPr>
                      <w:b/>
                      <w:bCs/>
                      <w:color w:val="auto"/>
                    </w:rPr>
                    <w:t>TP</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249" w:type="pct"/>
                  <w:tcBorders>
                    <w:tl2br w:val="nil"/>
                    <w:tr2bl w:val="nil"/>
                  </w:tcBorders>
                  <w:shd w:val="clear" w:color="auto" w:fill="auto"/>
                  <w:vAlign w:val="center"/>
                </w:tcPr>
                <w:p>
                  <w:pPr>
                    <w:pStyle w:val="28"/>
                    <w:keepNext w:val="0"/>
                    <w:keepLines w:val="0"/>
                    <w:suppressLineNumbers w:val="0"/>
                    <w:bidi w:val="0"/>
                    <w:spacing w:before="0" w:beforeAutospacing="0" w:after="0" w:afterAutospacing="0"/>
                    <w:ind w:left="0" w:right="0"/>
                    <w:rPr>
                      <w:color w:val="auto"/>
                      <w:lang w:val="en-US"/>
                    </w:rPr>
                  </w:pPr>
                  <w:r>
                    <w:rPr>
                      <w:rFonts w:hint="eastAsia"/>
                      <w:color w:val="auto"/>
                      <w:lang w:val="en-US" w:eastAsia="zh-CN"/>
                    </w:rPr>
                    <w:t>监测数据</w:t>
                  </w:r>
                </w:p>
              </w:tc>
              <w:tc>
                <w:tcPr>
                  <w:tcW w:w="1249" w:type="pct"/>
                  <w:tcBorders>
                    <w:tl2br w:val="nil"/>
                    <w:tr2bl w:val="nil"/>
                  </w:tcBorders>
                  <w:shd w:val="clear" w:color="auto" w:fill="auto"/>
                  <w:vAlign w:val="center"/>
                </w:tcPr>
                <w:p>
                  <w:pPr>
                    <w:pStyle w:val="28"/>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22.5</w:t>
                  </w:r>
                </w:p>
              </w:tc>
              <w:tc>
                <w:tcPr>
                  <w:tcW w:w="1249" w:type="pct"/>
                  <w:tcBorders>
                    <w:tl2br w:val="nil"/>
                    <w:tr2bl w:val="nil"/>
                  </w:tcBorders>
                  <w:shd w:val="clear" w:color="auto" w:fill="auto"/>
                  <w:vAlign w:val="center"/>
                </w:tcPr>
                <w:p>
                  <w:pPr>
                    <w:pStyle w:val="28"/>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1.7</w:t>
                  </w:r>
                </w:p>
              </w:tc>
              <w:tc>
                <w:tcPr>
                  <w:tcW w:w="1250" w:type="pct"/>
                  <w:tcBorders>
                    <w:tl2br w:val="nil"/>
                    <w:tr2bl w:val="nil"/>
                  </w:tcBorders>
                  <w:shd w:val="clear" w:color="auto" w:fill="auto"/>
                  <w:vAlign w:val="center"/>
                </w:tcPr>
                <w:p>
                  <w:pPr>
                    <w:pStyle w:val="28"/>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0.21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249" w:type="pct"/>
                  <w:tcBorders>
                    <w:tl2br w:val="nil"/>
                    <w:tr2bl w:val="nil"/>
                  </w:tcBorders>
                  <w:shd w:val="clear" w:color="auto" w:fill="auto"/>
                  <w:vAlign w:val="center"/>
                </w:tcPr>
                <w:p>
                  <w:pPr>
                    <w:pStyle w:val="28"/>
                    <w:keepNext w:val="0"/>
                    <w:keepLines w:val="0"/>
                    <w:suppressLineNumbers w:val="0"/>
                    <w:bidi w:val="0"/>
                    <w:spacing w:before="0" w:beforeAutospacing="0" w:after="0" w:afterAutospacing="0"/>
                    <w:ind w:left="0" w:right="0"/>
                    <w:rPr>
                      <w:color w:val="auto"/>
                      <w:lang w:val="en-US"/>
                    </w:rPr>
                  </w:pPr>
                  <w:r>
                    <w:rPr>
                      <w:rFonts w:hint="eastAsia"/>
                      <w:color w:val="auto"/>
                      <w:lang w:val="en-US" w:eastAsia="zh-CN"/>
                    </w:rPr>
                    <w:t>执行标准</w:t>
                  </w:r>
                </w:p>
              </w:tc>
              <w:tc>
                <w:tcPr>
                  <w:tcW w:w="1249" w:type="pct"/>
                  <w:tcBorders>
                    <w:tl2br w:val="nil"/>
                    <w:tr2bl w:val="nil"/>
                  </w:tcBorders>
                  <w:shd w:val="clear" w:color="auto" w:fill="auto"/>
                  <w:vAlign w:val="center"/>
                </w:tcPr>
                <w:p>
                  <w:pPr>
                    <w:pStyle w:val="28"/>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eastAsia="zh-CN"/>
                    </w:rPr>
                    <w:t>30</w:t>
                  </w:r>
                </w:p>
              </w:tc>
              <w:tc>
                <w:tcPr>
                  <w:tcW w:w="1249" w:type="pct"/>
                  <w:tcBorders>
                    <w:tl2br w:val="nil"/>
                    <w:tr2bl w:val="nil"/>
                  </w:tcBorders>
                  <w:shd w:val="clear" w:color="auto" w:fill="auto"/>
                  <w:vAlign w:val="center"/>
                </w:tcPr>
                <w:p>
                  <w:pPr>
                    <w:pStyle w:val="28"/>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eastAsia="zh-CN"/>
                    </w:rPr>
                    <w:t>1.5</w:t>
                  </w:r>
                </w:p>
              </w:tc>
              <w:tc>
                <w:tcPr>
                  <w:tcW w:w="1250" w:type="pct"/>
                  <w:tcBorders>
                    <w:tl2br w:val="nil"/>
                    <w:tr2bl w:val="nil"/>
                  </w:tcBorders>
                  <w:shd w:val="clear" w:color="auto" w:fill="auto"/>
                  <w:vAlign w:val="center"/>
                </w:tcPr>
                <w:p>
                  <w:pPr>
                    <w:pStyle w:val="28"/>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color w:val="auto"/>
                      <w:lang w:val="en-US" w:eastAsia="zh-CN"/>
                    </w:rPr>
                    <w:t>0.3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9" w:type="pct"/>
                  <w:tcBorders>
                    <w:tl2br w:val="nil"/>
                    <w:tr2bl w:val="nil"/>
                  </w:tcBorders>
                  <w:shd w:val="clear" w:color="auto" w:fill="auto"/>
                  <w:vAlign w:val="center"/>
                </w:tcPr>
                <w:p>
                  <w:pPr>
                    <w:pStyle w:val="28"/>
                    <w:keepNext w:val="0"/>
                    <w:keepLines w:val="0"/>
                    <w:suppressLineNumbers w:val="0"/>
                    <w:bidi w:val="0"/>
                    <w:spacing w:before="0" w:beforeAutospacing="0" w:after="0" w:afterAutospacing="0"/>
                    <w:ind w:left="0" w:right="0"/>
                    <w:rPr>
                      <w:color w:val="auto"/>
                      <w:lang w:val="en-US"/>
                    </w:rPr>
                  </w:pPr>
                  <w:r>
                    <w:rPr>
                      <w:rFonts w:hint="eastAsia"/>
                      <w:color w:val="auto"/>
                      <w:lang w:val="en-US" w:eastAsia="zh-CN"/>
                    </w:rPr>
                    <w:t>达标情况</w:t>
                  </w:r>
                </w:p>
              </w:tc>
              <w:tc>
                <w:tcPr>
                  <w:tcW w:w="1249" w:type="pct"/>
                  <w:tcBorders>
                    <w:tl2br w:val="nil"/>
                    <w:tr2bl w:val="nil"/>
                  </w:tcBorders>
                  <w:shd w:val="clear" w:color="auto" w:fill="auto"/>
                  <w:vAlign w:val="center"/>
                </w:tcPr>
                <w:p>
                  <w:pPr>
                    <w:pStyle w:val="28"/>
                    <w:keepNext w:val="0"/>
                    <w:keepLines w:val="0"/>
                    <w:suppressLineNumbers w:val="0"/>
                    <w:bidi w:val="0"/>
                    <w:spacing w:before="0" w:beforeAutospacing="0" w:after="0" w:afterAutospacing="0"/>
                    <w:ind w:left="0" w:right="0"/>
                    <w:rPr>
                      <w:color w:val="auto"/>
                      <w:lang w:val="en-US"/>
                    </w:rPr>
                  </w:pPr>
                  <w:r>
                    <w:rPr>
                      <w:rFonts w:hint="eastAsia"/>
                      <w:color w:val="auto"/>
                      <w:lang w:val="en-US" w:eastAsia="zh-CN"/>
                    </w:rPr>
                    <w:t>达标</w:t>
                  </w:r>
                </w:p>
              </w:tc>
              <w:tc>
                <w:tcPr>
                  <w:tcW w:w="1249" w:type="pct"/>
                  <w:tcBorders>
                    <w:tl2br w:val="nil"/>
                    <w:tr2bl w:val="nil"/>
                  </w:tcBorders>
                  <w:shd w:val="clear" w:color="auto" w:fill="auto"/>
                  <w:vAlign w:val="center"/>
                </w:tcPr>
                <w:p>
                  <w:pPr>
                    <w:pStyle w:val="28"/>
                    <w:keepNext w:val="0"/>
                    <w:keepLines w:val="0"/>
                    <w:suppressLineNumbers w:val="0"/>
                    <w:bidi w:val="0"/>
                    <w:spacing w:before="0" w:beforeAutospacing="0" w:after="0" w:afterAutospacing="0"/>
                    <w:ind w:left="0" w:right="0"/>
                    <w:rPr>
                      <w:color w:val="auto"/>
                      <w:lang w:val="en-US"/>
                    </w:rPr>
                  </w:pPr>
                  <w:r>
                    <w:rPr>
                      <w:rFonts w:hint="eastAsia"/>
                      <w:color w:val="auto"/>
                      <w:lang w:val="en-US" w:eastAsia="zh-CN"/>
                    </w:rPr>
                    <w:t>不达标</w:t>
                  </w:r>
                </w:p>
              </w:tc>
              <w:tc>
                <w:tcPr>
                  <w:tcW w:w="1250" w:type="pct"/>
                  <w:tcBorders>
                    <w:tl2br w:val="nil"/>
                    <w:tr2bl w:val="nil"/>
                  </w:tcBorders>
                  <w:shd w:val="clear" w:color="auto" w:fill="auto"/>
                  <w:vAlign w:val="center"/>
                </w:tcPr>
                <w:p>
                  <w:pPr>
                    <w:pStyle w:val="28"/>
                    <w:keepNext w:val="0"/>
                    <w:keepLines w:val="0"/>
                    <w:suppressLineNumbers w:val="0"/>
                    <w:bidi w:val="0"/>
                    <w:spacing w:before="0" w:beforeAutospacing="0" w:after="0" w:afterAutospacing="0"/>
                    <w:ind w:left="0" w:right="0"/>
                    <w:rPr>
                      <w:color w:val="auto"/>
                      <w:lang w:val="en-US"/>
                    </w:rPr>
                  </w:pPr>
                  <w:r>
                    <w:rPr>
                      <w:rFonts w:hint="eastAsia"/>
                      <w:color w:val="auto"/>
                      <w:lang w:val="en-US" w:eastAsia="zh-CN"/>
                    </w:rPr>
                    <w:t>达标</w:t>
                  </w:r>
                </w:p>
              </w:tc>
            </w:tr>
          </w:tbl>
          <w:p>
            <w:pPr>
              <w:keepNext w:val="0"/>
              <w:keepLines w:val="0"/>
              <w:suppressLineNumbers w:val="0"/>
              <w:bidi w:val="0"/>
              <w:spacing w:before="0" w:beforeAutospacing="0" w:after="0" w:afterAutospacing="0"/>
              <w:ind w:left="0" w:right="0"/>
              <w:rPr>
                <w:rFonts w:hint="eastAsia"/>
                <w:color w:val="auto"/>
              </w:rPr>
            </w:pPr>
            <w:r>
              <w:rPr>
                <w:rFonts w:hint="eastAsia"/>
                <w:color w:val="auto"/>
              </w:rPr>
              <w:t>目前新乡市正在实施</w:t>
            </w:r>
            <w:r>
              <w:rPr>
                <w:color w:val="auto"/>
              </w:rPr>
              <w:t>《新乡市</w:t>
            </w:r>
            <w:r>
              <w:rPr>
                <w:rFonts w:hint="eastAsia"/>
                <w:color w:val="auto"/>
              </w:rPr>
              <w:t>生态环境保护委员会办公室关于印发&lt;新乡市</w:t>
            </w:r>
            <w:r>
              <w:rPr>
                <w:color w:val="auto"/>
              </w:rPr>
              <w:t>2025</w:t>
            </w:r>
            <w:r>
              <w:rPr>
                <w:rFonts w:hint="eastAsia"/>
                <w:color w:val="auto"/>
              </w:rPr>
              <w:t>年碧水保卫战实施方案&gt;的通知</w:t>
            </w:r>
            <w:r>
              <w:rPr>
                <w:color w:val="auto"/>
              </w:rPr>
              <w:t>》（新环</w:t>
            </w:r>
            <w:r>
              <w:rPr>
                <w:rFonts w:hint="eastAsia"/>
                <w:color w:val="auto"/>
              </w:rPr>
              <w:t>委办</w:t>
            </w:r>
            <w:r>
              <w:rPr>
                <w:color w:val="auto"/>
              </w:rPr>
              <w:t>〔2025〕38号）</w:t>
            </w:r>
            <w:r>
              <w:rPr>
                <w:rFonts w:hint="eastAsia"/>
                <w:color w:val="auto"/>
              </w:rPr>
              <w:t>，将不断改善区域水环境质量。</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2" w:firstLineChars="200"/>
              <w:jc w:val="both"/>
              <w:textAlignment w:val="auto"/>
              <w:rPr>
                <w:b/>
                <w:color w:val="auto"/>
                <w:sz w:val="24"/>
              </w:rPr>
            </w:pPr>
            <w:r>
              <w:rPr>
                <w:rFonts w:hint="eastAsia"/>
                <w:b/>
                <w:color w:val="auto"/>
                <w:sz w:val="24"/>
              </w:rPr>
              <w:t>3</w:t>
            </w:r>
            <w:r>
              <w:rPr>
                <w:b/>
                <w:color w:val="auto"/>
                <w:sz w:val="24"/>
              </w:rPr>
              <w:t>、声环境质量现状</w:t>
            </w:r>
          </w:p>
          <w:p>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jc w:val="both"/>
              <w:textAlignment w:val="auto"/>
              <w:rPr>
                <w:color w:val="auto"/>
                <w:sz w:val="24"/>
              </w:rPr>
            </w:pPr>
            <w:r>
              <w:rPr>
                <w:color w:val="auto"/>
                <w:sz w:val="24"/>
              </w:rPr>
              <w:t>本项目厂界周边50米范围内无声环境保护目标。</w:t>
            </w:r>
          </w:p>
          <w:p>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2" w:firstLineChars="200"/>
              <w:jc w:val="both"/>
              <w:textAlignment w:val="auto"/>
              <w:rPr>
                <w:b/>
                <w:color w:val="auto"/>
                <w:sz w:val="24"/>
              </w:rPr>
            </w:pPr>
            <w:r>
              <w:rPr>
                <w:b/>
                <w:color w:val="auto"/>
                <w:sz w:val="24"/>
              </w:rPr>
              <w:t>4、生态环境质量现状</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b/>
                <w:color w:val="auto"/>
                <w:sz w:val="24"/>
              </w:rPr>
            </w:pPr>
            <w:r>
              <w:rPr>
                <w:rFonts w:hint="eastAsia"/>
                <w:color w:val="auto"/>
                <w:sz w:val="24"/>
              </w:rPr>
              <w:t>本项目</w:t>
            </w:r>
            <w:r>
              <w:rPr>
                <w:color w:val="auto"/>
                <w:sz w:val="24"/>
              </w:rPr>
              <w:t>位于</w:t>
            </w:r>
            <w:r>
              <w:rPr>
                <w:rFonts w:hint="eastAsia"/>
                <w:color w:val="auto"/>
                <w:sz w:val="24"/>
                <w:lang w:eastAsia="zh-CN"/>
              </w:rPr>
              <w:t>河南省新乡市卫滨区人民路西环路交叉口向西300米路南</w:t>
            </w:r>
            <w:r>
              <w:rPr>
                <w:rFonts w:hint="eastAsia"/>
                <w:color w:val="auto"/>
                <w:sz w:val="24"/>
              </w:rPr>
              <w:t>，占地范围内无生态环境保护目标，无需进行生态环境现状调查。</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jc w:val="both"/>
              <w:textAlignment w:val="auto"/>
              <w:rPr>
                <w:b/>
                <w:color w:val="auto"/>
                <w:sz w:val="24"/>
              </w:rPr>
            </w:pPr>
            <w:r>
              <w:rPr>
                <w:rFonts w:hint="eastAsia"/>
                <w:b/>
                <w:color w:val="auto"/>
                <w:sz w:val="24"/>
              </w:rPr>
              <w:t>5、电磁辐射质量现状</w:t>
            </w:r>
          </w:p>
          <w:p>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jc w:val="both"/>
              <w:textAlignment w:val="auto"/>
              <w:rPr>
                <w:color w:val="auto"/>
                <w:sz w:val="24"/>
              </w:rPr>
            </w:pPr>
            <w:r>
              <w:rPr>
                <w:rFonts w:hint="eastAsia" w:ascii="宋体" w:hAnsi="宋体"/>
                <w:color w:val="auto"/>
                <w:kern w:val="0"/>
                <w:sz w:val="24"/>
              </w:rPr>
              <w:t>本项目不涉及电磁辐射，</w:t>
            </w:r>
            <w:r>
              <w:rPr>
                <w:color w:val="auto"/>
                <w:sz w:val="24"/>
              </w:rPr>
              <w:t>因此不进行</w:t>
            </w:r>
            <w:r>
              <w:rPr>
                <w:rFonts w:hint="eastAsia" w:ascii="宋体" w:hAnsi="宋体"/>
                <w:color w:val="auto"/>
                <w:kern w:val="0"/>
                <w:sz w:val="24"/>
              </w:rPr>
              <w:t>电磁辐射</w:t>
            </w:r>
            <w:r>
              <w:rPr>
                <w:color w:val="auto"/>
                <w:sz w:val="24"/>
              </w:rPr>
              <w:t>现状调查。</w:t>
            </w:r>
          </w:p>
          <w:p>
            <w:pPr>
              <w:keepNext w:val="0"/>
              <w:keepLines w:val="0"/>
              <w:suppressLineNumbers w:val="0"/>
              <w:bidi w:val="0"/>
              <w:spacing w:before="0" w:beforeAutospacing="0" w:after="0" w:afterAutospacing="0"/>
              <w:ind w:left="0" w:right="0"/>
              <w:rPr>
                <w:b/>
                <w:bCs/>
                <w:color w:val="auto"/>
              </w:rPr>
            </w:pPr>
            <w:r>
              <w:rPr>
                <w:rFonts w:hint="eastAsia"/>
                <w:b/>
                <w:bCs/>
                <w:color w:val="auto"/>
              </w:rPr>
              <w:t>6</w:t>
            </w:r>
            <w:r>
              <w:rPr>
                <w:b/>
                <w:bCs/>
                <w:color w:val="auto"/>
              </w:rPr>
              <w:t>、地下水、土壤环境质量现状</w:t>
            </w:r>
          </w:p>
          <w:p>
            <w:pPr>
              <w:keepNext w:val="0"/>
              <w:keepLines w:val="0"/>
              <w:suppressLineNumbers w:val="0"/>
              <w:bidi w:val="0"/>
              <w:spacing w:before="0" w:beforeAutospacing="0" w:after="0" w:afterAutospacing="0"/>
              <w:ind w:left="0" w:right="0"/>
              <w:rPr>
                <w:color w:val="auto"/>
              </w:rPr>
            </w:pPr>
            <w:r>
              <w:rPr>
                <w:color w:val="auto"/>
              </w:rPr>
              <w:t>根据《建设项目环境影响报告表编制技术指南（污染影响类）（试行）》，原则上不开展地下水和土壤环境质量现状调查</w:t>
            </w:r>
            <w:r>
              <w:rPr>
                <w:rFonts w:hint="eastAsia"/>
                <w:color w:val="auto"/>
              </w:rPr>
              <w:t>。</w:t>
            </w:r>
            <w:r>
              <w:rPr>
                <w:color w:val="auto"/>
              </w:rPr>
              <w:t>本项目贮存场所地面已硬化，拟采取防渗措施且设置导流槽通向应急事故池，合理设置防渗措施，不存在土壤、地下水环境污染途径。本项目周围无地下水集中式饮用水水源和热水、矿泉水、温泉等特殊地下水保护目标。根据《建设项目环境影响报告表编制技术指南（污染影响类）（试行）》的相关要求，本项目评价可不进行地下水、土壤环境质量现状调查。</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color w:val="auto"/>
                <w:sz w:val="24"/>
              </w:rPr>
            </w:pP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color w:val="auto"/>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47" w:hRule="atLeast"/>
          <w:jc w:val="center"/>
        </w:trPr>
        <w:tc>
          <w:tcPr>
            <w:tcW w:w="763" w:type="dxa"/>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ascii="宋体" w:hAnsi="宋体" w:cs="宋体"/>
                <w:color w:val="auto"/>
                <w:kern w:val="0"/>
                <w:sz w:val="24"/>
              </w:rPr>
            </w:pPr>
            <w:r>
              <w:rPr>
                <w:rFonts w:hint="eastAsia" w:ascii="宋体" w:hAnsi="宋体" w:cs="宋体"/>
                <w:color w:val="auto"/>
                <w:kern w:val="0"/>
                <w:sz w:val="24"/>
              </w:rPr>
              <w:t>环境</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ascii="宋体" w:hAnsi="宋体" w:cs="宋体"/>
                <w:color w:val="auto"/>
                <w:kern w:val="0"/>
                <w:sz w:val="24"/>
              </w:rPr>
            </w:pPr>
            <w:r>
              <w:rPr>
                <w:rFonts w:hint="eastAsia" w:ascii="宋体" w:hAnsi="宋体" w:cs="宋体"/>
                <w:color w:val="auto"/>
                <w:kern w:val="0"/>
                <w:sz w:val="24"/>
              </w:rPr>
              <w:t>保护</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ascii="宋体" w:hAnsi="宋体" w:cs="宋体"/>
                <w:color w:val="auto"/>
                <w:kern w:val="0"/>
                <w:szCs w:val="21"/>
              </w:rPr>
            </w:pPr>
            <w:r>
              <w:rPr>
                <w:rFonts w:hint="eastAsia" w:ascii="宋体" w:hAnsi="宋体" w:cs="宋体"/>
                <w:color w:val="auto"/>
                <w:kern w:val="0"/>
                <w:sz w:val="24"/>
              </w:rPr>
              <w:t>目标</w:t>
            </w:r>
          </w:p>
        </w:tc>
        <w:tc>
          <w:tcPr>
            <w:tcW w:w="8298"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color w:val="auto"/>
                <w:sz w:val="24"/>
              </w:rPr>
            </w:pPr>
            <w:r>
              <w:rPr>
                <w:rFonts w:hint="eastAsia"/>
                <w:color w:val="auto"/>
                <w:sz w:val="24"/>
              </w:rPr>
              <w:t>本项目周围主要环境保护目标见下表。</w:t>
            </w:r>
          </w:p>
          <w:p>
            <w:pPr>
              <w:pStyle w:val="12"/>
              <w:keepNext w:val="0"/>
              <w:keepLines w:val="0"/>
              <w:suppressLineNumbers w:val="0"/>
              <w:bidi w:val="0"/>
              <w:spacing w:before="0" w:beforeAutospacing="0" w:after="0" w:afterAutospacing="0"/>
              <w:ind w:left="0" w:right="0"/>
              <w:rPr>
                <w:rFonts w:hint="default"/>
                <w:color w:val="auto"/>
              </w:rPr>
            </w:pPr>
            <w:r>
              <w:rPr>
                <w:rFonts w:hint="default"/>
                <w:color w:val="auto"/>
              </w:rPr>
              <w:t>表</w:t>
            </w:r>
            <w:r>
              <w:rPr>
                <w:rFonts w:hint="eastAsia"/>
                <w:color w:val="auto"/>
                <w:lang w:val="en-US" w:eastAsia="zh-CN"/>
              </w:rPr>
              <w:t xml:space="preserve"> 3-3    </w:t>
            </w:r>
            <w:r>
              <w:rPr>
                <w:rFonts w:hint="default"/>
                <w:color w:val="auto"/>
              </w:rPr>
              <w:t>项目周围环境保护目标一览表</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493"/>
              <w:gridCol w:w="1582"/>
              <w:gridCol w:w="961"/>
              <w:gridCol w:w="1107"/>
              <w:gridCol w:w="221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tcBorders>
                    <w:tl2br w:val="nil"/>
                    <w:tr2bl w:val="nil"/>
                  </w:tcBorders>
                  <w:noWrap/>
                  <w:vAlign w:val="center"/>
                </w:tcPr>
                <w:p>
                  <w:pPr>
                    <w:pStyle w:val="28"/>
                    <w:keepNext w:val="0"/>
                    <w:keepLines w:val="0"/>
                    <w:widowControl/>
                    <w:suppressLineNumbers w:val="0"/>
                    <w:bidi w:val="0"/>
                    <w:spacing w:before="0" w:beforeAutospacing="0" w:after="0" w:afterAutospacing="0"/>
                    <w:ind w:left="0" w:right="0"/>
                    <w:rPr>
                      <w:b/>
                      <w:bCs/>
                      <w:color w:val="auto"/>
                      <w:kern w:val="2"/>
                      <w:sz w:val="21"/>
                    </w:rPr>
                  </w:pPr>
                  <w:r>
                    <w:rPr>
                      <w:b/>
                      <w:bCs/>
                      <w:color w:val="auto"/>
                      <w:kern w:val="2"/>
                      <w:sz w:val="21"/>
                    </w:rPr>
                    <w:t>序号</w:t>
                  </w:r>
                </w:p>
              </w:tc>
              <w:tc>
                <w:tcPr>
                  <w:tcW w:w="1442"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b/>
                      <w:bCs/>
                      <w:color w:val="auto"/>
                      <w:kern w:val="2"/>
                      <w:sz w:val="21"/>
                    </w:rPr>
                  </w:pPr>
                  <w:r>
                    <w:rPr>
                      <w:b/>
                      <w:bCs/>
                      <w:color w:val="auto"/>
                      <w:kern w:val="2"/>
                      <w:sz w:val="21"/>
                    </w:rPr>
                    <w:t>环境要素</w:t>
                  </w:r>
                </w:p>
              </w:tc>
              <w:tc>
                <w:tcPr>
                  <w:tcW w:w="1528" w:type="dxa"/>
                  <w:tcBorders>
                    <w:tl2br w:val="nil"/>
                    <w:tr2bl w:val="nil"/>
                  </w:tcBorders>
                  <w:noWrap/>
                  <w:vAlign w:val="center"/>
                </w:tcPr>
                <w:p>
                  <w:pPr>
                    <w:pStyle w:val="28"/>
                    <w:keepNext w:val="0"/>
                    <w:keepLines w:val="0"/>
                    <w:widowControl/>
                    <w:suppressLineNumbers w:val="0"/>
                    <w:bidi w:val="0"/>
                    <w:spacing w:before="0" w:beforeAutospacing="0" w:after="0" w:afterAutospacing="0"/>
                    <w:ind w:left="0" w:right="0"/>
                    <w:rPr>
                      <w:b/>
                      <w:bCs/>
                      <w:color w:val="auto"/>
                      <w:kern w:val="2"/>
                      <w:sz w:val="21"/>
                    </w:rPr>
                  </w:pPr>
                  <w:r>
                    <w:rPr>
                      <w:b/>
                      <w:bCs/>
                      <w:color w:val="auto"/>
                      <w:kern w:val="2"/>
                      <w:sz w:val="21"/>
                    </w:rPr>
                    <w:t>环境保护目标</w:t>
                  </w:r>
                </w:p>
              </w:tc>
              <w:tc>
                <w:tcPr>
                  <w:tcW w:w="928" w:type="dxa"/>
                  <w:tcBorders>
                    <w:tl2br w:val="nil"/>
                    <w:tr2bl w:val="nil"/>
                  </w:tcBorders>
                  <w:noWrap/>
                  <w:vAlign w:val="center"/>
                </w:tcPr>
                <w:p>
                  <w:pPr>
                    <w:pStyle w:val="28"/>
                    <w:keepNext w:val="0"/>
                    <w:keepLines w:val="0"/>
                    <w:widowControl/>
                    <w:suppressLineNumbers w:val="0"/>
                    <w:bidi w:val="0"/>
                    <w:spacing w:before="0" w:beforeAutospacing="0" w:after="0" w:afterAutospacing="0"/>
                    <w:ind w:left="0" w:right="0"/>
                    <w:rPr>
                      <w:b/>
                      <w:bCs/>
                      <w:color w:val="auto"/>
                      <w:kern w:val="2"/>
                      <w:sz w:val="21"/>
                    </w:rPr>
                  </w:pPr>
                  <w:r>
                    <w:rPr>
                      <w:b/>
                      <w:bCs/>
                      <w:color w:val="auto"/>
                      <w:kern w:val="2"/>
                      <w:sz w:val="21"/>
                    </w:rPr>
                    <w:t>方向</w:t>
                  </w:r>
                </w:p>
              </w:tc>
              <w:tc>
                <w:tcPr>
                  <w:tcW w:w="1069" w:type="dxa"/>
                  <w:tcBorders>
                    <w:tl2br w:val="nil"/>
                    <w:tr2bl w:val="nil"/>
                  </w:tcBorders>
                  <w:noWrap/>
                  <w:vAlign w:val="center"/>
                </w:tcPr>
                <w:p>
                  <w:pPr>
                    <w:pStyle w:val="28"/>
                    <w:keepNext w:val="0"/>
                    <w:keepLines w:val="0"/>
                    <w:widowControl/>
                    <w:suppressLineNumbers w:val="0"/>
                    <w:bidi w:val="0"/>
                    <w:spacing w:before="0" w:beforeAutospacing="0" w:after="0" w:afterAutospacing="0"/>
                    <w:ind w:left="0" w:right="0"/>
                    <w:rPr>
                      <w:b/>
                      <w:bCs/>
                      <w:color w:val="auto"/>
                      <w:kern w:val="2"/>
                      <w:sz w:val="21"/>
                    </w:rPr>
                  </w:pPr>
                  <w:r>
                    <w:rPr>
                      <w:b/>
                      <w:bCs/>
                      <w:color w:val="auto"/>
                      <w:kern w:val="2"/>
                      <w:sz w:val="21"/>
                    </w:rPr>
                    <w:t>距离（m）</w:t>
                  </w:r>
                </w:p>
              </w:tc>
              <w:tc>
                <w:tcPr>
                  <w:tcW w:w="2139" w:type="dxa"/>
                  <w:tcBorders>
                    <w:tl2br w:val="nil"/>
                    <w:tr2bl w:val="nil"/>
                  </w:tcBorders>
                  <w:noWrap/>
                  <w:vAlign w:val="center"/>
                </w:tcPr>
                <w:p>
                  <w:pPr>
                    <w:pStyle w:val="28"/>
                    <w:keepNext w:val="0"/>
                    <w:keepLines w:val="0"/>
                    <w:widowControl/>
                    <w:suppressLineNumbers w:val="0"/>
                    <w:bidi w:val="0"/>
                    <w:spacing w:before="0" w:beforeAutospacing="0" w:after="0" w:afterAutospacing="0"/>
                    <w:ind w:left="0" w:right="0"/>
                    <w:rPr>
                      <w:b/>
                      <w:bCs/>
                      <w:color w:val="auto"/>
                      <w:kern w:val="2"/>
                      <w:sz w:val="21"/>
                    </w:rPr>
                  </w:pPr>
                  <w:r>
                    <w:rPr>
                      <w:b/>
                      <w:bCs/>
                      <w:color w:val="auto"/>
                      <w:kern w:val="2"/>
                      <w:sz w:val="21"/>
                    </w:rPr>
                    <w:t>保护级别</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tcBorders>
                    <w:tl2br w:val="nil"/>
                    <w:tr2bl w:val="nil"/>
                  </w:tcBorders>
                  <w:noWrap/>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color w:val="auto"/>
                      <w:kern w:val="2"/>
                      <w:sz w:val="21"/>
                    </w:rPr>
                    <w:t>1</w:t>
                  </w:r>
                </w:p>
              </w:tc>
              <w:tc>
                <w:tcPr>
                  <w:tcW w:w="1442"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color w:val="auto"/>
                      <w:kern w:val="2"/>
                      <w:sz w:val="21"/>
                    </w:rPr>
                    <w:t>大气环境</w:t>
                  </w:r>
                </w:p>
              </w:tc>
              <w:tc>
                <w:tcPr>
                  <w:tcW w:w="1528" w:type="dxa"/>
                  <w:tcBorders>
                    <w:tl2br w:val="nil"/>
                    <w:tr2bl w:val="nil"/>
                  </w:tcBorders>
                  <w:noWrap/>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highlight w:val="none"/>
                      <w:lang w:val="en-US" w:eastAsia="zh-CN"/>
                    </w:rPr>
                  </w:pPr>
                  <w:r>
                    <w:rPr>
                      <w:rFonts w:hint="eastAsia"/>
                      <w:color w:val="auto"/>
                      <w:kern w:val="2"/>
                      <w:sz w:val="21"/>
                      <w:highlight w:val="none"/>
                      <w:lang w:val="en-US" w:eastAsia="zh-CN"/>
                    </w:rPr>
                    <w:t>中召村</w:t>
                  </w:r>
                </w:p>
              </w:tc>
              <w:tc>
                <w:tcPr>
                  <w:tcW w:w="928" w:type="dxa"/>
                  <w:tcBorders>
                    <w:tl2br w:val="nil"/>
                    <w:tr2bl w:val="nil"/>
                  </w:tcBorders>
                  <w:noWrap/>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highlight w:val="none"/>
                      <w:lang w:eastAsia="zh-CN"/>
                    </w:rPr>
                  </w:pPr>
                  <w:r>
                    <w:rPr>
                      <w:rFonts w:hint="eastAsia"/>
                      <w:color w:val="auto"/>
                      <w:kern w:val="2"/>
                      <w:sz w:val="21"/>
                      <w:highlight w:val="none"/>
                      <w:lang w:val="en-US" w:eastAsia="zh-CN"/>
                    </w:rPr>
                    <w:t>西南</w:t>
                  </w:r>
                </w:p>
              </w:tc>
              <w:tc>
                <w:tcPr>
                  <w:tcW w:w="1069" w:type="dxa"/>
                  <w:tcBorders>
                    <w:tl2br w:val="nil"/>
                    <w:tr2bl w:val="nil"/>
                  </w:tcBorders>
                  <w:noWrap/>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highlight w:val="none"/>
                      <w:lang w:val="en-US"/>
                    </w:rPr>
                  </w:pPr>
                  <w:r>
                    <w:rPr>
                      <w:rFonts w:hint="eastAsia"/>
                      <w:color w:val="auto"/>
                      <w:kern w:val="2"/>
                      <w:sz w:val="21"/>
                      <w:highlight w:val="none"/>
                      <w:lang w:val="en-US" w:eastAsia="zh-CN"/>
                    </w:rPr>
                    <w:t>300</w:t>
                  </w:r>
                </w:p>
              </w:tc>
              <w:tc>
                <w:tcPr>
                  <w:tcW w:w="2139" w:type="dxa"/>
                  <w:tcBorders>
                    <w:tl2br w:val="nil"/>
                    <w:tr2bl w:val="nil"/>
                  </w:tcBorders>
                  <w:noWrap/>
                  <w:vAlign w:val="center"/>
                </w:tcPr>
                <w:p>
                  <w:pPr>
                    <w:pStyle w:val="28"/>
                    <w:keepNext w:val="0"/>
                    <w:keepLines w:val="0"/>
                    <w:widowControl/>
                    <w:suppressLineNumbers w:val="0"/>
                    <w:bidi w:val="0"/>
                    <w:spacing w:before="0" w:beforeAutospacing="0" w:after="0" w:afterAutospacing="0"/>
                    <w:ind w:left="0" w:right="0"/>
                    <w:rPr>
                      <w:color w:val="auto"/>
                      <w:kern w:val="2"/>
                      <w:sz w:val="21"/>
                      <w:lang w:val="en-US" w:eastAsia="zh-CN"/>
                    </w:rPr>
                  </w:pPr>
                  <w:r>
                    <w:rPr>
                      <w:rFonts w:hint="eastAsia"/>
                      <w:color w:val="auto"/>
                      <w:kern w:val="2"/>
                      <w:sz w:val="21"/>
                      <w:lang w:val="en-US" w:eastAsia="zh-CN"/>
                    </w:rPr>
                    <w:t>《环境空气质量标准》（GB3095-2026）二级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tcBorders>
                    <w:tl2br w:val="nil"/>
                    <w:tr2bl w:val="nil"/>
                  </w:tcBorders>
                  <w:noWrap/>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color w:val="auto"/>
                      <w:kern w:val="2"/>
                      <w:sz w:val="21"/>
                    </w:rPr>
                    <w:t>2</w:t>
                  </w:r>
                </w:p>
              </w:tc>
              <w:tc>
                <w:tcPr>
                  <w:tcW w:w="1442"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color w:val="auto"/>
                      <w:kern w:val="2"/>
                      <w:sz w:val="21"/>
                    </w:rPr>
                    <w:t>声环境</w:t>
                  </w:r>
                </w:p>
              </w:tc>
              <w:tc>
                <w:tcPr>
                  <w:tcW w:w="5664" w:type="dxa"/>
                  <w:gridSpan w:val="4"/>
                  <w:tcBorders>
                    <w:tl2br w:val="nil"/>
                    <w:tr2bl w:val="nil"/>
                  </w:tcBorders>
                  <w:noWrap/>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color w:val="auto"/>
                      <w:kern w:val="2"/>
                      <w:sz w:val="21"/>
                    </w:rPr>
                    <w:t>项目厂界外50米范围内无声环境保护目标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tcBorders>
                    <w:tl2br w:val="nil"/>
                    <w:tr2bl w:val="nil"/>
                  </w:tcBorders>
                  <w:noWrap/>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color w:val="auto"/>
                      <w:kern w:val="2"/>
                      <w:sz w:val="21"/>
                    </w:rPr>
                    <w:t>3</w:t>
                  </w:r>
                </w:p>
              </w:tc>
              <w:tc>
                <w:tcPr>
                  <w:tcW w:w="1442"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color w:val="auto"/>
                      <w:kern w:val="2"/>
                      <w:sz w:val="21"/>
                    </w:rPr>
                    <w:t>地下水环境</w:t>
                  </w:r>
                </w:p>
              </w:tc>
              <w:tc>
                <w:tcPr>
                  <w:tcW w:w="5664" w:type="dxa"/>
                  <w:gridSpan w:val="4"/>
                  <w:tcBorders>
                    <w:tl2br w:val="nil"/>
                    <w:tr2bl w:val="nil"/>
                  </w:tcBorders>
                  <w:noWrap/>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color w:val="auto"/>
                      <w:kern w:val="2"/>
                      <w:sz w:val="21"/>
                    </w:rPr>
                    <w:t>项目厂界外500米范围内无地下水集中式饮用水水源和热水、矿泉水、温泉等特殊地下水资源</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tcBorders>
                    <w:tl2br w:val="nil"/>
                    <w:tr2bl w:val="nil"/>
                  </w:tcBorders>
                  <w:noWrap/>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color w:val="auto"/>
                      <w:kern w:val="2"/>
                      <w:sz w:val="21"/>
                    </w:rPr>
                    <w:t>4</w:t>
                  </w:r>
                </w:p>
              </w:tc>
              <w:tc>
                <w:tcPr>
                  <w:tcW w:w="1442"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color w:val="auto"/>
                      <w:kern w:val="2"/>
                      <w:sz w:val="21"/>
                    </w:rPr>
                    <w:t>生态环境</w:t>
                  </w:r>
                </w:p>
              </w:tc>
              <w:tc>
                <w:tcPr>
                  <w:tcW w:w="5664" w:type="dxa"/>
                  <w:gridSpan w:val="4"/>
                  <w:tcBorders>
                    <w:tl2br w:val="nil"/>
                    <w:tr2bl w:val="nil"/>
                  </w:tcBorders>
                  <w:noWrap/>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color w:val="auto"/>
                      <w:kern w:val="2"/>
                      <w:sz w:val="21"/>
                    </w:rPr>
                    <w:t>项目占地范围内无生态</w:t>
                  </w:r>
                  <w:r>
                    <w:rPr>
                      <w:rFonts w:hint="eastAsia"/>
                      <w:color w:val="auto"/>
                      <w:kern w:val="2"/>
                      <w:sz w:val="21"/>
                    </w:rPr>
                    <w:t>环境</w:t>
                  </w:r>
                  <w:r>
                    <w:rPr>
                      <w:color w:val="auto"/>
                      <w:kern w:val="2"/>
                      <w:sz w:val="21"/>
                    </w:rPr>
                    <w:t>保护目标</w:t>
                  </w:r>
                </w:p>
              </w:tc>
            </w:tr>
          </w:tbl>
          <w:p>
            <w:pPr>
              <w:keepNext w:val="0"/>
              <w:keepLines w:val="0"/>
              <w:suppressLineNumbers w:val="0"/>
              <w:spacing w:before="0" w:beforeAutospacing="0" w:after="0" w:afterAutospacing="0"/>
              <w:ind w:left="0" w:leftChars="0" w:right="0" w:firstLine="0" w:firstLineChars="0"/>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2" w:hRule="atLeast"/>
          <w:jc w:val="center"/>
        </w:trPr>
        <w:tc>
          <w:tcPr>
            <w:tcW w:w="763" w:type="dxa"/>
            <w:tcMar>
              <w:left w:w="28" w:type="dxa"/>
              <w:right w:w="28"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ascii="宋体" w:hAnsi="宋体" w:cs="宋体"/>
                <w:color w:val="auto"/>
                <w:kern w:val="0"/>
                <w:sz w:val="24"/>
              </w:rPr>
            </w:pPr>
            <w:r>
              <w:rPr>
                <w:rFonts w:hint="eastAsia" w:ascii="宋体" w:hAnsi="宋体" w:cs="宋体"/>
                <w:color w:val="auto"/>
                <w:kern w:val="0"/>
                <w:sz w:val="24"/>
              </w:rPr>
              <w:t>污染</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ascii="宋体" w:hAnsi="宋体" w:cs="宋体"/>
                <w:color w:val="auto"/>
                <w:kern w:val="0"/>
                <w:sz w:val="24"/>
              </w:rPr>
            </w:pPr>
            <w:r>
              <w:rPr>
                <w:rFonts w:hint="eastAsia" w:ascii="宋体" w:hAnsi="宋体" w:cs="宋体"/>
                <w:color w:val="auto"/>
                <w:kern w:val="0"/>
                <w:sz w:val="24"/>
              </w:rPr>
              <w:t>物排</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ascii="宋体" w:hAnsi="宋体" w:cs="宋体"/>
                <w:color w:val="auto"/>
                <w:kern w:val="0"/>
                <w:sz w:val="24"/>
              </w:rPr>
            </w:pPr>
            <w:r>
              <w:rPr>
                <w:rFonts w:hint="eastAsia" w:ascii="宋体" w:hAnsi="宋体" w:cs="宋体"/>
                <w:color w:val="auto"/>
                <w:kern w:val="0"/>
                <w:sz w:val="24"/>
              </w:rPr>
              <w:t>放控</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ascii="宋体" w:hAnsi="宋体" w:cs="宋体"/>
                <w:color w:val="auto"/>
                <w:kern w:val="0"/>
                <w:sz w:val="24"/>
              </w:rPr>
            </w:pPr>
            <w:r>
              <w:rPr>
                <w:rFonts w:hint="eastAsia" w:ascii="宋体" w:hAnsi="宋体" w:cs="宋体"/>
                <w:color w:val="auto"/>
                <w:kern w:val="0"/>
                <w:sz w:val="24"/>
              </w:rPr>
              <w:t>制标</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ascii="宋体" w:hAnsi="宋体" w:cs="宋体"/>
                <w:color w:val="auto"/>
                <w:kern w:val="0"/>
                <w:szCs w:val="21"/>
              </w:rPr>
            </w:pPr>
            <w:r>
              <w:rPr>
                <w:rFonts w:hint="eastAsia" w:ascii="宋体" w:hAnsi="宋体" w:cs="宋体"/>
                <w:color w:val="auto"/>
                <w:kern w:val="0"/>
                <w:sz w:val="24"/>
              </w:rPr>
              <w:t>准</w:t>
            </w:r>
          </w:p>
        </w:tc>
        <w:tc>
          <w:tcPr>
            <w:tcW w:w="829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Ansi="宋体"/>
                <w:color w:val="auto"/>
                <w:sz w:val="24"/>
              </w:rPr>
            </w:pPr>
            <w:r>
              <w:rPr>
                <w:rFonts w:hAnsi="宋体"/>
                <w:color w:val="auto"/>
                <w:sz w:val="24"/>
              </w:rPr>
              <w:t>本项目</w:t>
            </w:r>
            <w:r>
              <w:rPr>
                <w:rFonts w:hint="eastAsia" w:hAnsi="宋体"/>
                <w:color w:val="auto"/>
                <w:sz w:val="24"/>
              </w:rPr>
              <w:t>污染物相关</w:t>
            </w:r>
            <w:r>
              <w:rPr>
                <w:rFonts w:hAnsi="宋体"/>
                <w:color w:val="auto"/>
                <w:sz w:val="24"/>
              </w:rPr>
              <w:t>排放控制标准详见下表。</w:t>
            </w:r>
          </w:p>
          <w:p>
            <w:pPr>
              <w:pStyle w:val="12"/>
              <w:keepNext w:val="0"/>
              <w:keepLines w:val="0"/>
              <w:suppressLineNumbers w:val="0"/>
              <w:bidi w:val="0"/>
              <w:spacing w:before="0" w:beforeAutospacing="0" w:after="0" w:afterAutospacing="0"/>
              <w:ind w:left="0" w:right="0"/>
              <w:rPr>
                <w:rFonts w:hint="default"/>
                <w:color w:val="auto"/>
              </w:rPr>
            </w:pPr>
            <w:r>
              <w:rPr>
                <w:rFonts w:hint="default"/>
                <w:color w:val="auto"/>
              </w:rPr>
              <w:t>表</w:t>
            </w:r>
            <w:r>
              <w:rPr>
                <w:rFonts w:hint="eastAsia"/>
                <w:color w:val="auto"/>
                <w:lang w:val="en-US" w:eastAsia="zh-CN"/>
              </w:rPr>
              <w:t xml:space="preserve"> 3-4    </w:t>
            </w:r>
            <w:r>
              <w:rPr>
                <w:rFonts w:hint="default"/>
                <w:color w:val="auto"/>
              </w:rPr>
              <w:t>项目污染物排放控制标准</w:t>
            </w:r>
          </w:p>
          <w:tbl>
            <w:tblPr>
              <w:tblStyle w:val="22"/>
              <w:tblW w:w="4999"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828"/>
              <w:gridCol w:w="3377"/>
              <w:gridCol w:w="1037"/>
              <w:gridCol w:w="2838"/>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828" w:type="dxa"/>
                  <w:tcBorders>
                    <w:tl2br w:val="nil"/>
                    <w:tr2bl w:val="nil"/>
                  </w:tcBorders>
                  <w:noWrap/>
                  <w:vAlign w:val="center"/>
                </w:tcPr>
                <w:p>
                  <w:pPr>
                    <w:pStyle w:val="28"/>
                    <w:keepNext w:val="0"/>
                    <w:keepLines w:val="0"/>
                    <w:widowControl/>
                    <w:suppressLineNumbers w:val="0"/>
                    <w:bidi w:val="0"/>
                    <w:spacing w:before="0" w:beforeAutospacing="0" w:after="0" w:afterAutospacing="0"/>
                    <w:ind w:left="0" w:right="0"/>
                    <w:rPr>
                      <w:rFonts w:hint="default"/>
                      <w:b/>
                      <w:bCs/>
                      <w:color w:val="auto"/>
                      <w:kern w:val="2"/>
                      <w:sz w:val="21"/>
                    </w:rPr>
                  </w:pPr>
                  <w:r>
                    <w:rPr>
                      <w:rFonts w:hint="default"/>
                      <w:b/>
                      <w:bCs/>
                      <w:color w:val="auto"/>
                      <w:kern w:val="2"/>
                      <w:sz w:val="21"/>
                    </w:rPr>
                    <w:t>污染物</w:t>
                  </w:r>
                </w:p>
              </w:tc>
              <w:tc>
                <w:tcPr>
                  <w:tcW w:w="3377" w:type="dxa"/>
                  <w:tcBorders>
                    <w:tl2br w:val="nil"/>
                    <w:tr2bl w:val="nil"/>
                  </w:tcBorders>
                  <w:noWrap/>
                  <w:vAlign w:val="center"/>
                </w:tcPr>
                <w:p>
                  <w:pPr>
                    <w:pStyle w:val="28"/>
                    <w:keepNext w:val="0"/>
                    <w:keepLines w:val="0"/>
                    <w:widowControl/>
                    <w:suppressLineNumbers w:val="0"/>
                    <w:bidi w:val="0"/>
                    <w:spacing w:before="0" w:beforeAutospacing="0" w:after="0" w:afterAutospacing="0"/>
                    <w:ind w:left="0" w:right="0"/>
                    <w:rPr>
                      <w:rFonts w:hint="default"/>
                      <w:b/>
                      <w:bCs/>
                      <w:color w:val="auto"/>
                      <w:kern w:val="2"/>
                      <w:sz w:val="21"/>
                    </w:rPr>
                  </w:pPr>
                  <w:r>
                    <w:rPr>
                      <w:rFonts w:hint="default"/>
                      <w:b/>
                      <w:bCs/>
                      <w:color w:val="auto"/>
                      <w:kern w:val="2"/>
                      <w:sz w:val="21"/>
                    </w:rPr>
                    <w:t>执行标准名称及级别</w:t>
                  </w:r>
                </w:p>
              </w:tc>
              <w:tc>
                <w:tcPr>
                  <w:tcW w:w="1037" w:type="dxa"/>
                  <w:tcBorders>
                    <w:tl2br w:val="nil"/>
                    <w:tr2bl w:val="nil"/>
                  </w:tcBorders>
                  <w:noWrap/>
                  <w:vAlign w:val="center"/>
                </w:tcPr>
                <w:p>
                  <w:pPr>
                    <w:pStyle w:val="28"/>
                    <w:keepNext w:val="0"/>
                    <w:keepLines w:val="0"/>
                    <w:widowControl/>
                    <w:suppressLineNumbers w:val="0"/>
                    <w:bidi w:val="0"/>
                    <w:spacing w:before="0" w:beforeAutospacing="0" w:after="0" w:afterAutospacing="0"/>
                    <w:ind w:left="0" w:right="0"/>
                    <w:rPr>
                      <w:rFonts w:hint="default"/>
                      <w:b/>
                      <w:bCs/>
                      <w:color w:val="auto"/>
                      <w:kern w:val="2"/>
                      <w:sz w:val="21"/>
                    </w:rPr>
                  </w:pPr>
                  <w:r>
                    <w:rPr>
                      <w:rFonts w:hint="default"/>
                      <w:b/>
                      <w:bCs/>
                      <w:color w:val="auto"/>
                      <w:kern w:val="2"/>
                      <w:sz w:val="21"/>
                    </w:rPr>
                    <w:t>污染因子</w:t>
                  </w:r>
                </w:p>
              </w:tc>
              <w:tc>
                <w:tcPr>
                  <w:tcW w:w="2838" w:type="dxa"/>
                  <w:tcBorders>
                    <w:tl2br w:val="nil"/>
                    <w:tr2bl w:val="nil"/>
                  </w:tcBorders>
                  <w:noWrap/>
                  <w:vAlign w:val="center"/>
                </w:tcPr>
                <w:p>
                  <w:pPr>
                    <w:pStyle w:val="28"/>
                    <w:keepNext w:val="0"/>
                    <w:keepLines w:val="0"/>
                    <w:widowControl/>
                    <w:suppressLineNumbers w:val="0"/>
                    <w:bidi w:val="0"/>
                    <w:spacing w:before="0" w:beforeAutospacing="0" w:after="0" w:afterAutospacing="0"/>
                    <w:ind w:left="0" w:right="0"/>
                    <w:rPr>
                      <w:rFonts w:hint="default"/>
                      <w:b/>
                      <w:bCs/>
                      <w:color w:val="auto"/>
                      <w:kern w:val="2"/>
                      <w:sz w:val="21"/>
                      <w:lang w:eastAsia="zh-CN"/>
                    </w:rPr>
                  </w:pPr>
                  <w:r>
                    <w:rPr>
                      <w:rFonts w:hint="default"/>
                      <w:b/>
                      <w:bCs/>
                      <w:color w:val="auto"/>
                      <w:kern w:val="2"/>
                      <w:sz w:val="21"/>
                    </w:rPr>
                    <w:t>标准限值</w:t>
                  </w:r>
                  <w:r>
                    <w:rPr>
                      <w:rFonts w:hint="default"/>
                      <w:b/>
                      <w:bCs/>
                      <w:color w:val="auto"/>
                      <w:kern w:val="2"/>
                      <w:sz w:val="21"/>
                      <w:lang w:eastAsia="zh-CN"/>
                    </w:rPr>
                    <w:t>（</w:t>
                  </w:r>
                  <w:r>
                    <w:rPr>
                      <w:rFonts w:hint="default"/>
                      <w:b/>
                      <w:bCs/>
                      <w:color w:val="auto"/>
                      <w:kern w:val="2"/>
                      <w:sz w:val="21"/>
                    </w:rPr>
                    <w:t>15m高排气筒</w:t>
                  </w:r>
                  <w:r>
                    <w:rPr>
                      <w:rFonts w:hint="default"/>
                      <w:b/>
                      <w:bCs/>
                      <w:color w:val="auto"/>
                      <w:kern w:val="2"/>
                      <w:sz w:val="21"/>
                      <w:lang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828" w:type="dxa"/>
                  <w:vMerge w:val="restart"/>
                  <w:tcBorders>
                    <w:tl2br w:val="nil"/>
                    <w:tr2bl w:val="nil"/>
                  </w:tcBorders>
                  <w:noWrap/>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rPr>
                  </w:pPr>
                  <w:r>
                    <w:rPr>
                      <w:rFonts w:hint="default"/>
                      <w:color w:val="auto"/>
                      <w:kern w:val="2"/>
                      <w:sz w:val="21"/>
                    </w:rPr>
                    <w:t>废气</w:t>
                  </w:r>
                </w:p>
              </w:tc>
              <w:tc>
                <w:tcPr>
                  <w:tcW w:w="3377" w:type="dxa"/>
                  <w:vMerge w:val="restart"/>
                  <w:tcBorders>
                    <w:tl2br w:val="nil"/>
                    <w:tr2bl w:val="nil"/>
                  </w:tcBorders>
                  <w:noWrap/>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rPr>
                  </w:pPr>
                  <w:bookmarkStart w:id="189" w:name="OLE_LINK42"/>
                  <w:r>
                    <w:rPr>
                      <w:color w:val="auto"/>
                      <w:kern w:val="2"/>
                      <w:sz w:val="21"/>
                    </w:rPr>
                    <w:t>《大气污染物综合排放标准》(GB16279-1996)表2二级标准</w:t>
                  </w:r>
                  <w:bookmarkEnd w:id="189"/>
                </w:p>
              </w:tc>
              <w:tc>
                <w:tcPr>
                  <w:tcW w:w="1037" w:type="dxa"/>
                  <w:vMerge w:val="restart"/>
                  <w:tcBorders>
                    <w:tl2br w:val="nil"/>
                    <w:tr2bl w:val="nil"/>
                  </w:tcBorders>
                  <w:noWrap/>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lang w:val="en-US" w:eastAsia="zh-CN"/>
                    </w:rPr>
                  </w:pPr>
                  <w:r>
                    <w:rPr>
                      <w:color w:val="auto"/>
                      <w:kern w:val="2"/>
                      <w:sz w:val="21"/>
                    </w:rPr>
                    <w:t>硫酸雾</w:t>
                  </w:r>
                </w:p>
              </w:tc>
              <w:tc>
                <w:tcPr>
                  <w:tcW w:w="2838" w:type="dxa"/>
                  <w:tcBorders>
                    <w:tl2br w:val="nil"/>
                    <w:tr2bl w:val="nil"/>
                  </w:tcBorders>
                  <w:noWrap/>
                  <w:vAlign w:val="center"/>
                </w:tcPr>
                <w:p>
                  <w:pPr>
                    <w:pStyle w:val="28"/>
                    <w:keepNext w:val="0"/>
                    <w:keepLines w:val="0"/>
                    <w:widowControl/>
                    <w:suppressLineNumbers w:val="0"/>
                    <w:bidi w:val="0"/>
                    <w:spacing w:before="0" w:beforeAutospacing="0" w:after="0" w:afterAutospacing="0"/>
                    <w:ind w:left="0" w:right="0"/>
                    <w:rPr>
                      <w:rFonts w:hint="eastAsia" w:eastAsia="宋体"/>
                      <w:color w:val="auto"/>
                      <w:kern w:val="2"/>
                      <w:sz w:val="21"/>
                      <w:lang w:eastAsia="zh-CN"/>
                    </w:rPr>
                  </w:pPr>
                  <w:r>
                    <w:rPr>
                      <w:color w:val="auto"/>
                      <w:kern w:val="2"/>
                      <w:sz w:val="21"/>
                    </w:rPr>
                    <w:t>最高允许排放浓度45mg/</w:t>
                  </w:r>
                  <w:r>
                    <w:rPr>
                      <w:rFonts w:hint="eastAsia"/>
                      <w:color w:val="auto"/>
                      <w:kern w:val="2"/>
                      <w:sz w:val="21"/>
                      <w:lang w:eastAsia="zh-CN"/>
                    </w:rPr>
                    <w:t>m³</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828" w:type="dxa"/>
                  <w:vMerge w:val="continue"/>
                  <w:tcBorders>
                    <w:tl2br w:val="nil"/>
                    <w:tr2bl w:val="nil"/>
                  </w:tcBorders>
                  <w:noWrap/>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rPr>
                  </w:pPr>
                </w:p>
              </w:tc>
              <w:tc>
                <w:tcPr>
                  <w:tcW w:w="3377" w:type="dxa"/>
                  <w:vMerge w:val="continue"/>
                  <w:tcBorders>
                    <w:tl2br w:val="nil"/>
                    <w:tr2bl w:val="nil"/>
                  </w:tcBorders>
                  <w:noWrap/>
                  <w:vAlign w:val="center"/>
                </w:tcPr>
                <w:p>
                  <w:pPr>
                    <w:pStyle w:val="28"/>
                    <w:keepNext w:val="0"/>
                    <w:keepLines w:val="0"/>
                    <w:widowControl/>
                    <w:suppressLineNumbers w:val="0"/>
                    <w:bidi w:val="0"/>
                    <w:spacing w:before="0" w:beforeAutospacing="0" w:after="0" w:afterAutospacing="0"/>
                    <w:ind w:left="0" w:right="0"/>
                    <w:rPr>
                      <w:color w:val="auto"/>
                      <w:kern w:val="2"/>
                      <w:sz w:val="21"/>
                    </w:rPr>
                  </w:pPr>
                </w:p>
              </w:tc>
              <w:tc>
                <w:tcPr>
                  <w:tcW w:w="1037" w:type="dxa"/>
                  <w:vMerge w:val="continue"/>
                  <w:tcBorders>
                    <w:tl2br w:val="nil"/>
                    <w:tr2bl w:val="nil"/>
                  </w:tcBorders>
                  <w:noWrap/>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lang w:val="en-US" w:eastAsia="zh-CN"/>
                    </w:rPr>
                  </w:pPr>
                </w:p>
              </w:tc>
              <w:tc>
                <w:tcPr>
                  <w:tcW w:w="2838" w:type="dxa"/>
                  <w:tcBorders>
                    <w:tl2br w:val="nil"/>
                    <w:tr2bl w:val="nil"/>
                  </w:tcBorders>
                  <w:noWrap/>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lang w:eastAsia="zh-CN"/>
                    </w:rPr>
                  </w:pPr>
                  <w:r>
                    <w:rPr>
                      <w:color w:val="auto"/>
                      <w:kern w:val="2"/>
                      <w:sz w:val="21"/>
                    </w:rPr>
                    <w:t>最高排放速率1.5kg/h（15m排气筒）</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828" w:type="dxa"/>
                  <w:vMerge w:val="continue"/>
                  <w:tcBorders>
                    <w:tl2br w:val="nil"/>
                    <w:tr2bl w:val="nil"/>
                  </w:tcBorders>
                  <w:noWrap/>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rPr>
                  </w:pPr>
                </w:p>
              </w:tc>
              <w:tc>
                <w:tcPr>
                  <w:tcW w:w="3377" w:type="dxa"/>
                  <w:vMerge w:val="continue"/>
                  <w:tcBorders>
                    <w:tl2br w:val="nil"/>
                    <w:tr2bl w:val="nil"/>
                  </w:tcBorders>
                  <w:noWrap/>
                  <w:vAlign w:val="center"/>
                </w:tcPr>
                <w:p>
                  <w:pPr>
                    <w:pStyle w:val="28"/>
                    <w:keepNext w:val="0"/>
                    <w:keepLines w:val="0"/>
                    <w:widowControl/>
                    <w:suppressLineNumbers w:val="0"/>
                    <w:bidi w:val="0"/>
                    <w:spacing w:before="0" w:beforeAutospacing="0" w:after="0" w:afterAutospacing="0"/>
                    <w:ind w:left="0" w:right="0"/>
                    <w:rPr>
                      <w:color w:val="auto"/>
                      <w:kern w:val="2"/>
                      <w:sz w:val="21"/>
                    </w:rPr>
                  </w:pPr>
                </w:p>
              </w:tc>
              <w:tc>
                <w:tcPr>
                  <w:tcW w:w="1037" w:type="dxa"/>
                  <w:vMerge w:val="continue"/>
                  <w:tcBorders>
                    <w:tl2br w:val="nil"/>
                    <w:tr2bl w:val="nil"/>
                  </w:tcBorders>
                  <w:noWrap/>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lang w:val="en-US" w:eastAsia="zh-CN"/>
                    </w:rPr>
                  </w:pPr>
                </w:p>
              </w:tc>
              <w:tc>
                <w:tcPr>
                  <w:tcW w:w="2838" w:type="dxa"/>
                  <w:tcBorders>
                    <w:tl2br w:val="nil"/>
                    <w:tr2bl w:val="nil"/>
                  </w:tcBorders>
                  <w:noWrap/>
                  <w:vAlign w:val="center"/>
                </w:tcPr>
                <w:p>
                  <w:pPr>
                    <w:pStyle w:val="28"/>
                    <w:keepNext w:val="0"/>
                    <w:keepLines w:val="0"/>
                    <w:widowControl/>
                    <w:suppressLineNumbers w:val="0"/>
                    <w:bidi w:val="0"/>
                    <w:spacing w:before="0" w:beforeAutospacing="0" w:after="0" w:afterAutospacing="0"/>
                    <w:ind w:left="0" w:right="0"/>
                    <w:rPr>
                      <w:rFonts w:hint="eastAsia" w:eastAsia="宋体"/>
                      <w:color w:val="auto"/>
                      <w:kern w:val="2"/>
                      <w:sz w:val="21"/>
                      <w:lang w:eastAsia="zh-CN"/>
                    </w:rPr>
                  </w:pPr>
                  <w:r>
                    <w:rPr>
                      <w:color w:val="auto"/>
                      <w:kern w:val="2"/>
                      <w:sz w:val="21"/>
                    </w:rPr>
                    <w:t>周界外浓度最高点1.2mg/</w:t>
                  </w:r>
                  <w:r>
                    <w:rPr>
                      <w:rFonts w:hint="eastAsia"/>
                      <w:color w:val="auto"/>
                      <w:kern w:val="2"/>
                      <w:sz w:val="21"/>
                      <w:lang w:eastAsia="zh-CN"/>
                    </w:rPr>
                    <w:t>m³</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828" w:type="dxa"/>
                  <w:tcBorders>
                    <w:tl2br w:val="nil"/>
                    <w:tr2bl w:val="nil"/>
                  </w:tcBorders>
                  <w:noWrap/>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eastAsia="宋体"/>
                      <w:color w:val="auto"/>
                      <w:kern w:val="2"/>
                      <w:sz w:val="21"/>
                    </w:rPr>
                  </w:pPr>
                  <w:r>
                    <w:rPr>
                      <w:rFonts w:hint="default" w:ascii="Times New Roman" w:hAnsi="Times New Roman" w:eastAsia="宋体"/>
                      <w:color w:val="auto"/>
                      <w:kern w:val="2"/>
                      <w:sz w:val="21"/>
                    </w:rPr>
                    <w:t>噪声</w:t>
                  </w:r>
                </w:p>
              </w:tc>
              <w:tc>
                <w:tcPr>
                  <w:tcW w:w="3377" w:type="dxa"/>
                  <w:tcBorders>
                    <w:tl2br w:val="nil"/>
                    <w:tr2bl w:val="nil"/>
                  </w:tcBorders>
                  <w:noWrap/>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eastAsia="宋体"/>
                      <w:color w:val="auto"/>
                      <w:kern w:val="2"/>
                      <w:sz w:val="21"/>
                    </w:rPr>
                  </w:pPr>
                  <w:r>
                    <w:rPr>
                      <w:rFonts w:hint="default" w:ascii="Times New Roman" w:hAnsi="Times New Roman" w:eastAsia="宋体"/>
                      <w:color w:val="auto"/>
                      <w:kern w:val="2"/>
                      <w:sz w:val="21"/>
                    </w:rPr>
                    <w:t>《工业企业厂界环境噪声排放标准》（GB12348-2008）</w:t>
                  </w:r>
                  <w:r>
                    <w:rPr>
                      <w:rFonts w:hint="eastAsia" w:ascii="Times New Roman" w:hAnsi="Times New Roman" w:eastAsia="宋体"/>
                      <w:color w:val="auto"/>
                      <w:kern w:val="2"/>
                      <w:sz w:val="21"/>
                      <w:lang w:val="en-US" w:eastAsia="zh-CN"/>
                    </w:rPr>
                    <w:t>2</w:t>
                  </w:r>
                  <w:r>
                    <w:rPr>
                      <w:rFonts w:hint="default" w:ascii="Times New Roman" w:hAnsi="Times New Roman" w:eastAsia="宋体"/>
                      <w:color w:val="auto"/>
                      <w:kern w:val="2"/>
                      <w:sz w:val="21"/>
                    </w:rPr>
                    <w:t>类</w:t>
                  </w:r>
                </w:p>
              </w:tc>
              <w:tc>
                <w:tcPr>
                  <w:tcW w:w="1037" w:type="dxa"/>
                  <w:tcBorders>
                    <w:tl2br w:val="nil"/>
                    <w:tr2bl w:val="nil"/>
                  </w:tcBorders>
                  <w:noWrap/>
                  <w:tcMar>
                    <w:top w:w="57" w:type="dxa"/>
                    <w:bottom w:w="57" w:type="dxa"/>
                  </w:tcMar>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eastAsia="宋体"/>
                      <w:color w:val="auto"/>
                      <w:kern w:val="2"/>
                      <w:sz w:val="21"/>
                    </w:rPr>
                  </w:pPr>
                  <w:r>
                    <w:rPr>
                      <w:rFonts w:hint="default" w:ascii="Times New Roman" w:hAnsi="Times New Roman" w:eastAsia="宋体"/>
                      <w:color w:val="auto"/>
                      <w:kern w:val="2"/>
                      <w:sz w:val="21"/>
                    </w:rPr>
                    <w:t>噪声</w:t>
                  </w:r>
                </w:p>
              </w:tc>
              <w:tc>
                <w:tcPr>
                  <w:tcW w:w="2838" w:type="dxa"/>
                  <w:tcBorders>
                    <w:tl2br w:val="nil"/>
                    <w:tr2bl w:val="nil"/>
                  </w:tcBorders>
                  <w:noWrap/>
                  <w:tcMar>
                    <w:top w:w="57" w:type="dxa"/>
                    <w:bottom w:w="57" w:type="dxa"/>
                  </w:tcMar>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eastAsia="宋体"/>
                      <w:color w:val="auto"/>
                      <w:kern w:val="2"/>
                      <w:sz w:val="21"/>
                      <w:lang w:val="en-US" w:eastAsia="zh-CN"/>
                    </w:rPr>
                  </w:pPr>
                  <w:r>
                    <w:rPr>
                      <w:rFonts w:hint="default" w:ascii="Times New Roman" w:hAnsi="Times New Roman" w:eastAsia="宋体"/>
                      <w:color w:val="auto"/>
                      <w:kern w:val="2"/>
                      <w:sz w:val="21"/>
                    </w:rPr>
                    <w:t>昼间：6</w:t>
                  </w:r>
                  <w:r>
                    <w:rPr>
                      <w:rFonts w:hint="eastAsia" w:ascii="Times New Roman" w:hAnsi="Times New Roman" w:eastAsia="宋体"/>
                      <w:color w:val="auto"/>
                      <w:kern w:val="2"/>
                      <w:sz w:val="21"/>
                      <w:lang w:val="en-US" w:eastAsia="zh-CN"/>
                    </w:rPr>
                    <w:t>0</w:t>
                  </w:r>
                  <w:r>
                    <w:rPr>
                      <w:rFonts w:hint="default" w:ascii="Times New Roman" w:hAnsi="Times New Roman" w:eastAsia="宋体"/>
                      <w:color w:val="auto"/>
                      <w:kern w:val="2"/>
                      <w:sz w:val="21"/>
                    </w:rPr>
                    <w:t>dB（A）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828" w:type="dxa"/>
                  <w:tcBorders>
                    <w:tl2br w:val="nil"/>
                    <w:tr2bl w:val="nil"/>
                  </w:tcBorders>
                  <w:noWrap/>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rPr>
                  </w:pPr>
                  <w:r>
                    <w:rPr>
                      <w:rFonts w:hint="default"/>
                      <w:color w:val="auto"/>
                      <w:kern w:val="2"/>
                      <w:sz w:val="21"/>
                    </w:rPr>
                    <w:t>固废</w:t>
                  </w:r>
                </w:p>
              </w:tc>
              <w:tc>
                <w:tcPr>
                  <w:tcW w:w="7252" w:type="dxa"/>
                  <w:gridSpan w:val="3"/>
                  <w:tcBorders>
                    <w:tl2br w:val="nil"/>
                    <w:tr2bl w:val="nil"/>
                  </w:tcBorders>
                  <w:noWrap/>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rPr>
                  </w:pPr>
                  <w:bookmarkStart w:id="190" w:name="OLE_LINK19"/>
                  <w:r>
                    <w:rPr>
                      <w:rFonts w:ascii="Times New Roman" w:cs="Times New Roman" w:hAnsiTheme="minorEastAsia" w:eastAsiaTheme="minorEastAsia"/>
                      <w:color w:val="auto"/>
                      <w:sz w:val="21"/>
                      <w:szCs w:val="21"/>
                    </w:rPr>
                    <w:t>《危险废物贮存污染控制标准》</w:t>
                  </w:r>
                  <w:bookmarkEnd w:id="190"/>
                  <w:r>
                    <w:rPr>
                      <w:rFonts w:ascii="Times New Roman" w:cs="Times New Roman" w:hAnsiTheme="minorEastAsia" w:eastAsiaTheme="minorEastAsia"/>
                      <w:color w:val="auto"/>
                      <w:sz w:val="21"/>
                      <w:szCs w:val="21"/>
                    </w:rPr>
                    <w:t>（</w:t>
                  </w:r>
                  <w:r>
                    <w:rPr>
                      <w:rFonts w:ascii="Times New Roman" w:hAnsi="Times New Roman" w:cs="Times New Roman" w:eastAsiaTheme="minorEastAsia"/>
                      <w:color w:val="auto"/>
                      <w:sz w:val="21"/>
                      <w:szCs w:val="21"/>
                    </w:rPr>
                    <w:t>GB18597—2023</w:t>
                  </w:r>
                  <w:r>
                    <w:rPr>
                      <w:rFonts w:ascii="Times New Roman" w:cs="Times New Roman" w:hAnsiTheme="minorEastAsia" w:eastAsiaTheme="minorEastAsia"/>
                      <w:color w:val="auto"/>
                      <w:sz w:val="21"/>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8080" w:type="dxa"/>
                  <w:gridSpan w:val="4"/>
                  <w:tcBorders>
                    <w:tl2br w:val="nil"/>
                    <w:tr2bl w:val="nil"/>
                  </w:tcBorders>
                  <w:noWrap/>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rPr>
                  </w:pPr>
                  <w:r>
                    <w:rPr>
                      <w:color w:val="auto"/>
                      <w:kern w:val="2"/>
                      <w:sz w:val="21"/>
                    </w:rPr>
                    <w:t>注：本项目污染物排放执行以上标准限值中的严值。</w:t>
                  </w:r>
                </w:p>
              </w:tc>
            </w:tr>
          </w:tbl>
          <w:p>
            <w:pPr>
              <w:keepNext w:val="0"/>
              <w:keepLines w:val="0"/>
              <w:suppressLineNumbers w:val="0"/>
              <w:spacing w:before="0" w:beforeAutospacing="0" w:after="0" w:afterAutospacing="0" w:line="240" w:lineRule="auto"/>
              <w:ind w:left="0" w:right="0" w:firstLine="0" w:firstLineChars="0"/>
              <w:jc w:val="left"/>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5" w:hRule="atLeast"/>
          <w:jc w:val="center"/>
        </w:trPr>
        <w:tc>
          <w:tcPr>
            <w:tcW w:w="763" w:type="dxa"/>
            <w:tcMar>
              <w:left w:w="28" w:type="dxa"/>
              <w:right w:w="28"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color w:val="auto"/>
              </w:rPr>
            </w:pPr>
            <w:bookmarkStart w:id="191" w:name="OLE_LINK84"/>
            <w:r>
              <w:rPr>
                <w:rFonts w:hint="eastAsia" w:ascii="宋体" w:hAnsi="宋体" w:cs="宋体"/>
                <w:color w:val="auto"/>
                <w:kern w:val="0"/>
                <w:sz w:val="24"/>
              </w:rPr>
              <w:t>总量控制指标</w:t>
            </w:r>
            <w:bookmarkEnd w:id="191"/>
          </w:p>
        </w:tc>
        <w:tc>
          <w:tcPr>
            <w:tcW w:w="82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宋体"/>
                <w:bCs/>
                <w:color w:val="auto"/>
                <w:kern w:val="2"/>
                <w:sz w:val="24"/>
                <w:szCs w:val="24"/>
                <w:lang w:val="en-US" w:eastAsia="zh-CN" w:bidi="ar"/>
              </w:rPr>
            </w:pPr>
            <w:r>
              <w:rPr>
                <w:rFonts w:hint="eastAsia" w:ascii="Times New Roman" w:hAnsi="Times New Roman" w:eastAsia="宋体" w:cs="宋体"/>
                <w:bCs/>
                <w:color w:val="auto"/>
                <w:kern w:val="2"/>
                <w:sz w:val="24"/>
                <w:szCs w:val="24"/>
                <w:lang w:val="en-US" w:eastAsia="zh-CN" w:bidi="ar"/>
              </w:rPr>
              <w:t>根据新乡市生态环境局关于转发《河南省生态环境厅关于引印发建设项目主要污染物排放总量指标管理工作内部规程的通知》和《新乡市建设项目新增总量指标替代管理指导意见（试行）》的要求，污染物排放量实施区域内双倍替代。</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eastAsia="宋体"/>
                <w:color w:val="auto"/>
                <w:lang w:eastAsia="zh-CN"/>
              </w:rPr>
            </w:pPr>
            <w:r>
              <w:rPr>
                <w:rFonts w:hint="eastAsia" w:ascii="Times New Roman" w:hAnsi="Times New Roman" w:eastAsia="宋体" w:cs="宋体"/>
                <w:bCs/>
                <w:color w:val="auto"/>
                <w:kern w:val="2"/>
                <w:sz w:val="24"/>
                <w:szCs w:val="24"/>
                <w:lang w:val="en-US" w:eastAsia="zh-CN" w:bidi="ar"/>
              </w:rPr>
              <w:t>本项目属于</w:t>
            </w:r>
            <w:bookmarkStart w:id="192" w:name="OLE_LINK93"/>
            <w:r>
              <w:rPr>
                <w:rFonts w:hint="eastAsia" w:ascii="Times New Roman" w:hAnsi="Times New Roman" w:eastAsia="宋体" w:cs="宋体"/>
                <w:bCs/>
                <w:color w:val="auto"/>
                <w:kern w:val="2"/>
                <w:sz w:val="24"/>
                <w:szCs w:val="24"/>
                <w:lang w:val="en-US" w:eastAsia="zh-CN" w:bidi="ar"/>
              </w:rPr>
              <w:t>新建项目。本项目</w:t>
            </w:r>
            <w:bookmarkStart w:id="193" w:name="OLE_LINK224"/>
            <w:r>
              <w:rPr>
                <w:rFonts w:hint="eastAsia" w:ascii="Times New Roman" w:hAnsi="Times New Roman" w:eastAsia="宋体" w:cs="宋体"/>
                <w:bCs/>
                <w:color w:val="auto"/>
                <w:kern w:val="2"/>
                <w:sz w:val="24"/>
                <w:szCs w:val="24"/>
                <w:lang w:val="en-US" w:eastAsia="zh-CN" w:bidi="ar"/>
              </w:rPr>
              <w:t>不新增总量控制指标污染物排放量</w:t>
            </w:r>
            <w:bookmarkEnd w:id="192"/>
            <w:bookmarkEnd w:id="193"/>
            <w:r>
              <w:rPr>
                <w:rFonts w:hint="eastAsia" w:ascii="Times New Roman" w:hAnsi="Times New Roman" w:eastAsia="宋体" w:cs="宋体"/>
                <w:bCs/>
                <w:color w:val="auto"/>
                <w:kern w:val="2"/>
                <w:sz w:val="24"/>
                <w:szCs w:val="24"/>
                <w:lang w:val="en-US" w:eastAsia="zh-CN" w:bidi="ar"/>
              </w:rPr>
              <w:t>。</w:t>
            </w:r>
          </w:p>
        </w:tc>
      </w:tr>
    </w:tbl>
    <w:p>
      <w:pPr>
        <w:rPr>
          <w:color w:val="auto"/>
        </w:rPr>
        <w:sectPr>
          <w:pgSz w:w="11906" w:h="16838"/>
          <w:pgMar w:top="1701" w:right="1531" w:bottom="1701" w:left="1531" w:header="851" w:footer="1191" w:gutter="0"/>
          <w:pgBorders>
            <w:top w:val="none" w:sz="0" w:space="0"/>
            <w:left w:val="none" w:sz="0" w:space="0"/>
            <w:bottom w:val="none" w:sz="0" w:space="0"/>
            <w:right w:val="none" w:sz="0" w:space="0"/>
          </w:pgBorders>
          <w:pgNumType w:fmt="decimal"/>
          <w:cols w:space="720" w:num="1"/>
          <w:docGrid w:linePitch="312" w:charSpace="0"/>
        </w:sectPr>
      </w:pPr>
    </w:p>
    <w:p>
      <w:pPr>
        <w:pStyle w:val="2"/>
        <w:bidi w:val="0"/>
        <w:rPr>
          <w:rStyle w:val="26"/>
          <w:b/>
          <w:bCs/>
          <w:color w:val="auto"/>
        </w:rPr>
      </w:pPr>
      <w:r>
        <w:rPr>
          <w:rStyle w:val="26"/>
          <w:b/>
          <w:bCs/>
          <w:color w:val="auto"/>
        </w:rPr>
        <w:t>四、主要环境影响和保护措施</w:t>
      </w:r>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825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0" w:hRule="atLeast"/>
          <w:jc w:val="center"/>
        </w:trPr>
        <w:tc>
          <w:tcPr>
            <w:tcW w:w="723" w:type="dxa"/>
            <w:tcBorders>
              <w:top w:val="single" w:color="auto" w:sz="8" w:space="0"/>
              <w:bottom w:val="single" w:color="auto" w:sz="8" w:space="0"/>
            </w:tcBorders>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ascii="宋体" w:hAnsi="宋体" w:cs="宋体"/>
                <w:bCs/>
                <w:color w:val="auto"/>
                <w:sz w:val="24"/>
              </w:rPr>
            </w:pPr>
            <w:r>
              <w:rPr>
                <w:rFonts w:hint="eastAsia" w:ascii="宋体" w:hAnsi="宋体" w:cs="宋体"/>
                <w:bCs/>
                <w:color w:val="auto"/>
                <w:sz w:val="24"/>
              </w:rPr>
              <w:t>施工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ascii="宋体" w:hAnsi="宋体" w:cs="宋体"/>
                <w:bCs/>
                <w:color w:val="auto"/>
                <w:sz w:val="24"/>
              </w:rPr>
            </w:pPr>
            <w:r>
              <w:rPr>
                <w:rFonts w:hint="eastAsia" w:ascii="宋体" w:hAnsi="宋体" w:cs="宋体"/>
                <w:bCs/>
                <w:color w:val="auto"/>
                <w:sz w:val="24"/>
              </w:rPr>
              <w:t>期环</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ascii="宋体" w:hAnsi="宋体" w:cs="宋体"/>
                <w:bCs/>
                <w:color w:val="auto"/>
                <w:sz w:val="24"/>
              </w:rPr>
            </w:pPr>
            <w:r>
              <w:rPr>
                <w:rFonts w:hint="eastAsia" w:ascii="宋体" w:hAnsi="宋体" w:cs="宋体"/>
                <w:bCs/>
                <w:color w:val="auto"/>
                <w:sz w:val="24"/>
              </w:rPr>
              <w:t>境保</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ascii="宋体" w:hAnsi="宋体" w:cs="宋体"/>
                <w:bCs/>
                <w:color w:val="auto"/>
                <w:sz w:val="24"/>
              </w:rPr>
            </w:pPr>
            <w:r>
              <w:rPr>
                <w:rFonts w:hint="eastAsia" w:ascii="宋体" w:hAnsi="宋体" w:cs="宋体"/>
                <w:bCs/>
                <w:color w:val="auto"/>
                <w:sz w:val="24"/>
              </w:rPr>
              <w:t>护措</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z w:val="24"/>
              </w:rPr>
            </w:pPr>
            <w:r>
              <w:rPr>
                <w:rFonts w:hint="eastAsia" w:ascii="宋体" w:hAnsi="宋体" w:cs="宋体"/>
                <w:bCs/>
                <w:color w:val="auto"/>
                <w:sz w:val="24"/>
              </w:rPr>
              <w:t>施</w:t>
            </w:r>
          </w:p>
        </w:tc>
        <w:tc>
          <w:tcPr>
            <w:tcW w:w="8258" w:type="dxa"/>
            <w:tcBorders>
              <w:top w:val="single" w:color="auto" w:sz="8" w:space="0"/>
              <w:bottom w:val="single" w:color="auto"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color w:val="auto"/>
              </w:rPr>
            </w:pPr>
            <w:r>
              <w:rPr>
                <w:rFonts w:hint="eastAsia" w:ascii="宋体" w:hAnsi="宋体" w:eastAsia="宋体" w:cs="宋体"/>
                <w:bCs/>
                <w:color w:val="auto"/>
                <w:sz w:val="24"/>
              </w:rPr>
              <w:t>本项目租赁</w:t>
            </w:r>
            <w:r>
              <w:rPr>
                <w:rFonts w:hint="eastAsia" w:ascii="宋体" w:hAnsi="宋体" w:cs="宋体"/>
                <w:bCs/>
                <w:color w:val="auto"/>
                <w:sz w:val="24"/>
                <w:lang w:val="en-US" w:eastAsia="zh-CN"/>
              </w:rPr>
              <w:t>闲置</w:t>
            </w:r>
            <w:r>
              <w:rPr>
                <w:rFonts w:hint="eastAsia" w:ascii="宋体" w:hAnsi="宋体" w:eastAsia="宋体" w:cs="宋体"/>
                <w:bCs/>
                <w:color w:val="auto"/>
                <w:sz w:val="24"/>
              </w:rPr>
              <w:t>厂房进行建设，不涉及建筑物的施工建设，只需要室内装修</w:t>
            </w:r>
            <w:r>
              <w:rPr>
                <w:rFonts w:hint="eastAsia" w:ascii="宋体" w:hAnsi="宋体" w:cs="宋体"/>
                <w:bCs/>
                <w:color w:val="auto"/>
                <w:sz w:val="24"/>
                <w:lang w:eastAsia="zh-CN"/>
              </w:rPr>
              <w:t>、</w:t>
            </w:r>
            <w:r>
              <w:rPr>
                <w:rFonts w:hint="eastAsia" w:ascii="宋体" w:hAnsi="宋体" w:cs="宋体"/>
                <w:bCs/>
                <w:color w:val="auto"/>
                <w:sz w:val="24"/>
                <w:lang w:val="en-US" w:eastAsia="zh-CN"/>
              </w:rPr>
              <w:t>厂房封闭</w:t>
            </w:r>
            <w:r>
              <w:rPr>
                <w:rFonts w:hint="eastAsia" w:ascii="宋体" w:hAnsi="宋体" w:eastAsia="宋体" w:cs="宋体"/>
                <w:bCs/>
                <w:color w:val="auto"/>
                <w:sz w:val="24"/>
              </w:rPr>
              <w:t>和安装设备，故本次评价不对施工期环境影响进行分析。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3" w:type="dxa"/>
            <w:tcBorders>
              <w:top w:val="single" w:color="auto" w:sz="8" w:space="0"/>
              <w:bottom w:val="single" w:color="auto" w:sz="8" w:space="0"/>
            </w:tcBorders>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ascii="宋体" w:hAnsi="宋体" w:cs="宋体"/>
                <w:bCs/>
                <w:color w:val="auto"/>
                <w:sz w:val="24"/>
              </w:rPr>
            </w:pPr>
            <w:r>
              <w:rPr>
                <w:rFonts w:hint="eastAsia" w:ascii="宋体" w:hAnsi="宋体" w:cs="宋体"/>
                <w:bCs/>
                <w:color w:val="auto"/>
                <w:sz w:val="24"/>
              </w:rPr>
              <w:t>运营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ascii="宋体" w:hAnsi="宋体" w:cs="宋体"/>
                <w:bCs/>
                <w:color w:val="auto"/>
                <w:sz w:val="24"/>
              </w:rPr>
            </w:pPr>
            <w:r>
              <w:rPr>
                <w:rFonts w:hint="eastAsia" w:ascii="宋体" w:hAnsi="宋体" w:cs="宋体"/>
                <w:bCs/>
                <w:color w:val="auto"/>
                <w:sz w:val="24"/>
              </w:rPr>
              <w:t>期环</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ascii="宋体" w:hAnsi="宋体" w:cs="宋体"/>
                <w:bCs/>
                <w:color w:val="auto"/>
                <w:sz w:val="24"/>
              </w:rPr>
            </w:pPr>
            <w:r>
              <w:rPr>
                <w:rFonts w:hint="eastAsia" w:ascii="宋体" w:hAnsi="宋体" w:cs="宋体"/>
                <w:bCs/>
                <w:color w:val="auto"/>
                <w:sz w:val="24"/>
              </w:rPr>
              <w:t>境影</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ascii="宋体" w:hAnsi="宋体" w:cs="宋体"/>
                <w:bCs/>
                <w:color w:val="auto"/>
                <w:sz w:val="24"/>
              </w:rPr>
            </w:pPr>
            <w:r>
              <w:rPr>
                <w:rFonts w:hint="eastAsia" w:ascii="宋体" w:hAnsi="宋体" w:cs="宋体"/>
                <w:bCs/>
                <w:color w:val="auto"/>
                <w:sz w:val="24"/>
              </w:rPr>
              <w:t>响和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ascii="宋体" w:hAnsi="宋体" w:cs="宋体"/>
                <w:bCs/>
                <w:color w:val="auto"/>
                <w:sz w:val="24"/>
              </w:rPr>
            </w:pPr>
            <w:r>
              <w:rPr>
                <w:rFonts w:hint="eastAsia" w:ascii="宋体" w:hAnsi="宋体" w:cs="宋体"/>
                <w:bCs/>
                <w:color w:val="auto"/>
                <w:sz w:val="24"/>
              </w:rPr>
              <w:t>保护</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ascii="宋体" w:hAnsi="宋体" w:cs="宋体"/>
                <w:bCs/>
                <w:color w:val="auto"/>
                <w:szCs w:val="21"/>
              </w:rPr>
            </w:pPr>
            <w:r>
              <w:rPr>
                <w:rFonts w:hint="eastAsia" w:ascii="宋体" w:hAnsi="宋体" w:cs="宋体"/>
                <w:bCs/>
                <w:color w:val="auto"/>
                <w:sz w:val="24"/>
              </w:rPr>
              <w:t>措施</w:t>
            </w:r>
          </w:p>
        </w:tc>
        <w:tc>
          <w:tcPr>
            <w:tcW w:w="8258" w:type="dxa"/>
            <w:tcBorders>
              <w:top w:val="single" w:color="auto" w:sz="8" w:space="0"/>
              <w:bottom w:val="single" w:color="auto" w:sz="8" w:space="0"/>
              <w:right w:val="single" w:color="auto" w:sz="8" w:space="0"/>
            </w:tcBorders>
            <w:vAlign w:val="center"/>
          </w:tcPr>
          <w:p>
            <w:pPr>
              <w:keepNext w:val="0"/>
              <w:keepLines w:val="0"/>
              <w:suppressLineNumbers w:val="0"/>
              <w:bidi w:val="0"/>
              <w:spacing w:before="0" w:beforeAutospacing="0" w:after="0" w:afterAutospacing="0"/>
              <w:ind w:left="0" w:right="0"/>
              <w:rPr>
                <w:color w:val="auto"/>
              </w:rPr>
            </w:pPr>
            <w:r>
              <w:rPr>
                <w:color w:val="auto"/>
              </w:rPr>
              <w:t>本项目运营期间对环境的影响主要是生产过程中产生的废气、废水、噪声和固废，具体分析如下：</w:t>
            </w:r>
          </w:p>
          <w:p>
            <w:pPr>
              <w:keepNext w:val="0"/>
              <w:keepLines w:val="0"/>
              <w:suppressLineNumbers w:val="0"/>
              <w:bidi w:val="0"/>
              <w:spacing w:before="0" w:beforeAutospacing="0" w:after="0" w:afterAutospacing="0"/>
              <w:ind w:left="0" w:right="0"/>
              <w:rPr>
                <w:b/>
                <w:bCs/>
                <w:color w:val="auto"/>
              </w:rPr>
            </w:pPr>
            <w:r>
              <w:rPr>
                <w:b/>
                <w:bCs/>
                <w:color w:val="auto"/>
              </w:rPr>
              <w:t>一、大气环境影响分析</w:t>
            </w:r>
          </w:p>
          <w:p>
            <w:pPr>
              <w:keepNext w:val="0"/>
              <w:keepLines w:val="0"/>
              <w:suppressLineNumbers w:val="0"/>
              <w:bidi w:val="0"/>
              <w:spacing w:before="0" w:beforeAutospacing="0" w:after="0" w:afterAutospacing="0"/>
              <w:ind w:left="0" w:right="0"/>
              <w:rPr>
                <w:rFonts w:hint="default"/>
                <w:color w:val="auto"/>
                <w:lang w:val="en-US" w:eastAsia="zh-CN"/>
              </w:rPr>
            </w:pPr>
            <w:r>
              <w:rPr>
                <w:color w:val="auto"/>
              </w:rPr>
              <w:t>本项目运营期产生的废气主要为</w:t>
            </w:r>
            <w:r>
              <w:rPr>
                <w:rFonts w:hint="eastAsia"/>
                <w:color w:val="auto"/>
              </w:rPr>
              <w:t>硫酸雾废气</w:t>
            </w:r>
            <w:r>
              <w:rPr>
                <w:color w:val="auto"/>
              </w:rPr>
              <w:t>。</w:t>
            </w:r>
          </w:p>
          <w:p>
            <w:pPr>
              <w:keepNext w:val="0"/>
              <w:keepLines w:val="0"/>
              <w:suppressLineNumbers w:val="0"/>
              <w:bidi w:val="0"/>
              <w:spacing w:before="0" w:beforeAutospacing="0" w:after="0" w:afterAutospacing="0"/>
              <w:ind w:left="0" w:right="0"/>
              <w:rPr>
                <w:rFonts w:hint="eastAsia"/>
                <w:b/>
                <w:bCs/>
                <w:color w:val="auto"/>
                <w:lang w:val="en-US" w:eastAsia="zh-CN"/>
              </w:rPr>
            </w:pPr>
            <w:r>
              <w:rPr>
                <w:rFonts w:hint="eastAsia"/>
                <w:b/>
                <w:bCs/>
                <w:color w:val="auto"/>
              </w:rPr>
              <w:t>1、</w:t>
            </w:r>
            <w:bookmarkStart w:id="194" w:name="OLE_LINK22"/>
            <w:r>
              <w:rPr>
                <w:b/>
                <w:bCs/>
                <w:color w:val="auto"/>
              </w:rPr>
              <w:t>硫酸雾</w:t>
            </w:r>
            <w:bookmarkEnd w:id="194"/>
            <w:r>
              <w:rPr>
                <w:b/>
                <w:bCs/>
                <w:color w:val="auto"/>
              </w:rPr>
              <w:t>废气</w:t>
            </w:r>
          </w:p>
          <w:p>
            <w:pPr>
              <w:keepNext w:val="0"/>
              <w:keepLines w:val="0"/>
              <w:suppressLineNumbers w:val="0"/>
              <w:bidi w:val="0"/>
              <w:spacing w:before="0" w:beforeAutospacing="0" w:after="0" w:afterAutospacing="0"/>
              <w:ind w:left="0" w:right="0"/>
              <w:rPr>
                <w:rFonts w:hint="default"/>
                <w:b/>
                <w:bCs/>
                <w:color w:val="auto"/>
                <w:lang w:val="en-US" w:eastAsia="zh-CN"/>
              </w:rPr>
            </w:pPr>
            <w:r>
              <w:rPr>
                <w:rFonts w:hint="eastAsia"/>
                <w:b/>
                <w:bCs/>
                <w:color w:val="auto"/>
                <w:lang w:val="en-US" w:eastAsia="zh-CN"/>
              </w:rPr>
              <w:t>（1）废气源强分析</w:t>
            </w:r>
          </w:p>
          <w:p>
            <w:pPr>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本项目运营期废气主要为破损</w:t>
            </w:r>
            <w:bookmarkStart w:id="195" w:name="OLE_LINK260"/>
            <w:r>
              <w:rPr>
                <w:rFonts w:hint="eastAsia"/>
                <w:color w:val="auto"/>
                <w:highlight w:val="none"/>
              </w:rPr>
              <w:t>废铅蓄电池</w:t>
            </w:r>
            <w:bookmarkEnd w:id="195"/>
            <w:r>
              <w:rPr>
                <w:rFonts w:hint="eastAsia"/>
                <w:color w:val="auto"/>
                <w:highlight w:val="none"/>
              </w:rPr>
              <w:t>中</w:t>
            </w:r>
            <w:r>
              <w:rPr>
                <w:rFonts w:hint="eastAsia"/>
                <w:color w:val="auto"/>
                <w:highlight w:val="none"/>
                <w:lang w:eastAsia="zh-CN"/>
              </w:rPr>
              <w:t>泄漏</w:t>
            </w:r>
            <w:r>
              <w:rPr>
                <w:rFonts w:hint="eastAsia"/>
                <w:color w:val="auto"/>
                <w:highlight w:val="none"/>
              </w:rPr>
              <w:t>的电解液挥发的少量硫酸雾废气。</w:t>
            </w:r>
            <w:r>
              <w:rPr>
                <w:color w:val="auto"/>
                <w:highlight w:val="none"/>
              </w:rPr>
              <w:t>项目收集的电池大部分为各收集点更换下来的完整废铅蓄电池，</w:t>
            </w:r>
            <w:r>
              <w:rPr>
                <w:rFonts w:hint="eastAsia"/>
                <w:color w:val="auto"/>
                <w:highlight w:val="none"/>
                <w:lang w:val="en-US" w:eastAsia="zh-CN"/>
              </w:rPr>
              <w:t>经塑料薄膜包装后放入</w:t>
            </w:r>
            <w:r>
              <w:rPr>
                <w:rFonts w:hint="eastAsia"/>
                <w:color w:val="auto"/>
              </w:rPr>
              <w:t>塑料托盘内</w:t>
            </w:r>
            <w:r>
              <w:rPr>
                <w:rFonts w:hint="eastAsia"/>
                <w:color w:val="auto"/>
                <w:lang w:eastAsia="zh-CN"/>
              </w:rPr>
              <w:t>，</w:t>
            </w:r>
            <w:r>
              <w:rPr>
                <w:rFonts w:hint="eastAsia"/>
                <w:color w:val="auto"/>
                <w:highlight w:val="none"/>
              </w:rPr>
              <w:t>采用符合</w:t>
            </w:r>
            <w:r>
              <w:rPr>
                <w:color w:val="auto"/>
                <w:highlight w:val="none"/>
              </w:rPr>
              <w:t>防雨、防渗漏、防遗撒要求的车辆运输</w:t>
            </w:r>
            <w:bookmarkStart w:id="196" w:name="OLE_LINK220"/>
            <w:r>
              <w:rPr>
                <w:color w:val="auto"/>
                <w:highlight w:val="none"/>
              </w:rPr>
              <w:t>至本仓库，</w:t>
            </w:r>
            <w:r>
              <w:rPr>
                <w:rFonts w:hint="eastAsia"/>
                <w:color w:val="auto"/>
                <w:highlight w:val="none"/>
                <w:lang w:val="en-US" w:eastAsia="zh-CN"/>
              </w:rPr>
              <w:t>储存</w:t>
            </w:r>
            <w:r>
              <w:rPr>
                <w:color w:val="auto"/>
                <w:highlight w:val="none"/>
              </w:rPr>
              <w:t>于</w:t>
            </w:r>
            <w:r>
              <w:rPr>
                <w:rFonts w:hint="eastAsia"/>
                <w:color w:val="auto"/>
                <w:highlight w:val="none"/>
                <w:lang w:val="en-US" w:eastAsia="zh-CN"/>
              </w:rPr>
              <w:t>完整电池储存区</w:t>
            </w:r>
            <w:r>
              <w:rPr>
                <w:rFonts w:hint="eastAsia"/>
                <w:color w:val="auto"/>
                <w:highlight w:val="none"/>
              </w:rPr>
              <w:t>；</w:t>
            </w:r>
            <w:bookmarkEnd w:id="196"/>
            <w:r>
              <w:rPr>
                <w:rFonts w:hint="eastAsia"/>
                <w:color w:val="auto"/>
                <w:highlight w:val="none"/>
              </w:rPr>
              <w:t>少量外壳破碎废铅蓄电池从收集点直接装入</w:t>
            </w:r>
            <w:r>
              <w:rPr>
                <w:color w:val="auto"/>
                <w:highlight w:val="none"/>
              </w:rPr>
              <w:t>破损电池储存</w:t>
            </w:r>
            <w:r>
              <w:rPr>
                <w:rFonts w:hint="eastAsia"/>
                <w:color w:val="auto"/>
                <w:highlight w:val="none"/>
                <w:lang w:val="en-US" w:eastAsia="zh-CN"/>
              </w:rPr>
              <w:t>箱</w:t>
            </w:r>
            <w:r>
              <w:rPr>
                <w:rFonts w:hint="eastAsia"/>
                <w:color w:val="auto"/>
                <w:highlight w:val="none"/>
              </w:rPr>
              <w:t>内，经专用车辆运至</w:t>
            </w:r>
            <w:r>
              <w:rPr>
                <w:color w:val="auto"/>
                <w:highlight w:val="none"/>
              </w:rPr>
              <w:t>本仓库，</w:t>
            </w:r>
            <w:r>
              <w:rPr>
                <w:rFonts w:hint="eastAsia"/>
                <w:color w:val="auto"/>
                <w:highlight w:val="none"/>
                <w:lang w:val="en-US" w:eastAsia="zh-CN"/>
              </w:rPr>
              <w:t>储存</w:t>
            </w:r>
            <w:r>
              <w:rPr>
                <w:color w:val="auto"/>
                <w:highlight w:val="none"/>
              </w:rPr>
              <w:t>于</w:t>
            </w:r>
            <w:r>
              <w:rPr>
                <w:rFonts w:hint="eastAsia"/>
                <w:color w:val="auto"/>
                <w:highlight w:val="none"/>
                <w:lang w:val="en-US" w:eastAsia="zh-CN"/>
              </w:rPr>
              <w:t>破碎电池储存区</w:t>
            </w:r>
            <w:r>
              <w:rPr>
                <w:rFonts w:hint="eastAsia"/>
                <w:color w:val="auto"/>
                <w:highlight w:val="none"/>
              </w:rPr>
              <w:t>。</w:t>
            </w:r>
          </w:p>
          <w:p>
            <w:pPr>
              <w:keepNext w:val="0"/>
              <w:keepLines w:val="0"/>
              <w:suppressLineNumbers w:val="0"/>
              <w:bidi w:val="0"/>
              <w:spacing w:before="0" w:beforeAutospacing="0" w:after="0" w:afterAutospacing="0"/>
              <w:ind w:left="0" w:right="0"/>
              <w:rPr>
                <w:color w:val="auto"/>
              </w:rPr>
            </w:pPr>
            <w:r>
              <w:rPr>
                <w:rFonts w:hint="eastAsia"/>
                <w:color w:val="auto"/>
                <w:lang w:val="en-US" w:eastAsia="zh-CN"/>
              </w:rPr>
              <w:t>运输、卸车</w:t>
            </w:r>
            <w:r>
              <w:rPr>
                <w:color w:val="auto"/>
              </w:rPr>
              <w:t>过程中一般不会对电池造成创伤，不会产生硫酸雾等废气。</w:t>
            </w:r>
          </w:p>
          <w:p>
            <w:pPr>
              <w:keepNext w:val="0"/>
              <w:keepLines w:val="0"/>
              <w:suppressLineNumbers w:val="0"/>
              <w:bidi w:val="0"/>
              <w:spacing w:before="0" w:beforeAutospacing="0" w:after="0" w:afterAutospacing="0"/>
              <w:ind w:left="0" w:right="0"/>
              <w:rPr>
                <w:color w:val="auto"/>
              </w:rPr>
            </w:pPr>
            <w:r>
              <w:rPr>
                <w:color w:val="auto"/>
                <w:highlight w:val="none"/>
              </w:rPr>
              <w:t>项目重点考虑</w:t>
            </w:r>
            <w:r>
              <w:rPr>
                <w:rFonts w:hint="eastAsia"/>
                <w:color w:val="auto"/>
                <w:highlight w:val="none"/>
                <w:lang w:val="en-US" w:eastAsia="zh-CN"/>
              </w:rPr>
              <w:t>储存</w:t>
            </w:r>
            <w:r>
              <w:rPr>
                <w:color w:val="auto"/>
                <w:highlight w:val="none"/>
              </w:rPr>
              <w:t>过程破损</w:t>
            </w:r>
            <w:r>
              <w:rPr>
                <w:rFonts w:hint="eastAsia"/>
                <w:color w:val="auto"/>
                <w:highlight w:val="none"/>
                <w:lang w:val="en-US" w:eastAsia="zh-CN"/>
              </w:rPr>
              <w:t>的</w:t>
            </w:r>
            <w:r>
              <w:rPr>
                <w:color w:val="auto"/>
                <w:highlight w:val="none"/>
              </w:rPr>
              <w:t>铅酸蓄电池</w:t>
            </w:r>
            <w:bookmarkStart w:id="197" w:name="OLE_LINK20"/>
            <w:r>
              <w:rPr>
                <w:color w:val="auto"/>
                <w:highlight w:val="none"/>
              </w:rPr>
              <w:t>泄漏</w:t>
            </w:r>
            <w:r>
              <w:rPr>
                <w:rFonts w:hint="eastAsia"/>
                <w:color w:val="auto"/>
                <w:highlight w:val="none"/>
                <w:lang w:val="en-US" w:eastAsia="zh-CN"/>
              </w:rPr>
              <w:t>的</w:t>
            </w:r>
            <w:r>
              <w:rPr>
                <w:color w:val="auto"/>
                <w:highlight w:val="none"/>
              </w:rPr>
              <w:t>电解液</w:t>
            </w:r>
            <w:bookmarkEnd w:id="197"/>
            <w:r>
              <w:rPr>
                <w:color w:val="auto"/>
                <w:highlight w:val="none"/>
              </w:rPr>
              <w:t>产生少量硫酸雾。</w:t>
            </w:r>
          </w:p>
          <w:p>
            <w:pPr>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rPr>
            </w:pPr>
            <w:r>
              <w:rPr>
                <w:rFonts w:hint="eastAsia" w:ascii="Times New Roman" w:hAnsi="Times New Roman" w:eastAsia="宋体" w:cs="Times New Roman"/>
                <w:color w:val="auto"/>
              </w:rPr>
              <w:t>项目年回收废旧铅酸蓄电池</w:t>
            </w:r>
            <w:r>
              <w:rPr>
                <w:rFonts w:hint="eastAsia" w:ascii="Times New Roman" w:hAnsi="Times New Roman" w:eastAsia="宋体" w:cs="Times New Roman"/>
                <w:color w:val="auto"/>
                <w:lang w:val="en-US" w:eastAsia="zh-CN"/>
              </w:rPr>
              <w:t>3000</w:t>
            </w:r>
            <w:r>
              <w:rPr>
                <w:rFonts w:hint="eastAsia" w:ascii="Times New Roman" w:hAnsi="Times New Roman" w:eastAsia="宋体" w:cs="Times New Roman"/>
                <w:color w:val="auto"/>
              </w:rPr>
              <w:t>吨，</w:t>
            </w:r>
            <w:r>
              <w:rPr>
                <w:rFonts w:hint="eastAsia" w:ascii="Times New Roman" w:hAnsi="Times New Roman" w:eastAsia="宋体" w:cs="Times New Roman"/>
                <w:color w:val="auto"/>
                <w:lang w:val="en-US" w:eastAsia="zh-CN"/>
              </w:rPr>
              <w:t>根据废铅蓄电池回收人员的市场调查，</w:t>
            </w:r>
            <w:r>
              <w:rPr>
                <w:rFonts w:hint="eastAsia" w:ascii="Times New Roman" w:hAnsi="Times New Roman" w:eastAsia="宋体" w:cs="Times New Roman"/>
                <w:color w:val="auto"/>
              </w:rPr>
              <w:t>破损废旧铅酸蓄电池约占总量的1</w:t>
            </w:r>
            <w:r>
              <w:rPr>
                <w:rFonts w:hint="eastAsia" w:cs="Times New Roman"/>
                <w:color w:val="auto"/>
                <w:lang w:val="en-US" w:eastAsia="zh-CN"/>
              </w:rPr>
              <w:t>%</w:t>
            </w:r>
            <w:r>
              <w:rPr>
                <w:rFonts w:hint="eastAsia" w:ascii="Times New Roman" w:hAnsi="Times New Roman" w:eastAsia="宋体" w:cs="Times New Roman"/>
                <w:color w:val="auto"/>
              </w:rPr>
              <w:t>，即</w:t>
            </w:r>
            <w:r>
              <w:rPr>
                <w:rFonts w:hint="eastAsia" w:cs="Times New Roman"/>
                <w:color w:val="auto"/>
                <w:lang w:val="en-US" w:eastAsia="zh-CN"/>
              </w:rPr>
              <w:t>30</w:t>
            </w:r>
            <w:r>
              <w:rPr>
                <w:rFonts w:hint="eastAsia" w:ascii="Times New Roman" w:hAnsi="Times New Roman" w:eastAsia="宋体" w:cs="Times New Roman"/>
                <w:color w:val="auto"/>
              </w:rPr>
              <w:t>t/a（</w:t>
            </w:r>
            <w:r>
              <w:rPr>
                <w:rFonts w:hint="eastAsia" w:cs="Times New Roman"/>
                <w:color w:val="auto"/>
                <w:lang w:val="en-US" w:eastAsia="zh-CN"/>
              </w:rPr>
              <w:t>0.1</w:t>
            </w:r>
            <w:r>
              <w:rPr>
                <w:rFonts w:hint="eastAsia" w:ascii="Times New Roman" w:hAnsi="Times New Roman" w:eastAsia="宋体" w:cs="Times New Roman"/>
                <w:color w:val="auto"/>
              </w:rPr>
              <w:t>t/d）。</w:t>
            </w:r>
            <w:r>
              <w:rPr>
                <w:rFonts w:hint="eastAsia"/>
                <w:color w:val="auto"/>
              </w:rPr>
              <w:t>破损废铅蓄电池采用</w:t>
            </w:r>
            <w:r>
              <w:rPr>
                <w:color w:val="auto"/>
              </w:rPr>
              <w:t>破损电池储存</w:t>
            </w:r>
            <w:r>
              <w:rPr>
                <w:rFonts w:hint="eastAsia"/>
                <w:color w:val="auto"/>
              </w:rPr>
              <w:t>箱放置。废电池内电解液质量百分比为10%，</w:t>
            </w:r>
            <w:r>
              <w:rPr>
                <w:rFonts w:ascii="Times New Roman" w:hAnsi="Times New Roman" w:eastAsia="宋体" w:cs="Times New Roman"/>
                <w:color w:val="auto"/>
              </w:rPr>
              <w:t>电解液中硫酸重量比为38%~40%</w:t>
            </w:r>
            <w:r>
              <w:rPr>
                <w:rFonts w:hint="eastAsia" w:cs="Times New Roman"/>
                <w:color w:val="auto"/>
                <w:lang w:eastAsia="zh-CN"/>
              </w:rPr>
              <w:t>，</w:t>
            </w:r>
            <w:r>
              <w:rPr>
                <w:rFonts w:hint="eastAsia" w:cs="Times New Roman"/>
                <w:color w:val="auto"/>
                <w:lang w:val="en-US" w:eastAsia="zh-CN"/>
              </w:rPr>
              <w:t>本项目以40%计</w:t>
            </w:r>
            <w:r>
              <w:rPr>
                <w:rFonts w:hint="eastAsia" w:ascii="Times New Roman" w:hAnsi="Times New Roman" w:eastAsia="宋体" w:cs="Times New Roman"/>
                <w:color w:val="auto"/>
              </w:rPr>
              <w:t>。</w:t>
            </w:r>
          </w:p>
          <w:p>
            <w:pPr>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根据《环境统计手册》中推荐的酸雾统计公式算如下：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color w:val="auto"/>
                <w:highlight w:val="none"/>
              </w:rPr>
            </w:pPr>
            <w:r>
              <w:rPr>
                <w:rFonts w:hint="eastAsia"/>
                <w:color w:val="auto"/>
                <w:highlight w:val="none"/>
              </w:rPr>
              <w:t>G</w:t>
            </w:r>
            <w:r>
              <w:rPr>
                <w:rFonts w:hint="eastAsia"/>
                <w:color w:val="auto"/>
                <w:highlight w:val="none"/>
                <w:vertAlign w:val="baseline"/>
                <w:lang w:val="en-US" w:eastAsia="zh-CN"/>
              </w:rPr>
              <w:t>z</w:t>
            </w:r>
            <w:r>
              <w:rPr>
                <w:rFonts w:hint="eastAsia"/>
                <w:color w:val="auto"/>
                <w:highlight w:val="none"/>
              </w:rPr>
              <w:t>=M×（0.000352+0.000786×V）×P×F</w:t>
            </w:r>
          </w:p>
          <w:p>
            <w:pPr>
              <w:keepNext w:val="0"/>
              <w:keepLines w:val="0"/>
              <w:suppressLineNumbers w:val="0"/>
              <w:bidi w:val="0"/>
              <w:spacing w:before="0" w:beforeAutospacing="0" w:after="0" w:afterAutospacing="0"/>
              <w:ind w:left="0" w:right="0"/>
              <w:rPr>
                <w:color w:val="auto"/>
                <w:highlight w:val="none"/>
              </w:rPr>
            </w:pPr>
            <w:r>
              <w:rPr>
                <w:color w:val="auto"/>
                <w:highlight w:val="none"/>
              </w:rPr>
              <w:t>式中：Gz-液体挥发量（kg/h）；</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1200" w:firstLineChars="500"/>
              <w:textAlignment w:val="auto"/>
              <w:rPr>
                <w:color w:val="auto"/>
                <w:highlight w:val="none"/>
              </w:rPr>
            </w:pPr>
            <w:r>
              <w:rPr>
                <w:color w:val="auto"/>
                <w:highlight w:val="none"/>
              </w:rPr>
              <w:t>M</w:t>
            </w:r>
            <w:r>
              <w:rPr>
                <w:rFonts w:hint="eastAsia"/>
                <w:color w:val="auto"/>
                <w:highlight w:val="none"/>
                <w:lang w:val="en-US" w:eastAsia="zh-CN"/>
              </w:rPr>
              <w:t xml:space="preserve"> </w:t>
            </w:r>
            <w:r>
              <w:rPr>
                <w:color w:val="auto"/>
                <w:highlight w:val="none"/>
              </w:rPr>
              <w:t>-液体分子量（g/mol），硫酸取98；</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1200" w:firstLineChars="500"/>
              <w:textAlignment w:val="auto"/>
              <w:rPr>
                <w:color w:val="auto"/>
              </w:rPr>
            </w:pPr>
            <w:r>
              <w:rPr>
                <w:color w:val="auto"/>
              </w:rPr>
              <w:t>V</w:t>
            </w:r>
            <w:r>
              <w:rPr>
                <w:rFonts w:hint="eastAsia"/>
                <w:color w:val="auto"/>
                <w:lang w:val="en-US" w:eastAsia="zh-CN"/>
              </w:rPr>
              <w:t xml:space="preserve"> </w:t>
            </w:r>
            <w:r>
              <w:rPr>
                <w:color w:val="auto"/>
              </w:rPr>
              <w:t>-蒸发液体表面空气流速（m/s），一般取0.2-0.5，本评价取0.3；</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1200" w:firstLineChars="500"/>
              <w:textAlignment w:val="auto"/>
              <w:rPr>
                <w:color w:val="auto"/>
              </w:rPr>
            </w:pPr>
            <w:r>
              <w:rPr>
                <w:color w:val="auto"/>
              </w:rPr>
              <w:t>P</w:t>
            </w:r>
            <w:r>
              <w:rPr>
                <w:rFonts w:hint="eastAsia"/>
                <w:color w:val="auto"/>
                <w:lang w:val="en-US" w:eastAsia="zh-CN"/>
              </w:rPr>
              <w:t xml:space="preserve"> </w:t>
            </w:r>
            <w:r>
              <w:rPr>
                <w:color w:val="auto"/>
              </w:rPr>
              <w:t>-相应于酸液温度下的空气中的蒸汽分压（mmHg），项目电解液浓度约40%，温度为20℃，经查P=9.84mmHg；</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1200" w:firstLineChars="500"/>
              <w:textAlignment w:val="auto"/>
              <w:rPr>
                <w:color w:val="auto"/>
              </w:rPr>
            </w:pPr>
            <w:r>
              <w:rPr>
                <w:color w:val="auto"/>
              </w:rPr>
              <w:t>F</w:t>
            </w:r>
            <w:r>
              <w:rPr>
                <w:rFonts w:hint="eastAsia"/>
                <w:color w:val="auto"/>
                <w:lang w:val="en-US" w:eastAsia="zh-CN"/>
              </w:rPr>
              <w:t xml:space="preserve"> </w:t>
            </w:r>
            <w:r>
              <w:rPr>
                <w:color w:val="auto"/>
              </w:rPr>
              <w:t>-液体蒸发面表面积（m</w:t>
            </w:r>
            <w:r>
              <w:rPr>
                <w:color w:val="auto"/>
                <w:vertAlign w:val="superscript"/>
              </w:rPr>
              <w:t>2</w:t>
            </w:r>
            <w:r>
              <w:rPr>
                <w:color w:val="auto"/>
              </w:rPr>
              <w:t>），由于废电池破碎率较低，且一般废电池活性较低，电解液含量较少，本项目取1.0；</w:t>
            </w:r>
          </w:p>
          <w:p>
            <w:pPr>
              <w:keepNext w:val="0"/>
              <w:keepLines w:val="0"/>
              <w:suppressLineNumbers w:val="0"/>
              <w:bidi w:val="0"/>
              <w:spacing w:before="0" w:beforeAutospacing="0" w:after="0" w:afterAutospacing="0"/>
              <w:ind w:left="0" w:right="0"/>
              <w:rPr>
                <w:rFonts w:hint="eastAsia"/>
                <w:color w:val="auto"/>
                <w:lang w:eastAsia="zh-CN"/>
              </w:rPr>
            </w:pPr>
            <w:r>
              <w:rPr>
                <w:color w:val="auto"/>
              </w:rPr>
              <w:t>经计算可知，</w:t>
            </w:r>
            <w:bookmarkStart w:id="198" w:name="OLE_LINK21"/>
            <w:r>
              <w:rPr>
                <w:color w:val="auto"/>
              </w:rPr>
              <w:t>硫酸雾挥发量为</w:t>
            </w:r>
            <w:bookmarkEnd w:id="198"/>
            <w:r>
              <w:rPr>
                <w:color w:val="auto"/>
              </w:rPr>
              <w:t>0.567kg/h</w:t>
            </w:r>
            <w:r>
              <w:rPr>
                <w:rFonts w:hint="eastAsia"/>
                <w:color w:val="auto"/>
                <w:lang w:eastAsia="zh-CN"/>
              </w:rPr>
              <w:t>，</w:t>
            </w:r>
            <w:r>
              <w:rPr>
                <w:color w:val="auto"/>
              </w:rPr>
              <w:t>电解液泄漏</w:t>
            </w:r>
            <w:r>
              <w:rPr>
                <w:rFonts w:hint="eastAsia"/>
                <w:color w:val="auto"/>
                <w:lang w:val="en-US" w:eastAsia="zh-CN"/>
              </w:rPr>
              <w:t>时间以300h/a计，则</w:t>
            </w:r>
            <w:r>
              <w:rPr>
                <w:color w:val="auto"/>
              </w:rPr>
              <w:t>硫酸雾</w:t>
            </w:r>
            <w:r>
              <w:rPr>
                <w:rFonts w:hint="eastAsia"/>
                <w:color w:val="auto"/>
                <w:lang w:val="en-US" w:eastAsia="zh-CN"/>
              </w:rPr>
              <w:t>年</w:t>
            </w:r>
            <w:r>
              <w:rPr>
                <w:color w:val="auto"/>
              </w:rPr>
              <w:t>挥发量为</w:t>
            </w:r>
            <w:r>
              <w:rPr>
                <w:rFonts w:hint="eastAsia"/>
                <w:color w:val="auto"/>
                <w:lang w:val="en-US" w:eastAsia="zh-CN"/>
              </w:rPr>
              <w:t>0.1701t/a</w:t>
            </w:r>
            <w:r>
              <w:rPr>
                <w:rFonts w:hint="eastAsia"/>
                <w:color w:val="auto"/>
                <w:lang w:eastAsia="zh-CN"/>
              </w:rPr>
              <w:t>。</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w:t>
            </w:r>
            <w:r>
              <w:rPr>
                <w:rFonts w:hint="eastAsia" w:cs="Times New Roman"/>
                <w:b/>
                <w:bCs/>
                <w:color w:val="auto"/>
                <w:sz w:val="24"/>
                <w:szCs w:val="24"/>
                <w:lang w:val="en-US" w:eastAsia="zh-CN"/>
              </w:rPr>
              <w:t>有组织</w:t>
            </w:r>
            <w:r>
              <w:rPr>
                <w:rFonts w:hint="default" w:ascii="Times New Roman" w:hAnsi="Times New Roman" w:eastAsia="宋体" w:cs="Times New Roman"/>
                <w:b/>
                <w:bCs/>
                <w:color w:val="auto"/>
                <w:sz w:val="24"/>
                <w:szCs w:val="24"/>
                <w:lang w:val="en-US" w:eastAsia="zh-CN"/>
              </w:rPr>
              <w:t>废气收集、治理与排放情况</w:t>
            </w:r>
          </w:p>
          <w:p>
            <w:pPr>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color w:val="auto"/>
                <w:highlight w:val="none"/>
              </w:rPr>
              <w:t>为了防止破损废铅蓄电池电解液泄漏后硫酸雾挥发，</w:t>
            </w:r>
            <w:bookmarkStart w:id="199" w:name="OLE_LINK206"/>
            <w:r>
              <w:rPr>
                <w:color w:val="auto"/>
                <w:highlight w:val="none"/>
              </w:rPr>
              <w:t>破损电池</w:t>
            </w:r>
            <w:r>
              <w:rPr>
                <w:rFonts w:hint="eastAsia"/>
                <w:color w:val="auto"/>
                <w:highlight w:val="none"/>
                <w:lang w:val="en-US" w:eastAsia="zh-CN"/>
              </w:rPr>
              <w:t>储存</w:t>
            </w:r>
            <w:r>
              <w:rPr>
                <w:color w:val="auto"/>
                <w:highlight w:val="none"/>
              </w:rPr>
              <w:t>区</w:t>
            </w:r>
            <w:bookmarkEnd w:id="199"/>
            <w:r>
              <w:rPr>
                <w:color w:val="auto"/>
                <w:highlight w:val="none"/>
              </w:rPr>
              <w:t>设置为密闭空间，内设置有</w:t>
            </w:r>
            <w:bookmarkStart w:id="200" w:name="OLE_LINK30"/>
            <w:r>
              <w:rPr>
                <w:color w:val="auto"/>
                <w:highlight w:val="none"/>
              </w:rPr>
              <w:t>专用负压抽风装置</w:t>
            </w:r>
            <w:bookmarkEnd w:id="200"/>
            <w:r>
              <w:rPr>
                <w:rFonts w:hint="eastAsia"/>
                <w:color w:val="auto"/>
                <w:highlight w:val="none"/>
                <w:lang w:eastAsia="zh-CN"/>
              </w:rPr>
              <w:t>，</w:t>
            </w:r>
            <w:bookmarkStart w:id="201" w:name="OLE_LINK222"/>
            <w:r>
              <w:rPr>
                <w:color w:val="auto"/>
                <w:highlight w:val="none"/>
              </w:rPr>
              <w:t>挥发的</w:t>
            </w:r>
            <w:r>
              <w:rPr>
                <w:rFonts w:hint="eastAsia"/>
                <w:color w:val="auto"/>
                <w:highlight w:val="none"/>
              </w:rPr>
              <w:t>硫酸雾废气经收集后送至1套</w:t>
            </w:r>
            <w:bookmarkStart w:id="202" w:name="OLE_LINK31"/>
            <w:r>
              <w:rPr>
                <w:rFonts w:hint="eastAsia"/>
                <w:color w:val="auto"/>
                <w:highlight w:val="none"/>
              </w:rPr>
              <w:t>酸雾吸收塔</w:t>
            </w:r>
            <w:bookmarkEnd w:id="202"/>
            <w:r>
              <w:rPr>
                <w:rFonts w:hint="eastAsia"/>
                <w:color w:val="auto"/>
                <w:highlight w:val="none"/>
              </w:rPr>
              <w:t>处理，后经1根15m高排气筒</w:t>
            </w:r>
            <w:r>
              <w:rPr>
                <w:rFonts w:hint="eastAsia"/>
                <w:color w:val="auto"/>
                <w:highlight w:val="none"/>
                <w:lang w:eastAsia="zh-CN"/>
              </w:rPr>
              <w:t>（</w:t>
            </w:r>
            <w:r>
              <w:rPr>
                <w:rFonts w:hint="eastAsia"/>
                <w:color w:val="auto"/>
                <w:highlight w:val="none"/>
                <w:lang w:val="en-US" w:eastAsia="zh-CN"/>
              </w:rPr>
              <w:t>DA001</w:t>
            </w:r>
            <w:r>
              <w:rPr>
                <w:rFonts w:hint="eastAsia"/>
                <w:color w:val="auto"/>
                <w:highlight w:val="none"/>
                <w:lang w:eastAsia="zh-CN"/>
              </w:rPr>
              <w:t>）</w:t>
            </w:r>
            <w:r>
              <w:rPr>
                <w:rFonts w:hint="eastAsia"/>
                <w:color w:val="auto"/>
                <w:highlight w:val="none"/>
              </w:rPr>
              <w:t>有组织排放</w:t>
            </w:r>
            <w:bookmarkEnd w:id="201"/>
            <w:r>
              <w:rPr>
                <w:rFonts w:hint="eastAsia"/>
                <w:color w:val="auto"/>
                <w:highlight w:val="none"/>
              </w:rPr>
              <w:t>。收集效率以98%计，</w:t>
            </w:r>
            <w:r>
              <w:rPr>
                <w:rFonts w:hint="eastAsia"/>
                <w:color w:val="auto"/>
                <w:highlight w:val="none"/>
                <w:lang w:val="en-US" w:eastAsia="zh-CN"/>
              </w:rPr>
              <w:t>密闭区域</w:t>
            </w:r>
            <w:r>
              <w:rPr>
                <w:rFonts w:hint="default" w:eastAsia="宋体"/>
                <w:color w:val="auto"/>
                <w:highlight w:val="none"/>
                <w:lang w:val="en-US" w:eastAsia="zh-CN"/>
              </w:rPr>
              <w:t>整体换风次数不低于</w:t>
            </w:r>
            <w:r>
              <w:rPr>
                <w:rFonts w:hint="eastAsia"/>
                <w:color w:val="auto"/>
                <w:highlight w:val="none"/>
                <w:lang w:val="en-US" w:eastAsia="zh-CN"/>
              </w:rPr>
              <w:t>30</w:t>
            </w:r>
            <w:r>
              <w:rPr>
                <w:rFonts w:hint="default" w:eastAsia="宋体"/>
                <w:color w:val="auto"/>
                <w:highlight w:val="none"/>
                <w:lang w:val="en-US" w:eastAsia="zh-CN"/>
              </w:rPr>
              <w:t>次/h，</w:t>
            </w:r>
            <w:r>
              <w:rPr>
                <w:rFonts w:hint="eastAsia"/>
                <w:color w:val="auto"/>
                <w:highlight w:val="none"/>
                <w:lang w:val="en-US" w:eastAsia="zh-CN"/>
              </w:rPr>
              <w:t>二次密闭区域</w:t>
            </w:r>
            <w:r>
              <w:rPr>
                <w:rFonts w:hint="default" w:eastAsia="宋体"/>
                <w:color w:val="auto"/>
                <w:highlight w:val="none"/>
                <w:lang w:val="en-US" w:eastAsia="zh-CN"/>
              </w:rPr>
              <w:t>（</w:t>
            </w:r>
            <w:r>
              <w:rPr>
                <w:rFonts w:hint="eastAsia"/>
                <w:color w:val="auto"/>
                <w:highlight w:val="none"/>
                <w:lang w:val="en-US" w:eastAsia="zh-CN"/>
              </w:rPr>
              <w:t>5</w:t>
            </w:r>
            <w:r>
              <w:rPr>
                <w:rFonts w:hint="default" w:eastAsia="宋体"/>
                <w:color w:val="auto"/>
                <w:highlight w:val="none"/>
                <w:lang w:val="en-US" w:eastAsia="zh-CN"/>
              </w:rPr>
              <w:t>m×</w:t>
            </w:r>
            <w:r>
              <w:rPr>
                <w:rFonts w:hint="eastAsia"/>
                <w:color w:val="auto"/>
                <w:highlight w:val="none"/>
                <w:lang w:val="en-US" w:eastAsia="zh-CN"/>
              </w:rPr>
              <w:t>5</w:t>
            </w:r>
            <w:r>
              <w:rPr>
                <w:rFonts w:hint="default" w:eastAsia="宋体"/>
                <w:color w:val="auto"/>
                <w:highlight w:val="none"/>
                <w:lang w:val="en-US" w:eastAsia="zh-CN"/>
              </w:rPr>
              <w:t>m×</w:t>
            </w:r>
            <w:r>
              <w:rPr>
                <w:rFonts w:hint="eastAsia"/>
                <w:color w:val="auto"/>
                <w:highlight w:val="none"/>
                <w:lang w:val="en-US" w:eastAsia="zh-CN"/>
              </w:rPr>
              <w:t>2.5</w:t>
            </w:r>
            <w:r>
              <w:rPr>
                <w:rFonts w:hint="default" w:eastAsia="宋体"/>
                <w:color w:val="auto"/>
                <w:highlight w:val="none"/>
                <w:lang w:val="en-US" w:eastAsia="zh-CN"/>
              </w:rPr>
              <w:t>m）所需风量为</w:t>
            </w:r>
            <w:r>
              <w:rPr>
                <w:rFonts w:hint="eastAsia"/>
                <w:color w:val="auto"/>
                <w:highlight w:val="none"/>
                <w:lang w:val="en-US" w:eastAsia="zh-CN"/>
              </w:rPr>
              <w:t>1875m³</w:t>
            </w:r>
            <w:r>
              <w:rPr>
                <w:rFonts w:hint="default" w:eastAsia="宋体"/>
                <w:color w:val="auto"/>
                <w:highlight w:val="none"/>
                <w:lang w:val="en-US" w:eastAsia="zh-CN"/>
              </w:rPr>
              <w:t>/h</w:t>
            </w:r>
            <w:r>
              <w:rPr>
                <w:rFonts w:hint="eastAsia" w:eastAsia="宋体"/>
                <w:color w:val="auto"/>
                <w:highlight w:val="none"/>
                <w:lang w:val="en-US" w:eastAsia="zh-CN"/>
              </w:rPr>
              <w:t>，本环评</w:t>
            </w:r>
            <w:r>
              <w:rPr>
                <w:rFonts w:hint="eastAsia"/>
                <w:color w:val="auto"/>
                <w:highlight w:val="none"/>
              </w:rPr>
              <w:t>负压系统风量</w:t>
            </w:r>
            <w:r>
              <w:rPr>
                <w:rFonts w:hint="eastAsia"/>
                <w:color w:val="auto"/>
                <w:highlight w:val="none"/>
                <w:lang w:val="en-US" w:eastAsia="zh-CN"/>
              </w:rPr>
              <w:t>按</w:t>
            </w:r>
            <w:r>
              <w:rPr>
                <w:rFonts w:hint="eastAsia"/>
                <w:color w:val="auto"/>
                <w:highlight w:val="none"/>
              </w:rPr>
              <w:t>2000</w:t>
            </w:r>
            <w:r>
              <w:rPr>
                <w:rFonts w:hint="eastAsia"/>
                <w:color w:val="auto"/>
                <w:highlight w:val="none"/>
                <w:lang w:eastAsia="zh-CN"/>
              </w:rPr>
              <w:t>m³</w:t>
            </w:r>
            <w:r>
              <w:rPr>
                <w:rFonts w:hint="eastAsia"/>
                <w:color w:val="auto"/>
                <w:highlight w:val="none"/>
              </w:rPr>
              <w:t>/h</w:t>
            </w:r>
            <w:r>
              <w:rPr>
                <w:rFonts w:hint="eastAsia"/>
                <w:color w:val="auto"/>
                <w:highlight w:val="none"/>
                <w:lang w:val="en-US" w:eastAsia="zh-CN"/>
              </w:rPr>
              <w:t>设置</w:t>
            </w:r>
            <w:r>
              <w:rPr>
                <w:rFonts w:hint="eastAsia"/>
                <w:color w:val="auto"/>
                <w:highlight w:val="none"/>
              </w:rPr>
              <w:t>，酸雾吸收塔处理效率以95%计，硫酸雾</w:t>
            </w:r>
            <w:r>
              <w:rPr>
                <w:rFonts w:hint="eastAsia"/>
                <w:color w:val="auto"/>
                <w:highlight w:val="none"/>
                <w:lang w:val="en-US" w:eastAsia="zh-CN"/>
              </w:rPr>
              <w:t>挥发</w:t>
            </w:r>
            <w:r>
              <w:rPr>
                <w:rFonts w:hint="eastAsia"/>
                <w:color w:val="auto"/>
                <w:highlight w:val="none"/>
              </w:rPr>
              <w:t>时间为</w:t>
            </w:r>
            <w:r>
              <w:rPr>
                <w:rFonts w:hint="eastAsia"/>
                <w:color w:val="auto"/>
                <w:highlight w:val="none"/>
                <w:lang w:val="en-US" w:eastAsia="zh-CN"/>
              </w:rPr>
              <w:t>300</w:t>
            </w:r>
            <w:r>
              <w:rPr>
                <w:rFonts w:hint="eastAsia"/>
                <w:color w:val="auto"/>
                <w:highlight w:val="none"/>
              </w:rPr>
              <w:t>h/a</w:t>
            </w:r>
            <w:r>
              <w:rPr>
                <w:rFonts w:hint="eastAsia"/>
                <w:color w:val="auto"/>
                <w:highlight w:val="none"/>
                <w:lang w:eastAsia="zh-CN"/>
              </w:rPr>
              <w:t>。</w:t>
            </w:r>
          </w:p>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废气</w:t>
            </w:r>
            <w:r>
              <w:rPr>
                <w:rFonts w:hint="eastAsia" w:cs="Times New Roman"/>
                <w:color w:val="auto"/>
                <w:kern w:val="0"/>
                <w:sz w:val="24"/>
                <w:szCs w:val="24"/>
                <w:lang w:val="en-US" w:eastAsia="zh-CN"/>
              </w:rPr>
              <w:t>有组织</w:t>
            </w:r>
            <w:r>
              <w:rPr>
                <w:rFonts w:ascii="Times New Roman" w:hAnsi="Times New Roman" w:eastAsia="宋体" w:cs="Times New Roman"/>
                <w:color w:val="auto"/>
                <w:kern w:val="0"/>
                <w:sz w:val="24"/>
                <w:szCs w:val="24"/>
              </w:rPr>
              <w:t>产生及排放情况如下：</w:t>
            </w:r>
          </w:p>
          <w:p>
            <w:pPr>
              <w:pStyle w:val="12"/>
              <w:keepNext w:val="0"/>
              <w:keepLines w:val="0"/>
              <w:suppressLineNumbers w:val="0"/>
              <w:bidi w:val="0"/>
              <w:spacing w:before="0" w:beforeAutospacing="0" w:after="0" w:afterAutospacing="0"/>
              <w:ind w:left="0" w:right="0"/>
              <w:rPr>
                <w:rFonts w:hint="default"/>
                <w:color w:val="auto"/>
                <w:lang w:val="pt-BR"/>
              </w:rPr>
            </w:pPr>
            <w:r>
              <w:rPr>
                <w:rFonts w:hint="default"/>
                <w:color w:val="auto"/>
                <w:lang w:val="pt-BR"/>
              </w:rPr>
              <w:t>表</w:t>
            </w:r>
            <w:r>
              <w:rPr>
                <w:rFonts w:hint="eastAsia"/>
                <w:color w:val="auto"/>
                <w:lang w:val="en-US" w:eastAsia="zh-CN"/>
              </w:rPr>
              <w:t xml:space="preserve"> 4-1    </w:t>
            </w:r>
            <w:bookmarkStart w:id="203" w:name="OLE_LINK27"/>
            <w:r>
              <w:rPr>
                <w:rFonts w:hint="eastAsia"/>
                <w:color w:val="auto"/>
                <w:lang w:val="en-US" w:eastAsia="zh-CN"/>
              </w:rPr>
              <w:t>硫酸雾</w:t>
            </w:r>
            <w:r>
              <w:rPr>
                <w:rFonts w:hint="default"/>
                <w:color w:val="auto"/>
                <w:lang w:val="pt-BR"/>
              </w:rPr>
              <w:t>废气</w:t>
            </w:r>
            <w:bookmarkEnd w:id="203"/>
            <w:r>
              <w:rPr>
                <w:rFonts w:hint="default"/>
                <w:color w:val="auto"/>
                <w:lang w:val="pt-BR"/>
              </w:rPr>
              <w:t>污染物</w:t>
            </w:r>
            <w:r>
              <w:rPr>
                <w:rFonts w:hint="eastAsia"/>
                <w:color w:val="auto"/>
                <w:lang w:val="en-US" w:eastAsia="zh-CN"/>
              </w:rPr>
              <w:t>有组织</w:t>
            </w:r>
            <w:r>
              <w:rPr>
                <w:rFonts w:hint="default"/>
                <w:color w:val="auto"/>
                <w:lang w:val="pt-BR"/>
              </w:rPr>
              <w:t>产排情况一览表</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40"/>
              <w:gridCol w:w="378"/>
              <w:gridCol w:w="709"/>
              <w:gridCol w:w="821"/>
              <w:gridCol w:w="887"/>
              <w:gridCol w:w="1034"/>
              <w:gridCol w:w="609"/>
              <w:gridCol w:w="522"/>
              <w:gridCol w:w="821"/>
              <w:gridCol w:w="887"/>
              <w:gridCol w:w="103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1"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default"/>
                      <w:b/>
                      <w:bCs/>
                      <w:color w:val="auto"/>
                      <w:lang w:val="en-US" w:eastAsia="zh-CN"/>
                    </w:rPr>
                  </w:pPr>
                  <w:bookmarkStart w:id="204" w:name="OLE_LINK23" w:colFirst="0" w:colLast="10"/>
                  <w:r>
                    <w:rPr>
                      <w:rFonts w:hint="default"/>
                      <w:b/>
                      <w:bCs/>
                      <w:color w:val="auto"/>
                      <w:lang w:val="en-US" w:eastAsia="zh-CN"/>
                    </w:rPr>
                    <w:t>污染</w:t>
                  </w:r>
                </w:p>
                <w:p>
                  <w:pPr>
                    <w:pStyle w:val="28"/>
                    <w:keepNext w:val="0"/>
                    <w:keepLines w:val="0"/>
                    <w:suppressLineNumbers w:val="0"/>
                    <w:bidi w:val="0"/>
                    <w:spacing w:before="0" w:beforeAutospacing="0" w:after="0" w:afterAutospacing="0"/>
                    <w:ind w:left="0" w:right="0"/>
                    <w:rPr>
                      <w:rFonts w:hint="default"/>
                      <w:b/>
                      <w:bCs/>
                      <w:color w:val="auto"/>
                      <w:lang w:val="en-US" w:eastAsia="zh-CN"/>
                    </w:rPr>
                  </w:pPr>
                  <w:r>
                    <w:rPr>
                      <w:rFonts w:hint="default"/>
                      <w:b/>
                      <w:bCs/>
                      <w:color w:val="auto"/>
                      <w:lang w:val="en-US" w:eastAsia="zh-CN"/>
                    </w:rPr>
                    <w:t>工序</w:t>
                  </w:r>
                </w:p>
              </w:tc>
              <w:tc>
                <w:tcPr>
                  <w:tcW w:w="235"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default"/>
                      <w:b/>
                      <w:bCs/>
                      <w:color w:val="auto"/>
                      <w:lang w:val="en-US" w:eastAsia="zh-CN"/>
                    </w:rPr>
                  </w:pPr>
                  <w:r>
                    <w:rPr>
                      <w:rFonts w:hint="default"/>
                      <w:b/>
                      <w:bCs/>
                      <w:color w:val="auto"/>
                      <w:lang w:val="en-US" w:eastAsia="zh-CN"/>
                    </w:rPr>
                    <w:t>污染因子</w:t>
                  </w:r>
                </w:p>
              </w:tc>
              <w:tc>
                <w:tcPr>
                  <w:tcW w:w="440"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default"/>
                      <w:b/>
                      <w:bCs/>
                      <w:color w:val="auto"/>
                      <w:lang w:val="en-US" w:eastAsia="zh-CN"/>
                    </w:rPr>
                  </w:pPr>
                  <w:r>
                    <w:rPr>
                      <w:rFonts w:hint="default"/>
                      <w:b/>
                      <w:bCs/>
                      <w:color w:val="auto"/>
                      <w:lang w:val="en-US" w:eastAsia="zh-CN"/>
                    </w:rPr>
                    <w:t>产生量(t/a)</w:t>
                  </w:r>
                </w:p>
              </w:tc>
              <w:tc>
                <w:tcPr>
                  <w:tcW w:w="510"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default"/>
                      <w:b/>
                      <w:bCs/>
                      <w:color w:val="auto"/>
                      <w:lang w:val="en-US" w:eastAsia="zh-CN"/>
                    </w:rPr>
                  </w:pPr>
                  <w:bookmarkStart w:id="205" w:name="OLE_LINK187"/>
                  <w:r>
                    <w:rPr>
                      <w:rFonts w:hint="eastAsia"/>
                      <w:b/>
                      <w:bCs/>
                      <w:color w:val="auto"/>
                      <w:lang w:val="en-US" w:eastAsia="zh-CN"/>
                    </w:rPr>
                    <w:t>有组织</w:t>
                  </w:r>
                  <w:r>
                    <w:rPr>
                      <w:rFonts w:hint="default"/>
                      <w:b/>
                      <w:bCs/>
                      <w:color w:val="auto"/>
                      <w:lang w:val="en-US" w:eastAsia="zh-CN"/>
                    </w:rPr>
                    <w:t>收集</w:t>
                  </w:r>
                  <w:bookmarkEnd w:id="205"/>
                  <w:r>
                    <w:rPr>
                      <w:rFonts w:hint="default"/>
                      <w:b/>
                      <w:bCs/>
                      <w:color w:val="auto"/>
                      <w:lang w:val="en-US" w:eastAsia="zh-CN"/>
                    </w:rPr>
                    <w:t>量(t/a)</w:t>
                  </w:r>
                </w:p>
              </w:tc>
              <w:tc>
                <w:tcPr>
                  <w:tcW w:w="551"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default"/>
                      <w:b/>
                      <w:bCs/>
                      <w:color w:val="auto"/>
                      <w:lang w:val="en-US" w:eastAsia="zh-CN"/>
                    </w:rPr>
                  </w:pPr>
                  <w:r>
                    <w:rPr>
                      <w:rFonts w:hint="eastAsia"/>
                      <w:b/>
                      <w:bCs/>
                      <w:color w:val="auto"/>
                      <w:lang w:val="en-US" w:eastAsia="zh-CN"/>
                    </w:rPr>
                    <w:t>有组织</w:t>
                  </w:r>
                  <w:r>
                    <w:rPr>
                      <w:rFonts w:hint="default"/>
                      <w:b/>
                      <w:bCs/>
                      <w:color w:val="auto"/>
                      <w:lang w:val="en-US" w:eastAsia="zh-CN"/>
                    </w:rPr>
                    <w:t>收集速率(kg/h)</w:t>
                  </w:r>
                </w:p>
              </w:tc>
              <w:tc>
                <w:tcPr>
                  <w:tcW w:w="642"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default"/>
                      <w:b/>
                      <w:bCs/>
                      <w:color w:val="auto"/>
                      <w:lang w:val="en-US" w:eastAsia="zh-CN"/>
                    </w:rPr>
                  </w:pPr>
                  <w:r>
                    <w:rPr>
                      <w:rFonts w:hint="eastAsia"/>
                      <w:b/>
                      <w:bCs/>
                      <w:color w:val="auto"/>
                      <w:lang w:val="en-US" w:eastAsia="zh-CN"/>
                    </w:rPr>
                    <w:t>有组织</w:t>
                  </w:r>
                  <w:r>
                    <w:rPr>
                      <w:rFonts w:hint="default"/>
                      <w:b/>
                      <w:bCs/>
                      <w:color w:val="auto"/>
                      <w:lang w:val="en-US" w:eastAsia="zh-CN"/>
                    </w:rPr>
                    <w:t>收集浓度(mg/m³)</w:t>
                  </w:r>
                </w:p>
              </w:tc>
              <w:tc>
                <w:tcPr>
                  <w:tcW w:w="378"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default"/>
                      <w:b/>
                      <w:bCs/>
                      <w:color w:val="auto"/>
                      <w:lang w:val="en-US" w:eastAsia="zh-CN"/>
                    </w:rPr>
                  </w:pPr>
                  <w:r>
                    <w:rPr>
                      <w:rFonts w:hint="default"/>
                      <w:b/>
                      <w:bCs/>
                      <w:color w:val="auto"/>
                      <w:lang w:val="en-US" w:eastAsia="zh-CN"/>
                    </w:rPr>
                    <w:t>风量</w:t>
                  </w:r>
                </w:p>
                <w:p>
                  <w:pPr>
                    <w:pStyle w:val="28"/>
                    <w:keepNext w:val="0"/>
                    <w:keepLines w:val="0"/>
                    <w:suppressLineNumbers w:val="0"/>
                    <w:bidi w:val="0"/>
                    <w:spacing w:before="0" w:beforeAutospacing="0" w:after="0" w:afterAutospacing="0"/>
                    <w:ind w:left="0" w:right="0"/>
                    <w:rPr>
                      <w:rFonts w:hint="default"/>
                      <w:b/>
                      <w:bCs/>
                      <w:color w:val="auto"/>
                      <w:lang w:val="en-US" w:eastAsia="zh-CN"/>
                    </w:rPr>
                  </w:pPr>
                  <w:r>
                    <w:rPr>
                      <w:rFonts w:hint="default"/>
                      <w:b/>
                      <w:bCs/>
                      <w:color w:val="auto"/>
                      <w:lang w:val="en-US" w:eastAsia="zh-CN"/>
                    </w:rPr>
                    <w:t>(m³/h)</w:t>
                  </w:r>
                </w:p>
              </w:tc>
              <w:tc>
                <w:tcPr>
                  <w:tcW w:w="324"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default"/>
                      <w:b/>
                      <w:bCs/>
                      <w:color w:val="auto"/>
                      <w:lang w:val="en-US" w:eastAsia="zh-CN"/>
                    </w:rPr>
                  </w:pPr>
                  <w:r>
                    <w:rPr>
                      <w:rFonts w:hint="default"/>
                      <w:b/>
                      <w:bCs/>
                      <w:color w:val="auto"/>
                      <w:lang w:val="en-US" w:eastAsia="zh-CN"/>
                    </w:rPr>
                    <w:t>处理效率</w:t>
                  </w:r>
                </w:p>
              </w:tc>
              <w:tc>
                <w:tcPr>
                  <w:tcW w:w="510"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default"/>
                      <w:b/>
                      <w:bCs/>
                      <w:color w:val="auto"/>
                      <w:lang w:val="en-US" w:eastAsia="zh-CN"/>
                    </w:rPr>
                  </w:pPr>
                  <w:bookmarkStart w:id="206" w:name="OLE_LINK188"/>
                  <w:r>
                    <w:rPr>
                      <w:rFonts w:hint="eastAsia"/>
                      <w:b/>
                      <w:bCs/>
                      <w:color w:val="auto"/>
                      <w:lang w:val="en-US" w:eastAsia="zh-CN"/>
                    </w:rPr>
                    <w:t>有组织</w:t>
                  </w:r>
                  <w:bookmarkEnd w:id="206"/>
                  <w:r>
                    <w:rPr>
                      <w:rFonts w:hint="default"/>
                      <w:b/>
                      <w:bCs/>
                      <w:color w:val="auto"/>
                      <w:lang w:val="en-US" w:eastAsia="zh-CN"/>
                    </w:rPr>
                    <w:t>排放量(t/a)</w:t>
                  </w:r>
                </w:p>
              </w:tc>
              <w:tc>
                <w:tcPr>
                  <w:tcW w:w="551"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default"/>
                      <w:b/>
                      <w:bCs/>
                      <w:color w:val="auto"/>
                      <w:lang w:val="en-US" w:eastAsia="zh-CN"/>
                    </w:rPr>
                  </w:pPr>
                  <w:r>
                    <w:rPr>
                      <w:rFonts w:hint="eastAsia"/>
                      <w:b/>
                      <w:bCs/>
                      <w:color w:val="auto"/>
                      <w:lang w:val="en-US" w:eastAsia="zh-CN"/>
                    </w:rPr>
                    <w:t>有组织</w:t>
                  </w:r>
                  <w:r>
                    <w:rPr>
                      <w:rFonts w:hint="default"/>
                      <w:b/>
                      <w:bCs/>
                      <w:color w:val="auto"/>
                      <w:lang w:val="en-US" w:eastAsia="zh-CN"/>
                    </w:rPr>
                    <w:t>排放速率(kg/h)</w:t>
                  </w:r>
                </w:p>
              </w:tc>
              <w:tc>
                <w:tcPr>
                  <w:tcW w:w="642"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default"/>
                      <w:b/>
                      <w:bCs/>
                      <w:color w:val="auto"/>
                      <w:lang w:val="en-US" w:eastAsia="zh-CN"/>
                    </w:rPr>
                  </w:pPr>
                  <w:r>
                    <w:rPr>
                      <w:rFonts w:hint="eastAsia"/>
                      <w:b/>
                      <w:bCs/>
                      <w:color w:val="auto"/>
                      <w:lang w:val="en-US" w:eastAsia="zh-CN"/>
                    </w:rPr>
                    <w:t>有组织</w:t>
                  </w:r>
                  <w:r>
                    <w:rPr>
                      <w:rFonts w:hint="default"/>
                      <w:b/>
                      <w:bCs/>
                      <w:color w:val="auto"/>
                      <w:lang w:val="en-US" w:eastAsia="zh-CN"/>
                    </w:rPr>
                    <w:t>排放浓度(mg/m³)</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1"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default"/>
                      <w:color w:val="auto"/>
                      <w:lang w:val="pt-BR" w:eastAsia="zh-CN"/>
                    </w:rPr>
                  </w:pPr>
                  <w:bookmarkStart w:id="207" w:name="OLE_LINK24"/>
                  <w:r>
                    <w:rPr>
                      <w:rFonts w:hint="default"/>
                      <w:color w:val="auto"/>
                      <w:lang w:val="pt-BR" w:eastAsia="zh-CN"/>
                    </w:rPr>
                    <w:t>电解液泄漏</w:t>
                  </w:r>
                  <w:bookmarkEnd w:id="207"/>
                </w:p>
              </w:tc>
              <w:tc>
                <w:tcPr>
                  <w:tcW w:w="235"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default"/>
                      <w:color w:val="auto"/>
                      <w:lang w:val="pt-BR" w:eastAsia="zh-CN"/>
                    </w:rPr>
                  </w:pPr>
                  <w:r>
                    <w:rPr>
                      <w:rFonts w:hint="eastAsia"/>
                      <w:color w:val="auto"/>
                      <w:lang w:val="en-US" w:eastAsia="zh-CN"/>
                    </w:rPr>
                    <w:t>硫酸雾</w:t>
                  </w:r>
                </w:p>
              </w:tc>
              <w:tc>
                <w:tcPr>
                  <w:tcW w:w="440"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0.1701</w:t>
                  </w:r>
                </w:p>
              </w:tc>
              <w:tc>
                <w:tcPr>
                  <w:tcW w:w="510"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0.1667</w:t>
                  </w:r>
                  <w:r>
                    <w:rPr>
                      <w:rFonts w:hint="default"/>
                      <w:color w:val="auto"/>
                      <w:lang w:val="en-US" w:eastAsia="zh-CN"/>
                    </w:rPr>
                    <w:t xml:space="preserve"> </w:t>
                  </w:r>
                </w:p>
              </w:tc>
              <w:tc>
                <w:tcPr>
                  <w:tcW w:w="551"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0.5557</w:t>
                  </w:r>
                  <w:r>
                    <w:rPr>
                      <w:rFonts w:hint="default"/>
                      <w:color w:val="auto"/>
                      <w:lang w:val="en-US" w:eastAsia="zh-CN"/>
                    </w:rPr>
                    <w:t xml:space="preserve"> </w:t>
                  </w:r>
                </w:p>
              </w:tc>
              <w:tc>
                <w:tcPr>
                  <w:tcW w:w="642"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277.85</w:t>
                  </w:r>
                  <w:r>
                    <w:rPr>
                      <w:rFonts w:hint="default"/>
                      <w:color w:val="auto"/>
                      <w:lang w:val="en-US" w:eastAsia="zh-CN"/>
                    </w:rPr>
                    <w:t xml:space="preserve"> </w:t>
                  </w:r>
                </w:p>
              </w:tc>
              <w:tc>
                <w:tcPr>
                  <w:tcW w:w="378"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2000</w:t>
                  </w:r>
                </w:p>
              </w:tc>
              <w:tc>
                <w:tcPr>
                  <w:tcW w:w="324"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95%</w:t>
                  </w:r>
                </w:p>
              </w:tc>
              <w:tc>
                <w:tcPr>
                  <w:tcW w:w="510"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0.0083</w:t>
                  </w:r>
                </w:p>
              </w:tc>
              <w:tc>
                <w:tcPr>
                  <w:tcW w:w="551"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0.0278</w:t>
                  </w:r>
                </w:p>
              </w:tc>
              <w:tc>
                <w:tcPr>
                  <w:tcW w:w="642"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13.89</w:t>
                  </w:r>
                </w:p>
              </w:tc>
            </w:tr>
            <w:bookmarkEnd w:id="204"/>
          </w:tbl>
          <w:p>
            <w:pPr>
              <w:keepNext w:val="0"/>
              <w:keepLines w:val="0"/>
              <w:suppressLineNumbers w:val="0"/>
              <w:bidi w:val="0"/>
              <w:spacing w:before="0" w:beforeAutospacing="0" w:after="0" w:afterAutospacing="0"/>
              <w:ind w:left="0" w:right="0"/>
              <w:rPr>
                <w:rFonts w:hint="default"/>
                <w:color w:val="auto"/>
                <w:lang w:val="en-US"/>
              </w:rPr>
            </w:pPr>
            <w:r>
              <w:rPr>
                <w:color w:val="auto"/>
              </w:rPr>
              <w:t>由上表</w:t>
            </w:r>
            <w:r>
              <w:rPr>
                <w:rFonts w:hint="eastAsia"/>
                <w:color w:val="auto"/>
                <w:lang w:val="en-US" w:eastAsia="zh-CN"/>
              </w:rPr>
              <w:t>分析</w:t>
            </w:r>
            <w:r>
              <w:rPr>
                <w:color w:val="auto"/>
              </w:rPr>
              <w:t>，</w:t>
            </w:r>
            <w:r>
              <w:rPr>
                <w:rFonts w:hint="default"/>
                <w:color w:val="auto"/>
                <w:lang w:val="pt-BR" w:eastAsia="zh-CN"/>
              </w:rPr>
              <w:t>电解液泄漏</w:t>
            </w:r>
            <w:r>
              <w:rPr>
                <w:rFonts w:hint="eastAsia"/>
                <w:color w:val="auto"/>
                <w:lang w:val="en-US" w:eastAsia="zh-CN"/>
              </w:rPr>
              <w:t>产生</w:t>
            </w:r>
            <w:bookmarkStart w:id="208" w:name="OLE_LINK39"/>
            <w:r>
              <w:rPr>
                <w:rFonts w:hint="eastAsia"/>
                <w:color w:val="auto"/>
                <w:lang w:val="en-US" w:eastAsia="zh-CN"/>
              </w:rPr>
              <w:t>硫酸雾</w:t>
            </w:r>
            <w:r>
              <w:rPr>
                <w:rFonts w:hint="default"/>
                <w:color w:val="auto"/>
                <w:lang w:val="pt-BR"/>
              </w:rPr>
              <w:t>废气</w:t>
            </w:r>
            <w:bookmarkEnd w:id="208"/>
            <w:r>
              <w:rPr>
                <w:color w:val="auto"/>
              </w:rPr>
              <w:t>经专用负压抽风装置</w:t>
            </w:r>
            <w:r>
              <w:rPr>
                <w:rFonts w:hint="eastAsia"/>
                <w:color w:val="auto"/>
                <w:lang w:val="en-US" w:eastAsia="zh-CN"/>
              </w:rPr>
              <w:t>收集</w:t>
            </w:r>
            <w:r>
              <w:rPr>
                <w:color w:val="auto"/>
              </w:rPr>
              <w:t>（收集效率</w:t>
            </w:r>
            <w:r>
              <w:rPr>
                <w:rFonts w:hint="eastAsia"/>
                <w:color w:val="auto"/>
                <w:lang w:val="en-US" w:eastAsia="zh-CN"/>
              </w:rPr>
              <w:t>98</w:t>
            </w:r>
            <w:r>
              <w:rPr>
                <w:color w:val="auto"/>
              </w:rPr>
              <w:t>%）+</w:t>
            </w:r>
            <w:r>
              <w:rPr>
                <w:rFonts w:hint="eastAsia"/>
                <w:color w:val="auto"/>
              </w:rPr>
              <w:t>酸雾吸收塔</w:t>
            </w:r>
            <w:r>
              <w:rPr>
                <w:color w:val="auto"/>
              </w:rPr>
              <w:t>（处理效率9</w:t>
            </w:r>
            <w:r>
              <w:rPr>
                <w:rFonts w:hint="eastAsia"/>
                <w:color w:val="auto"/>
                <w:lang w:val="en-US" w:eastAsia="zh-CN"/>
              </w:rPr>
              <w:t>5</w:t>
            </w:r>
            <w:r>
              <w:rPr>
                <w:color w:val="auto"/>
              </w:rPr>
              <w:t>%）进行处理</w:t>
            </w:r>
            <w:r>
              <w:rPr>
                <w:rFonts w:hint="eastAsia"/>
                <w:color w:val="auto"/>
                <w:lang w:val="en-US" w:eastAsia="zh-CN"/>
              </w:rPr>
              <w:t>后，硫酸雾</w:t>
            </w:r>
            <w:r>
              <w:rPr>
                <w:rFonts w:hint="default"/>
                <w:color w:val="auto"/>
                <w:lang w:val="pt-BR"/>
              </w:rPr>
              <w:t>废气</w:t>
            </w:r>
            <w:r>
              <w:rPr>
                <w:rFonts w:hint="eastAsia"/>
                <w:color w:val="auto"/>
                <w:lang w:val="en-US" w:eastAsia="zh-CN"/>
              </w:rPr>
              <w:t>排放速率和排放浓度</w:t>
            </w:r>
            <w:r>
              <w:rPr>
                <w:color w:val="auto"/>
              </w:rPr>
              <w:t>能够满足</w:t>
            </w:r>
            <w:bookmarkStart w:id="209" w:name="OLE_LINK131"/>
            <w:r>
              <w:rPr>
                <w:rFonts w:hint="eastAsia"/>
                <w:color w:val="auto"/>
                <w:lang w:val="en-US" w:eastAsia="zh-CN"/>
              </w:rPr>
              <w:t>《大气污染物综合排放标准》</w:t>
            </w:r>
            <w:r>
              <w:rPr>
                <w:rFonts w:hint="default"/>
                <w:color w:val="auto"/>
                <w:lang w:val="en-US" w:eastAsia="zh-CN"/>
              </w:rPr>
              <w:t>(GB16279-1996)</w:t>
            </w:r>
            <w:r>
              <w:rPr>
                <w:rFonts w:hint="eastAsia"/>
                <w:color w:val="auto"/>
                <w:lang w:val="en-US" w:eastAsia="zh-CN"/>
              </w:rPr>
              <w:t>表</w:t>
            </w:r>
            <w:r>
              <w:rPr>
                <w:rFonts w:hint="default"/>
                <w:color w:val="auto"/>
                <w:lang w:val="en-US" w:eastAsia="zh-CN"/>
              </w:rPr>
              <w:t>2</w:t>
            </w:r>
            <w:r>
              <w:rPr>
                <w:rFonts w:hint="eastAsia"/>
                <w:color w:val="auto"/>
                <w:lang w:val="en-US" w:eastAsia="zh-CN"/>
              </w:rPr>
              <w:t>二级标准（排放浓度45</w:t>
            </w:r>
            <w:r>
              <w:rPr>
                <w:rFonts w:hint="default"/>
                <w:color w:val="auto"/>
                <w:lang w:val="en-US" w:eastAsia="zh-CN"/>
              </w:rPr>
              <w:t>mg/</w:t>
            </w:r>
            <w:r>
              <w:rPr>
                <w:rFonts w:hint="eastAsia"/>
                <w:color w:val="auto"/>
                <w:lang w:val="en-US" w:eastAsia="zh-CN"/>
              </w:rPr>
              <w:t>m³、排放速率1.5</w:t>
            </w:r>
            <w:r>
              <w:rPr>
                <w:rFonts w:hint="default"/>
                <w:color w:val="auto"/>
                <w:lang w:val="en-US" w:eastAsia="zh-CN"/>
              </w:rPr>
              <w:t>kg/h</w:t>
            </w:r>
            <w:r>
              <w:rPr>
                <w:rFonts w:hint="eastAsia"/>
                <w:color w:val="auto"/>
                <w:lang w:val="en-US" w:eastAsia="zh-CN"/>
              </w:rPr>
              <w:t>）的限值要求</w:t>
            </w:r>
            <w:r>
              <w:rPr>
                <w:rFonts w:hint="eastAsia"/>
                <w:color w:val="auto"/>
                <w:lang w:eastAsia="zh-CN"/>
              </w:rPr>
              <w:t>。</w:t>
            </w:r>
            <w:bookmarkEnd w:id="209"/>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2、</w:t>
            </w:r>
            <w:r>
              <w:rPr>
                <w:rFonts w:hint="default" w:ascii="Times New Roman" w:hAnsi="Times New Roman" w:eastAsia="宋体" w:cs="Times New Roman"/>
                <w:b/>
                <w:bCs/>
                <w:color w:val="auto"/>
                <w:sz w:val="24"/>
                <w:lang w:val="en-US" w:eastAsia="zh-CN"/>
              </w:rPr>
              <w:t>无组织废气</w:t>
            </w:r>
          </w:p>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auto"/>
              <w:rPr>
                <w:rFonts w:hint="eastAsia" w:hAnsiTheme="minorEastAsia" w:eastAsiaTheme="minorEastAsia"/>
                <w:color w:val="auto"/>
                <w:sz w:val="24"/>
                <w:szCs w:val="24"/>
                <w:highlight w:val="none"/>
              </w:rPr>
            </w:pPr>
            <w:r>
              <w:rPr>
                <w:rFonts w:hint="eastAsia" w:ascii="Times New Roman" w:hAnsi="Times New Roman" w:eastAsia="宋体" w:cs="Times New Roman"/>
                <w:color w:val="auto"/>
                <w:sz w:val="24"/>
              </w:rPr>
              <w:t>根据上述分析，本项目无组织废气为</w:t>
            </w:r>
            <w:r>
              <w:rPr>
                <w:rFonts w:hint="eastAsia" w:cs="Times New Roman"/>
                <w:color w:val="auto"/>
                <w:sz w:val="24"/>
                <w:lang w:val="en-US" w:eastAsia="zh-CN"/>
              </w:rPr>
              <w:t>硫酸雾</w:t>
            </w:r>
            <w:r>
              <w:rPr>
                <w:rFonts w:hint="eastAsia" w:ascii="Times New Roman" w:hAnsi="Times New Roman" w:eastAsia="宋体" w:cs="Times New Roman"/>
                <w:color w:val="auto"/>
                <w:sz w:val="24"/>
              </w:rPr>
              <w:t>。</w:t>
            </w:r>
            <w:r>
              <w:rPr>
                <w:rFonts w:hAnsiTheme="minorEastAsia" w:eastAsiaTheme="minorEastAsia"/>
                <w:color w:val="auto"/>
                <w:sz w:val="24"/>
                <w:szCs w:val="24"/>
                <w:highlight w:val="none"/>
              </w:rPr>
              <w:t>项目</w:t>
            </w:r>
            <w:r>
              <w:rPr>
                <w:rFonts w:hint="eastAsia"/>
                <w:color w:val="auto"/>
                <w:sz w:val="24"/>
                <w:szCs w:val="24"/>
              </w:rPr>
              <w:t>硫酸雾</w:t>
            </w:r>
            <w:r>
              <w:rPr>
                <w:rFonts w:hAnsiTheme="minorEastAsia" w:eastAsiaTheme="minorEastAsia"/>
                <w:color w:val="auto"/>
                <w:sz w:val="24"/>
                <w:szCs w:val="24"/>
                <w:highlight w:val="none"/>
              </w:rPr>
              <w:t>无组织排放量为</w:t>
            </w:r>
            <w:r>
              <w:rPr>
                <w:rFonts w:eastAsiaTheme="minorEastAsia"/>
                <w:color w:val="auto"/>
                <w:kern w:val="0"/>
                <w:sz w:val="24"/>
                <w:szCs w:val="24"/>
                <w:highlight w:val="none"/>
              </w:rPr>
              <w:t>0.0034</w:t>
            </w:r>
            <w:r>
              <w:rPr>
                <w:rFonts w:eastAsiaTheme="minorEastAsia"/>
                <w:color w:val="auto"/>
                <w:sz w:val="24"/>
                <w:szCs w:val="24"/>
                <w:highlight w:val="none"/>
              </w:rPr>
              <w:t>t/a</w:t>
            </w:r>
            <w:r>
              <w:rPr>
                <w:rFonts w:hAnsiTheme="minorEastAsia" w:eastAsiaTheme="minorEastAsia"/>
                <w:color w:val="auto"/>
                <w:sz w:val="24"/>
                <w:szCs w:val="24"/>
                <w:highlight w:val="none"/>
              </w:rPr>
              <w:t>、排放速率</w:t>
            </w:r>
            <w:r>
              <w:rPr>
                <w:rFonts w:eastAsiaTheme="minorEastAsia"/>
                <w:color w:val="auto"/>
                <w:kern w:val="0"/>
                <w:sz w:val="24"/>
                <w:szCs w:val="24"/>
                <w:highlight w:val="none"/>
              </w:rPr>
              <w:t>0.0113</w:t>
            </w:r>
            <w:r>
              <w:rPr>
                <w:rFonts w:hAnsiTheme="minorEastAsia" w:eastAsiaTheme="minorEastAsia"/>
                <w:color w:val="auto"/>
                <w:sz w:val="24"/>
                <w:szCs w:val="24"/>
                <w:highlight w:val="none"/>
              </w:rPr>
              <w:t>kg/h</w:t>
            </w:r>
            <w:r>
              <w:rPr>
                <w:rFonts w:hint="eastAsia" w:hAnsiTheme="minorEastAsia" w:eastAsiaTheme="minorEastAsia"/>
                <w:color w:val="auto"/>
                <w:sz w:val="24"/>
                <w:szCs w:val="24"/>
                <w:highlight w:val="none"/>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eastAsia"/>
                <w:color w:val="auto"/>
                <w:sz w:val="24"/>
                <w:szCs w:val="24"/>
                <w:highlight w:val="none"/>
              </w:rPr>
            </w:pPr>
            <w:r>
              <w:rPr>
                <w:rFonts w:hint="eastAsia"/>
                <w:color w:val="auto"/>
                <w:sz w:val="24"/>
                <w:szCs w:val="24"/>
                <w:highlight w:val="none"/>
              </w:rPr>
              <w:t>本项目</w:t>
            </w:r>
            <w:r>
              <w:rPr>
                <w:rFonts w:hint="eastAsia" w:hAnsiTheme="minorEastAsia" w:eastAsiaTheme="minorEastAsia"/>
                <w:color w:val="auto"/>
                <w:sz w:val="24"/>
                <w:szCs w:val="24"/>
                <w:highlight w:val="none"/>
                <w:lang w:val="en-US" w:eastAsia="zh-CN"/>
              </w:rPr>
              <w:t>硫酸雾</w:t>
            </w:r>
            <w:r>
              <w:rPr>
                <w:rFonts w:hint="eastAsia"/>
                <w:color w:val="auto"/>
                <w:sz w:val="24"/>
                <w:szCs w:val="24"/>
                <w:highlight w:val="none"/>
                <w:lang w:val="en-US" w:eastAsia="zh-CN"/>
              </w:rPr>
              <w:t>废气</w:t>
            </w:r>
            <w:r>
              <w:rPr>
                <w:rFonts w:hint="eastAsia"/>
                <w:color w:val="auto"/>
                <w:sz w:val="24"/>
                <w:szCs w:val="24"/>
                <w:highlight w:val="none"/>
              </w:rPr>
              <w:t>排放控制要求：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eastAsia" w:hAnsi="Times New Roman" w:eastAsia="宋体"/>
                <w:color w:val="auto"/>
                <w:sz w:val="24"/>
                <w:szCs w:val="24"/>
                <w:highlight w:val="none"/>
                <w:lang w:eastAsia="zh-CN"/>
              </w:rPr>
            </w:pPr>
            <w:bookmarkStart w:id="210" w:name="OLE_LINK264"/>
            <w:r>
              <w:rPr>
                <w:rFonts w:hint="eastAsia" w:hAnsi="Times New Roman" w:eastAsia="宋体"/>
                <w:color w:val="auto"/>
                <w:sz w:val="24"/>
                <w:szCs w:val="24"/>
                <w:highlight w:val="none"/>
                <w:lang w:val="en-US" w:eastAsia="zh-CN"/>
              </w:rPr>
              <w:t>a.</w:t>
            </w:r>
            <w:r>
              <w:rPr>
                <w:color w:val="auto"/>
                <w:highlight w:val="none"/>
              </w:rPr>
              <w:t>破损电池</w:t>
            </w:r>
            <w:r>
              <w:rPr>
                <w:rFonts w:hint="eastAsia"/>
                <w:color w:val="auto"/>
                <w:highlight w:val="none"/>
                <w:lang w:val="en-US" w:eastAsia="zh-CN"/>
              </w:rPr>
              <w:t>储存</w:t>
            </w:r>
            <w:r>
              <w:rPr>
                <w:color w:val="auto"/>
                <w:highlight w:val="none"/>
              </w:rPr>
              <w:t>区</w:t>
            </w:r>
            <w:r>
              <w:rPr>
                <w:rFonts w:hint="eastAsia" w:hAnsi="Times New Roman" w:eastAsia="宋体"/>
                <w:color w:val="auto"/>
                <w:sz w:val="24"/>
                <w:szCs w:val="24"/>
                <w:highlight w:val="none"/>
                <w:lang w:val="en-US" w:eastAsia="zh-CN"/>
              </w:rPr>
              <w:t>密闭，负压收集，</w:t>
            </w:r>
            <w:r>
              <w:rPr>
                <w:color w:val="auto"/>
                <w:highlight w:val="none"/>
              </w:rPr>
              <w:t>挥发的</w:t>
            </w:r>
            <w:r>
              <w:rPr>
                <w:rFonts w:hint="eastAsia"/>
                <w:color w:val="auto"/>
                <w:highlight w:val="none"/>
              </w:rPr>
              <w:t>硫酸雾废气经收集后送至1套酸雾吸收塔处理，后经1根15m高排气筒</w:t>
            </w:r>
            <w:r>
              <w:rPr>
                <w:rFonts w:hint="eastAsia"/>
                <w:color w:val="auto"/>
                <w:highlight w:val="none"/>
                <w:lang w:eastAsia="zh-CN"/>
              </w:rPr>
              <w:t>（</w:t>
            </w:r>
            <w:r>
              <w:rPr>
                <w:rFonts w:hint="eastAsia"/>
                <w:color w:val="auto"/>
                <w:highlight w:val="none"/>
                <w:lang w:val="en-US" w:eastAsia="zh-CN"/>
              </w:rPr>
              <w:t>DA001</w:t>
            </w:r>
            <w:r>
              <w:rPr>
                <w:rFonts w:hint="eastAsia"/>
                <w:color w:val="auto"/>
                <w:highlight w:val="none"/>
                <w:lang w:eastAsia="zh-CN"/>
              </w:rPr>
              <w:t>）</w:t>
            </w:r>
            <w:r>
              <w:rPr>
                <w:rFonts w:hint="eastAsia"/>
                <w:color w:val="auto"/>
                <w:highlight w:val="none"/>
              </w:rPr>
              <w:t>有组织排放</w:t>
            </w:r>
            <w:r>
              <w:rPr>
                <w:rFonts w:hint="eastAsia" w:hAnsi="Times New Roman" w:eastAsia="宋体"/>
                <w:color w:val="auto"/>
                <w:sz w:val="24"/>
                <w:szCs w:val="24"/>
                <w:highlight w:val="none"/>
                <w:lang w:eastAsia="zh-CN"/>
              </w:rPr>
              <w:t>；</w:t>
            </w:r>
          </w:p>
          <w:bookmarkEnd w:id="210"/>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eastAsia" w:hAnsiTheme="minorEastAsia" w:eastAsiaTheme="minorEastAsia"/>
                <w:color w:val="auto"/>
                <w:sz w:val="24"/>
                <w:szCs w:val="24"/>
                <w:highlight w:val="none"/>
                <w:lang w:eastAsia="zh-CN"/>
              </w:rPr>
            </w:pPr>
            <w:r>
              <w:rPr>
                <w:rFonts w:hint="eastAsia" w:hAnsiTheme="minorEastAsia" w:eastAsiaTheme="minorEastAsia"/>
                <w:color w:val="auto"/>
                <w:sz w:val="24"/>
                <w:szCs w:val="24"/>
                <w:highlight w:val="none"/>
                <w:lang w:val="en-US" w:eastAsia="zh-CN"/>
              </w:rPr>
              <w:t>b.</w:t>
            </w:r>
            <w:r>
              <w:rPr>
                <w:rFonts w:hint="eastAsia" w:hAnsiTheme="minorEastAsia" w:eastAsiaTheme="minorEastAsia"/>
                <w:color w:val="auto"/>
                <w:sz w:val="24"/>
                <w:szCs w:val="24"/>
                <w:highlight w:val="none"/>
              </w:rPr>
              <w:t>厂区道路及车间地面硬化，车间地面、墙壁、设备顶部整洁无积尘；厂内地面全部硬化，无成片裸露土地</w:t>
            </w:r>
            <w:r>
              <w:rPr>
                <w:rFonts w:hint="eastAsia" w:hAnsiTheme="minorEastAsia" w:eastAsiaTheme="minorEastAsia"/>
                <w:color w:val="auto"/>
                <w:sz w:val="24"/>
                <w:szCs w:val="24"/>
                <w:highlight w:val="none"/>
                <w:lang w:eastAsia="zh-CN"/>
              </w:rPr>
              <w:t>；</w:t>
            </w:r>
          </w:p>
          <w:p>
            <w:pPr>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经一系列治理措施后，</w:t>
            </w:r>
            <w:r>
              <w:rPr>
                <w:rFonts w:hint="eastAsia"/>
                <w:color w:val="auto"/>
                <w:lang w:val="en-US" w:eastAsia="zh-CN"/>
              </w:rPr>
              <w:t>依据</w:t>
            </w:r>
            <w:r>
              <w:rPr>
                <w:rFonts w:hint="default"/>
                <w:color w:val="auto"/>
                <w:lang w:val="en-US" w:eastAsia="zh-CN"/>
              </w:rPr>
              <w:t>《环境影响评价技术导则-大气环境》（HJ2.2-2018）附录A推荐模型中的AERSCREEN模式计算</w:t>
            </w:r>
            <w:r>
              <w:rPr>
                <w:rFonts w:hint="eastAsia"/>
                <w:color w:val="auto"/>
                <w:lang w:val="en-US" w:eastAsia="zh-CN"/>
              </w:rPr>
              <w:t>，本项目污染物厂界落地浓度见下表。</w:t>
            </w:r>
          </w:p>
          <w:p>
            <w:pPr>
              <w:pStyle w:val="12"/>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表</w:t>
            </w:r>
            <w:r>
              <w:rPr>
                <w:rFonts w:hint="eastAsia"/>
                <w:color w:val="auto"/>
                <w:lang w:val="en-US" w:eastAsia="zh-CN"/>
              </w:rPr>
              <w:t xml:space="preserve"> 4-2  </w:t>
            </w:r>
            <w:r>
              <w:rPr>
                <w:rFonts w:hint="default"/>
                <w:color w:val="auto"/>
                <w:lang w:val="en-US" w:eastAsia="zh-CN"/>
              </w:rPr>
              <w:t xml:space="preserve">  本项目污染物厂界无组织落地浓度一览表  单位：</w:t>
            </w:r>
            <w:r>
              <w:rPr>
                <w:rFonts w:hint="eastAsia"/>
                <w:color w:val="auto"/>
                <w:lang w:val="en-US" w:eastAsia="zh-CN"/>
              </w:rPr>
              <w:t>(</w:t>
            </w:r>
            <w:r>
              <w:rPr>
                <w:rFonts w:hint="default"/>
                <w:color w:val="auto"/>
                <w:lang w:val="en-US" w:eastAsia="zh-CN"/>
              </w:rPr>
              <w:t>µg/</w:t>
            </w:r>
            <w:r>
              <w:rPr>
                <w:rFonts w:hint="eastAsia"/>
                <w:color w:val="auto"/>
                <w:lang w:val="en-US" w:eastAsia="zh-CN"/>
              </w:rPr>
              <w:t>m³)</w:t>
            </w:r>
          </w:p>
          <w:tbl>
            <w:tblPr>
              <w:tblStyle w:val="23"/>
              <w:tblW w:w="8043"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9"/>
              <w:gridCol w:w="1392"/>
              <w:gridCol w:w="1410"/>
              <w:gridCol w:w="1410"/>
              <w:gridCol w:w="1410"/>
              <w:gridCol w:w="141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9"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default"/>
                      <w:b/>
                      <w:bCs/>
                      <w:color w:val="auto"/>
                      <w:kern w:val="2"/>
                      <w:sz w:val="21"/>
                      <w:lang w:val="en-US" w:eastAsia="zh-CN"/>
                    </w:rPr>
                  </w:pPr>
                  <w:r>
                    <w:rPr>
                      <w:rFonts w:hint="default"/>
                      <w:b/>
                      <w:bCs/>
                      <w:color w:val="auto"/>
                      <w:kern w:val="2"/>
                      <w:sz w:val="21"/>
                    </w:rPr>
                    <w:t>预测源</w:t>
                  </w:r>
                </w:p>
              </w:tc>
              <w:tc>
                <w:tcPr>
                  <w:tcW w:w="1392"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default"/>
                      <w:b/>
                      <w:bCs/>
                      <w:color w:val="auto"/>
                      <w:kern w:val="2"/>
                      <w:sz w:val="21"/>
                      <w:lang w:val="en-US" w:eastAsia="zh-CN"/>
                    </w:rPr>
                  </w:pPr>
                  <w:r>
                    <w:rPr>
                      <w:rFonts w:hint="default"/>
                      <w:b/>
                      <w:bCs/>
                      <w:color w:val="auto"/>
                      <w:kern w:val="2"/>
                      <w:sz w:val="21"/>
                    </w:rPr>
                    <w:t>污染物</w:t>
                  </w:r>
                </w:p>
              </w:tc>
              <w:tc>
                <w:tcPr>
                  <w:tcW w:w="1410"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default"/>
                      <w:b/>
                      <w:bCs/>
                      <w:color w:val="auto"/>
                      <w:kern w:val="2"/>
                      <w:sz w:val="21"/>
                      <w:lang w:val="en-US" w:eastAsia="zh-CN"/>
                    </w:rPr>
                  </w:pPr>
                  <w:r>
                    <w:rPr>
                      <w:rFonts w:hint="default"/>
                      <w:b/>
                      <w:bCs/>
                      <w:color w:val="auto"/>
                      <w:kern w:val="2"/>
                      <w:sz w:val="21"/>
                    </w:rPr>
                    <w:t>东厂界</w:t>
                  </w:r>
                  <w:r>
                    <w:rPr>
                      <w:rFonts w:hint="eastAsia"/>
                      <w:b/>
                      <w:bCs/>
                      <w:color w:val="auto"/>
                      <w:kern w:val="2"/>
                      <w:sz w:val="21"/>
                      <w:lang w:val="en-US" w:eastAsia="zh-CN"/>
                    </w:rPr>
                    <w:t>(1m)</w:t>
                  </w:r>
                </w:p>
              </w:tc>
              <w:tc>
                <w:tcPr>
                  <w:tcW w:w="1410"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default"/>
                      <w:b/>
                      <w:bCs/>
                      <w:color w:val="auto"/>
                      <w:kern w:val="2"/>
                      <w:sz w:val="21"/>
                      <w:lang w:val="en-US" w:eastAsia="zh-CN"/>
                    </w:rPr>
                  </w:pPr>
                  <w:r>
                    <w:rPr>
                      <w:rFonts w:hint="default"/>
                      <w:b/>
                      <w:bCs/>
                      <w:color w:val="auto"/>
                      <w:kern w:val="2"/>
                      <w:sz w:val="21"/>
                    </w:rPr>
                    <w:t>南厂界</w:t>
                  </w:r>
                  <w:r>
                    <w:rPr>
                      <w:rFonts w:hint="eastAsia"/>
                      <w:b/>
                      <w:bCs/>
                      <w:color w:val="auto"/>
                      <w:kern w:val="2"/>
                      <w:sz w:val="21"/>
                      <w:lang w:val="en-US" w:eastAsia="zh-CN"/>
                    </w:rPr>
                    <w:t>(1m)</w:t>
                  </w:r>
                </w:p>
              </w:tc>
              <w:tc>
                <w:tcPr>
                  <w:tcW w:w="1410"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eastAsia"/>
                      <w:b/>
                      <w:bCs/>
                      <w:color w:val="auto"/>
                      <w:kern w:val="2"/>
                      <w:sz w:val="21"/>
                      <w:lang w:val="en-US" w:eastAsia="zh-CN"/>
                    </w:rPr>
                  </w:pPr>
                  <w:r>
                    <w:rPr>
                      <w:rFonts w:hint="default"/>
                      <w:b/>
                      <w:bCs/>
                      <w:color w:val="auto"/>
                      <w:kern w:val="2"/>
                      <w:sz w:val="21"/>
                    </w:rPr>
                    <w:t>西厂界</w:t>
                  </w:r>
                  <w:r>
                    <w:rPr>
                      <w:rFonts w:hint="eastAsia"/>
                      <w:b/>
                      <w:bCs/>
                      <w:color w:val="auto"/>
                      <w:kern w:val="2"/>
                      <w:sz w:val="21"/>
                      <w:lang w:val="en-US" w:eastAsia="zh-CN"/>
                    </w:rPr>
                    <w:t>(1</w:t>
                  </w:r>
                  <w:r>
                    <w:rPr>
                      <w:rFonts w:hint="default"/>
                      <w:b/>
                      <w:bCs/>
                      <w:color w:val="auto"/>
                      <w:kern w:val="2"/>
                      <w:sz w:val="21"/>
                    </w:rPr>
                    <w:t>m</w:t>
                  </w:r>
                  <w:r>
                    <w:rPr>
                      <w:rFonts w:hint="eastAsia"/>
                      <w:b/>
                      <w:bCs/>
                      <w:color w:val="auto"/>
                      <w:kern w:val="2"/>
                      <w:sz w:val="21"/>
                      <w:lang w:val="en-US" w:eastAsia="zh-CN"/>
                    </w:rPr>
                    <w:t>)</w:t>
                  </w:r>
                </w:p>
              </w:tc>
              <w:tc>
                <w:tcPr>
                  <w:tcW w:w="1412"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default"/>
                      <w:b/>
                      <w:bCs/>
                      <w:color w:val="auto"/>
                      <w:kern w:val="2"/>
                      <w:sz w:val="21"/>
                      <w:lang w:val="en-US" w:eastAsia="zh-CN"/>
                    </w:rPr>
                  </w:pPr>
                  <w:r>
                    <w:rPr>
                      <w:rFonts w:hint="default"/>
                      <w:b/>
                      <w:bCs/>
                      <w:color w:val="auto"/>
                      <w:kern w:val="2"/>
                      <w:sz w:val="21"/>
                    </w:rPr>
                    <w:t>北厂界</w:t>
                  </w:r>
                  <w:r>
                    <w:rPr>
                      <w:rFonts w:hint="eastAsia"/>
                      <w:b/>
                      <w:bCs/>
                      <w:color w:val="auto"/>
                      <w:kern w:val="2"/>
                      <w:sz w:val="21"/>
                      <w:lang w:val="en-US" w:eastAsia="zh-CN"/>
                    </w:rPr>
                    <w:t>(1m)</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9"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eastAsia" w:ascii="Times New Roman" w:hAnsi="Times New Roman" w:eastAsia="宋体"/>
                      <w:color w:val="auto"/>
                      <w:kern w:val="2"/>
                      <w:sz w:val="21"/>
                      <w:lang w:val="en-US" w:eastAsia="zh-CN"/>
                    </w:rPr>
                  </w:pPr>
                  <w:r>
                    <w:rPr>
                      <w:rFonts w:hint="eastAsia" w:ascii="Times New Roman" w:hAnsi="Times New Roman" w:eastAsia="宋体"/>
                      <w:color w:val="auto"/>
                      <w:kern w:val="2"/>
                      <w:sz w:val="21"/>
                      <w:lang w:val="en-US" w:eastAsia="zh-CN"/>
                    </w:rPr>
                    <w:t>生产</w:t>
                  </w:r>
                </w:p>
                <w:p>
                  <w:pPr>
                    <w:pStyle w:val="28"/>
                    <w:keepNext w:val="0"/>
                    <w:keepLines w:val="0"/>
                    <w:widowControl/>
                    <w:suppressLineNumbers w:val="0"/>
                    <w:bidi w:val="0"/>
                    <w:spacing w:before="0" w:beforeAutospacing="0" w:after="0" w:afterAutospacing="0"/>
                    <w:ind w:left="0" w:right="0"/>
                    <w:rPr>
                      <w:rFonts w:hint="default" w:ascii="Times New Roman" w:hAnsi="Times New Roman" w:eastAsia="宋体"/>
                      <w:color w:val="auto"/>
                      <w:kern w:val="2"/>
                      <w:sz w:val="21"/>
                      <w:lang w:val="en-US" w:eastAsia="zh-CN"/>
                    </w:rPr>
                  </w:pPr>
                  <w:r>
                    <w:rPr>
                      <w:rFonts w:hint="eastAsia" w:ascii="Times New Roman" w:hAnsi="Times New Roman" w:eastAsia="宋体"/>
                      <w:color w:val="auto"/>
                      <w:kern w:val="2"/>
                      <w:sz w:val="21"/>
                      <w:lang w:val="en-US" w:eastAsia="zh-CN"/>
                    </w:rPr>
                    <w:t>车间</w:t>
                  </w:r>
                </w:p>
              </w:tc>
              <w:tc>
                <w:tcPr>
                  <w:tcW w:w="1392"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eastAsia" w:ascii="Times New Roman" w:hAnsi="Times New Roman" w:eastAsia="宋体"/>
                      <w:color w:val="auto"/>
                      <w:kern w:val="2"/>
                      <w:sz w:val="21"/>
                      <w:lang w:val="en-US" w:eastAsia="zh-CN"/>
                    </w:rPr>
                  </w:pPr>
                  <w:r>
                    <w:rPr>
                      <w:rFonts w:hint="eastAsia" w:ascii="Times New Roman" w:hAnsi="Times New Roman" w:eastAsia="宋体"/>
                      <w:color w:val="auto"/>
                      <w:kern w:val="2"/>
                      <w:sz w:val="21"/>
                      <w:lang w:val="en-US" w:eastAsia="zh-CN"/>
                    </w:rPr>
                    <w:t>硫酸雾</w:t>
                  </w:r>
                </w:p>
              </w:tc>
              <w:tc>
                <w:tcPr>
                  <w:tcW w:w="1410"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eastAsia="宋体"/>
                      <w:color w:val="auto"/>
                      <w:kern w:val="2"/>
                      <w:sz w:val="21"/>
                      <w:lang w:val="en-US" w:eastAsia="zh-CN"/>
                    </w:rPr>
                  </w:pPr>
                  <w:r>
                    <w:rPr>
                      <w:rFonts w:hint="eastAsia" w:ascii="Times New Roman" w:hAnsi="Times New Roman" w:eastAsia="宋体"/>
                      <w:color w:val="auto"/>
                      <w:kern w:val="2"/>
                      <w:sz w:val="21"/>
                      <w:lang w:val="en-US" w:eastAsia="zh-CN"/>
                    </w:rPr>
                    <w:t>1.3843</w:t>
                  </w:r>
                </w:p>
              </w:tc>
              <w:tc>
                <w:tcPr>
                  <w:tcW w:w="1410"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eastAsia" w:ascii="Times New Roman" w:hAnsi="Times New Roman" w:eastAsia="宋体"/>
                      <w:color w:val="auto"/>
                      <w:kern w:val="2"/>
                      <w:sz w:val="21"/>
                      <w:lang w:val="en-US" w:eastAsia="zh-CN"/>
                    </w:rPr>
                  </w:pPr>
                  <w:r>
                    <w:rPr>
                      <w:rFonts w:hint="eastAsia" w:ascii="Times New Roman" w:hAnsi="Times New Roman" w:eastAsia="宋体"/>
                      <w:color w:val="auto"/>
                      <w:kern w:val="2"/>
                      <w:sz w:val="21"/>
                      <w:lang w:val="en-US" w:eastAsia="zh-CN"/>
                    </w:rPr>
                    <w:t>1.3843</w:t>
                  </w:r>
                </w:p>
              </w:tc>
              <w:tc>
                <w:tcPr>
                  <w:tcW w:w="1410"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eastAsia="宋体"/>
                      <w:color w:val="auto"/>
                      <w:kern w:val="2"/>
                      <w:sz w:val="21"/>
                      <w:lang w:val="en-US" w:eastAsia="zh-CN"/>
                    </w:rPr>
                  </w:pPr>
                  <w:r>
                    <w:rPr>
                      <w:rFonts w:hint="eastAsia" w:ascii="Times New Roman" w:hAnsi="Times New Roman" w:eastAsia="宋体"/>
                      <w:color w:val="auto"/>
                      <w:kern w:val="2"/>
                      <w:sz w:val="21"/>
                      <w:lang w:val="en-US" w:eastAsia="zh-CN"/>
                    </w:rPr>
                    <w:t>1.3843</w:t>
                  </w:r>
                </w:p>
              </w:tc>
              <w:tc>
                <w:tcPr>
                  <w:tcW w:w="1412"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eastAsia" w:ascii="Times New Roman" w:hAnsi="Times New Roman" w:eastAsia="宋体"/>
                      <w:color w:val="auto"/>
                      <w:kern w:val="2"/>
                      <w:sz w:val="21"/>
                      <w:lang w:val="en-US" w:eastAsia="zh-CN"/>
                    </w:rPr>
                  </w:pPr>
                  <w:r>
                    <w:rPr>
                      <w:rFonts w:hint="eastAsia" w:ascii="Times New Roman" w:hAnsi="Times New Roman" w:eastAsia="宋体"/>
                      <w:color w:val="auto"/>
                      <w:kern w:val="2"/>
                      <w:sz w:val="21"/>
                      <w:lang w:val="en-US" w:eastAsia="zh-CN"/>
                    </w:rPr>
                    <w:t>1.3843</w:t>
                  </w:r>
                </w:p>
              </w:tc>
            </w:tr>
          </w:tbl>
          <w:p>
            <w:pPr>
              <w:keepNext w:val="0"/>
              <w:keepLines w:val="0"/>
              <w:suppressLineNumbers w:val="0"/>
              <w:bidi w:val="0"/>
              <w:spacing w:before="0" w:beforeAutospacing="0" w:after="0" w:afterAutospacing="0"/>
              <w:ind w:left="0" w:right="0"/>
              <w:rPr>
                <w:rFonts w:ascii="Times New Roman" w:hAnsi="Times New Roman" w:eastAsia="宋体" w:cs="Times New Roman"/>
                <w:color w:val="auto"/>
              </w:rPr>
            </w:pPr>
            <w:r>
              <w:rPr>
                <w:rFonts w:hint="eastAsia" w:ascii="Times New Roman" w:hAnsi="Times New Roman" w:eastAsia="宋体" w:cs="Times New Roman"/>
                <w:color w:val="auto"/>
              </w:rPr>
              <w:t>经过</w:t>
            </w:r>
            <w:r>
              <w:rPr>
                <w:rFonts w:hint="eastAsia" w:ascii="Times New Roman" w:hAnsi="Times New Roman" w:eastAsia="宋体" w:cs="Times New Roman"/>
                <w:color w:val="auto"/>
                <w:lang w:val="en-US" w:eastAsia="zh-CN"/>
              </w:rPr>
              <w:t>以上</w:t>
            </w:r>
            <w:r>
              <w:rPr>
                <w:rFonts w:hint="eastAsia" w:ascii="Times New Roman" w:hAnsi="Times New Roman" w:eastAsia="宋体" w:cs="Times New Roman"/>
                <w:color w:val="auto"/>
              </w:rPr>
              <w:t>管控措施后，本项目</w:t>
            </w:r>
            <w:r>
              <w:rPr>
                <w:rFonts w:hint="eastAsia" w:ascii="Times New Roman" w:hAnsi="Times New Roman" w:eastAsia="宋体" w:cs="Times New Roman"/>
                <w:color w:val="auto"/>
                <w:lang w:val="en-US" w:eastAsia="zh-CN"/>
              </w:rPr>
              <w:t>硫酸雾厂界浓度为0.0014mg/m³，</w:t>
            </w:r>
            <w:r>
              <w:rPr>
                <w:rFonts w:hint="eastAsia" w:ascii="Times New Roman" w:hAnsi="Times New Roman" w:eastAsia="宋体" w:cs="Times New Roman"/>
                <w:color w:val="auto"/>
              </w:rPr>
              <w:t>无组织排放</w:t>
            </w:r>
            <w:r>
              <w:rPr>
                <w:rFonts w:ascii="Times New Roman" w:hAnsi="Times New Roman" w:eastAsia="宋体" w:cs="Times New Roman"/>
                <w:color w:val="auto"/>
              </w:rPr>
              <w:t>满足《大气污染物综合排放标准》(GB16279-1996)表2</w:t>
            </w:r>
            <w:r>
              <w:rPr>
                <w:rFonts w:hint="eastAsia" w:ascii="Times New Roman" w:hAnsi="Times New Roman" w:eastAsia="宋体" w:cs="Times New Roman"/>
                <w:color w:val="auto"/>
                <w:lang w:eastAsia="zh-CN"/>
              </w:rPr>
              <w:t>（</w:t>
            </w:r>
            <w:r>
              <w:rPr>
                <w:rFonts w:ascii="Times New Roman" w:hAnsi="Times New Roman" w:eastAsia="宋体" w:cs="Times New Roman"/>
                <w:color w:val="auto"/>
              </w:rPr>
              <w:t>周界外浓度最高点1.</w:t>
            </w:r>
            <w:r>
              <w:rPr>
                <w:rFonts w:hint="eastAsia" w:ascii="Times New Roman" w:hAnsi="Times New Roman" w:eastAsia="宋体" w:cs="Times New Roman"/>
                <w:color w:val="auto"/>
                <w:lang w:val="en-US" w:eastAsia="zh-CN"/>
              </w:rPr>
              <w:t>2</w:t>
            </w:r>
            <w:r>
              <w:rPr>
                <w:rFonts w:ascii="Times New Roman" w:hAnsi="Times New Roman" w:eastAsia="宋体" w:cs="Times New Roman"/>
                <w:color w:val="auto"/>
              </w:rPr>
              <w:t>mg/</w:t>
            </w:r>
            <w:r>
              <w:rPr>
                <w:rFonts w:hint="eastAsia" w:ascii="Times New Roman" w:hAnsi="Times New Roman" w:eastAsia="宋体" w:cs="Times New Roman"/>
                <w:color w:val="auto"/>
                <w:lang w:eastAsia="zh-CN"/>
              </w:rPr>
              <w:t>m³）</w:t>
            </w:r>
            <w:r>
              <w:rPr>
                <w:rFonts w:hint="eastAsia" w:ascii="Times New Roman" w:hAnsi="Times New Roman" w:eastAsia="宋体" w:cs="Times New Roman"/>
                <w:color w:val="auto"/>
                <w:lang w:val="en-US" w:eastAsia="zh-CN"/>
              </w:rPr>
              <w:t>的限值要求</w:t>
            </w:r>
            <w:r>
              <w:rPr>
                <w:rFonts w:hint="eastAsia" w:ascii="Times New Roman" w:hAnsi="Times New Roman" w:eastAsia="宋体" w:cs="Times New Roman"/>
                <w:color w:val="auto"/>
              </w:rPr>
              <w:t>。</w:t>
            </w:r>
          </w:p>
          <w:p>
            <w:pPr>
              <w:keepNext w:val="0"/>
              <w:keepLines w:val="0"/>
              <w:suppressLineNumbers w:val="0"/>
              <w:bidi w:val="0"/>
              <w:spacing w:before="0" w:beforeAutospacing="0" w:after="0" w:afterAutospacing="0"/>
              <w:ind w:left="0" w:right="0"/>
              <w:rPr>
                <w:rFonts w:hint="default"/>
                <w:color w:val="auto"/>
              </w:rPr>
            </w:pPr>
            <w:r>
              <w:rPr>
                <w:rFonts w:ascii="Times New Roman" w:hAnsi="Times New Roman" w:eastAsia="宋体" w:cs="Times New Roman"/>
                <w:color w:val="auto"/>
              </w:rPr>
              <w:t>综上所述本项目</w:t>
            </w:r>
            <w:r>
              <w:rPr>
                <w:rFonts w:hint="eastAsia" w:ascii="Times New Roman" w:hAnsi="Times New Roman" w:eastAsia="宋体" w:cs="Times New Roman"/>
                <w:color w:val="auto"/>
                <w:lang w:val="en-US" w:eastAsia="zh-CN"/>
              </w:rPr>
              <w:t>硫酸雾</w:t>
            </w:r>
            <w:r>
              <w:rPr>
                <w:rFonts w:ascii="Times New Roman" w:hAnsi="Times New Roman" w:eastAsia="宋体" w:cs="Times New Roman"/>
                <w:color w:val="auto"/>
              </w:rPr>
              <w:t>有组织、</w:t>
            </w:r>
            <w:r>
              <w:rPr>
                <w:color w:val="auto"/>
              </w:rPr>
              <w:t>无组织废气均满足排放标准要求，不会对周围环境产生影响。</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color w:val="auto"/>
                <w:sz w:val="24"/>
                <w:lang w:val="en-US" w:eastAsia="zh-CN"/>
              </w:rPr>
            </w:pPr>
            <w:r>
              <w:rPr>
                <w:rFonts w:hint="eastAsia" w:cs="Times New Roman"/>
                <w:b/>
                <w:bCs/>
                <w:color w:val="auto"/>
                <w:sz w:val="24"/>
                <w:lang w:val="en-US" w:eastAsia="zh-CN"/>
              </w:rPr>
              <w:t>3</w:t>
            </w:r>
            <w:r>
              <w:rPr>
                <w:rFonts w:hint="default" w:ascii="Times New Roman" w:hAnsi="Times New Roman" w:eastAsia="宋体" w:cs="Times New Roman"/>
                <w:b/>
                <w:bCs/>
                <w:color w:val="auto"/>
                <w:sz w:val="24"/>
                <w:lang w:val="en-US" w:eastAsia="zh-CN"/>
              </w:rPr>
              <w:t>、废气治理措施可行性分析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Cs/>
                <w:color w:val="auto"/>
                <w:kern w:val="0"/>
                <w:sz w:val="24"/>
                <w:szCs w:val="24"/>
                <w:highlight w:val="none"/>
              </w:rPr>
            </w:pPr>
            <w:r>
              <w:rPr>
                <w:rFonts w:hint="eastAsia" w:hAnsi="宋体"/>
                <w:color w:val="auto"/>
                <w:sz w:val="24"/>
                <w:szCs w:val="24"/>
              </w:rPr>
              <w:t>酸雾吸收塔处理原理为采用氢氧化钠为吸收液，利用循环水中碱液对酸气进行吸收中和反应，达到净化效果，净化效率均为95%以上。</w:t>
            </w:r>
            <w:r>
              <w:rPr>
                <w:color w:val="auto"/>
                <w:sz w:val="24"/>
              </w:rPr>
              <w:t>参照</w:t>
            </w:r>
            <w:r>
              <w:rPr>
                <w:rFonts w:hint="eastAsia"/>
                <w:color w:val="auto"/>
                <w:sz w:val="24"/>
                <w:lang w:eastAsia="zh-CN"/>
              </w:rPr>
              <w:t>《</w:t>
            </w:r>
            <w:r>
              <w:rPr>
                <w:rFonts w:hint="eastAsia"/>
                <w:color w:val="auto"/>
              </w:rPr>
              <w:t>废弃资源加工工业》（HJ1039-2019）废电池处理环节硫酸雾治理</w:t>
            </w:r>
            <w:r>
              <w:rPr>
                <w:rFonts w:hint="eastAsia"/>
                <w:color w:val="auto"/>
                <w:lang w:val="en-US" w:eastAsia="zh-CN"/>
              </w:rPr>
              <w:t>与</w:t>
            </w:r>
            <w:r>
              <w:rPr>
                <w:rFonts w:asciiTheme="minorEastAsia" w:hAnsiTheme="minorEastAsia" w:eastAsiaTheme="minorEastAsia"/>
                <w:color w:val="auto"/>
                <w:sz w:val="24"/>
                <w:szCs w:val="24"/>
              </w:rPr>
              <w:t>《排污许可证申请与核发技术规范</w:t>
            </w:r>
            <w:r>
              <w:rPr>
                <w:rFonts w:hint="eastAsia" w:asciiTheme="minorEastAsia" w:hAnsiTheme="minorEastAsia" w:eastAsiaTheme="minorEastAsia"/>
                <w:color w:val="auto"/>
                <w:sz w:val="24"/>
                <w:szCs w:val="24"/>
              </w:rPr>
              <w:t xml:space="preserve"> 工业固体废物与危险废物治理</w:t>
            </w:r>
            <w:r>
              <w:rPr>
                <w:rFonts w:asciiTheme="minorEastAsia" w:hAnsiTheme="minorEastAsia" w:eastAsiaTheme="minorEastAsia"/>
                <w:color w:val="auto"/>
                <w:sz w:val="24"/>
                <w:szCs w:val="24"/>
              </w:rPr>
              <w:t>》（</w:t>
            </w:r>
            <w:r>
              <w:rPr>
                <w:rFonts w:eastAsiaTheme="minorEastAsia"/>
                <w:color w:val="auto"/>
                <w:sz w:val="24"/>
                <w:szCs w:val="24"/>
              </w:rPr>
              <w:t>HJ1033-2019</w:t>
            </w:r>
            <w:r>
              <w:rPr>
                <w:rFonts w:asciiTheme="minorEastAsia" w:hAnsiTheme="minorEastAsia" w:eastAsiaTheme="minorEastAsia"/>
                <w:color w:val="auto"/>
                <w:sz w:val="24"/>
                <w:szCs w:val="24"/>
              </w:rPr>
              <w:t>）等文</w:t>
            </w:r>
            <w:r>
              <w:rPr>
                <w:color w:val="auto"/>
                <w:sz w:val="24"/>
              </w:rPr>
              <w:t>件，项目酸雾吸收塔采用的碱液喷淋为硫酸雾治理可行技术。因此，项目废气治理措施可行。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lang w:val="en-US" w:eastAsia="zh-CN"/>
              </w:rPr>
              <w:t>、污染源排放口情况及排放量分析</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（1）本项目污染源排放口情况</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lang w:val="en-US" w:eastAsia="zh-CN"/>
              </w:rPr>
              <w:t>本项目有组织</w:t>
            </w:r>
            <w:r>
              <w:rPr>
                <w:rFonts w:hint="eastAsia" w:ascii="Times New Roman" w:hAnsi="Times New Roman" w:eastAsia="宋体" w:cs="Times New Roman"/>
                <w:b w:val="0"/>
                <w:bCs w:val="0"/>
                <w:color w:val="auto"/>
                <w:sz w:val="24"/>
                <w:highlight w:val="none"/>
                <w:lang w:val="en-US" w:eastAsia="zh-CN"/>
              </w:rPr>
              <w:t>排放口基本情况见下表。</w:t>
            </w:r>
          </w:p>
          <w:p>
            <w:pPr>
              <w:pStyle w:val="12"/>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表</w:t>
            </w:r>
            <w:r>
              <w:rPr>
                <w:rFonts w:hint="eastAsia"/>
                <w:color w:val="auto"/>
                <w:lang w:val="en-US" w:eastAsia="zh-CN"/>
              </w:rPr>
              <w:t xml:space="preserve"> 4-3</w:t>
            </w:r>
            <w:r>
              <w:rPr>
                <w:rFonts w:hint="default"/>
                <w:color w:val="auto"/>
                <w:lang w:val="en-US" w:eastAsia="zh-CN"/>
              </w:rPr>
              <w:t xml:space="preserve">  </w:t>
            </w:r>
            <w:r>
              <w:rPr>
                <w:rFonts w:hint="eastAsia"/>
                <w:color w:val="auto"/>
                <w:lang w:val="en-US" w:eastAsia="zh-CN"/>
              </w:rPr>
              <w:t xml:space="preserve">  </w:t>
            </w:r>
            <w:r>
              <w:rPr>
                <w:rFonts w:hint="default"/>
                <w:color w:val="auto"/>
                <w:lang w:val="en-US" w:eastAsia="zh-CN"/>
              </w:rPr>
              <w:t>本项目有组织排放源基本情况</w:t>
            </w:r>
          </w:p>
          <w:tbl>
            <w:tblPr>
              <w:tblStyle w:val="23"/>
              <w:tblW w:w="4999"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292"/>
              <w:gridCol w:w="1092"/>
              <w:gridCol w:w="565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482" w:type="pct"/>
                  <w:gridSpan w:val="2"/>
                  <w:tcBorders>
                    <w:tl2br w:val="nil"/>
                    <w:tr2bl w:val="nil"/>
                  </w:tcBorders>
                  <w:shd w:val="clear" w:color="auto" w:fill="auto"/>
                  <w:noWrap w:val="0"/>
                  <w:vAlign w:val="center"/>
                </w:tcPr>
                <w:p>
                  <w:pPr>
                    <w:pStyle w:val="28"/>
                    <w:keepNext w:val="0"/>
                    <w:keepLines w:val="0"/>
                    <w:widowControl/>
                    <w:suppressLineNumbers w:val="0"/>
                    <w:bidi w:val="0"/>
                    <w:spacing w:before="0" w:beforeAutospacing="0" w:after="0" w:afterAutospacing="0"/>
                    <w:ind w:left="0" w:right="0"/>
                    <w:rPr>
                      <w:rFonts w:hint="eastAsia"/>
                      <w:b/>
                      <w:bCs/>
                      <w:color w:val="auto"/>
                      <w:kern w:val="2"/>
                      <w:sz w:val="21"/>
                      <w:lang w:val="en-US" w:eastAsia="zh-CN"/>
                    </w:rPr>
                  </w:pPr>
                  <w:r>
                    <w:rPr>
                      <w:rFonts w:hint="default"/>
                      <w:b/>
                      <w:bCs/>
                      <w:color w:val="auto"/>
                      <w:kern w:val="2"/>
                      <w:sz w:val="21"/>
                    </w:rPr>
                    <w:t>编号</w:t>
                  </w:r>
                </w:p>
              </w:tc>
              <w:tc>
                <w:tcPr>
                  <w:tcW w:w="3517" w:type="pct"/>
                  <w:tcBorders>
                    <w:tl2br w:val="nil"/>
                    <w:tr2bl w:val="nil"/>
                  </w:tcBorders>
                  <w:shd w:val="clear" w:color="auto" w:fill="auto"/>
                  <w:noWrap w:val="0"/>
                  <w:vAlign w:val="center"/>
                </w:tcPr>
                <w:p>
                  <w:pPr>
                    <w:pStyle w:val="28"/>
                    <w:keepNext w:val="0"/>
                    <w:keepLines w:val="0"/>
                    <w:widowControl/>
                    <w:suppressLineNumbers w:val="0"/>
                    <w:bidi w:val="0"/>
                    <w:spacing w:before="0" w:beforeAutospacing="0" w:after="0" w:afterAutospacing="0"/>
                    <w:ind w:left="0" w:right="0"/>
                    <w:rPr>
                      <w:rFonts w:hint="eastAsia"/>
                      <w:b/>
                      <w:bCs/>
                      <w:color w:val="auto"/>
                      <w:kern w:val="2"/>
                      <w:sz w:val="21"/>
                      <w:lang w:val="en-US" w:eastAsia="zh-CN"/>
                    </w:rPr>
                  </w:pPr>
                  <w:r>
                    <w:rPr>
                      <w:rFonts w:hint="eastAsia"/>
                      <w:b/>
                      <w:bCs/>
                      <w:color w:val="auto"/>
                      <w:kern w:val="2"/>
                      <w:sz w:val="21"/>
                      <w:lang w:val="en-US" w:eastAsia="zh-CN"/>
                    </w:rPr>
                    <w:t>DA001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482" w:type="pct"/>
                  <w:gridSpan w:val="2"/>
                  <w:tcBorders>
                    <w:tl2br w:val="nil"/>
                    <w:tr2bl w:val="nil"/>
                  </w:tcBorders>
                  <w:shd w:val="clear" w:color="auto" w:fill="auto"/>
                  <w:noWrap w:val="0"/>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lang w:val="en-US" w:eastAsia="zh-CN"/>
                    </w:rPr>
                  </w:pPr>
                  <w:r>
                    <w:rPr>
                      <w:rFonts w:hint="default"/>
                      <w:color w:val="auto"/>
                      <w:kern w:val="2"/>
                      <w:sz w:val="21"/>
                    </w:rPr>
                    <w:t>名称</w:t>
                  </w:r>
                </w:p>
              </w:tc>
              <w:tc>
                <w:tcPr>
                  <w:tcW w:w="3517" w:type="pct"/>
                  <w:tcBorders>
                    <w:tl2br w:val="nil"/>
                    <w:tr2bl w:val="nil"/>
                  </w:tcBorders>
                  <w:shd w:val="clear" w:color="auto" w:fill="auto"/>
                  <w:noWrap w:val="0"/>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lang w:val="en-US" w:eastAsia="zh-CN"/>
                    </w:rPr>
                  </w:pPr>
                  <w:r>
                    <w:rPr>
                      <w:rFonts w:hint="eastAsia"/>
                      <w:color w:val="auto"/>
                      <w:kern w:val="2"/>
                      <w:sz w:val="21"/>
                      <w:lang w:val="en-US" w:eastAsia="zh-CN"/>
                    </w:rPr>
                    <w:t>废气排放口</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803" w:type="pct"/>
                  <w:vMerge w:val="restart"/>
                  <w:tcBorders>
                    <w:tl2br w:val="nil"/>
                    <w:tr2bl w:val="nil"/>
                  </w:tcBorders>
                  <w:shd w:val="clear" w:color="auto" w:fill="auto"/>
                  <w:noWrap w:val="0"/>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lang w:val="en-US" w:eastAsia="zh-CN"/>
                    </w:rPr>
                  </w:pPr>
                  <w:r>
                    <w:rPr>
                      <w:rFonts w:hint="default"/>
                      <w:color w:val="auto"/>
                      <w:kern w:val="2"/>
                      <w:sz w:val="21"/>
                    </w:rPr>
                    <w:t>排气筒</w:t>
                  </w:r>
                  <w:r>
                    <w:rPr>
                      <w:rFonts w:hint="eastAsia"/>
                      <w:color w:val="auto"/>
                      <w:kern w:val="2"/>
                      <w:sz w:val="21"/>
                      <w:lang w:val="en-US" w:eastAsia="zh-CN"/>
                    </w:rPr>
                    <w:t>底部</w:t>
                  </w:r>
                  <w:r>
                    <w:rPr>
                      <w:rFonts w:hint="default"/>
                      <w:color w:val="auto"/>
                      <w:kern w:val="2"/>
                      <w:sz w:val="21"/>
                    </w:rPr>
                    <w:t>中心坐标</w:t>
                  </w:r>
                </w:p>
              </w:tc>
              <w:tc>
                <w:tcPr>
                  <w:tcW w:w="679" w:type="pct"/>
                  <w:tcBorders>
                    <w:tl2br w:val="nil"/>
                    <w:tr2bl w:val="nil"/>
                  </w:tcBorders>
                  <w:shd w:val="clear" w:color="auto" w:fill="auto"/>
                  <w:noWrap w:val="0"/>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lang w:val="en-US" w:eastAsia="zh-CN"/>
                    </w:rPr>
                  </w:pPr>
                  <w:r>
                    <w:rPr>
                      <w:rFonts w:hint="default"/>
                      <w:color w:val="auto"/>
                      <w:kern w:val="2"/>
                      <w:sz w:val="21"/>
                    </w:rPr>
                    <w:t>X</w:t>
                  </w:r>
                </w:p>
              </w:tc>
              <w:tc>
                <w:tcPr>
                  <w:tcW w:w="3517" w:type="pct"/>
                  <w:tcBorders>
                    <w:tl2br w:val="nil"/>
                    <w:tr2bl w:val="nil"/>
                  </w:tcBorders>
                  <w:shd w:val="clear" w:color="auto" w:fill="auto"/>
                  <w:noWrap w:val="0"/>
                  <w:vAlign w:val="center"/>
                </w:tcPr>
                <w:p>
                  <w:pPr>
                    <w:pStyle w:val="28"/>
                    <w:keepNext w:val="0"/>
                    <w:keepLines w:val="0"/>
                    <w:widowControl/>
                    <w:suppressLineNumbers w:val="0"/>
                    <w:bidi w:val="0"/>
                    <w:spacing w:before="0" w:beforeAutospacing="0" w:after="0" w:afterAutospacing="0"/>
                    <w:ind w:left="0" w:right="0"/>
                    <w:rPr>
                      <w:rFonts w:hint="eastAsia" w:ascii="Times New Roman" w:hAnsi="Times New Roman" w:eastAsia="宋体"/>
                      <w:color w:val="auto"/>
                      <w:kern w:val="2"/>
                      <w:sz w:val="21"/>
                      <w:lang w:val="en-US" w:eastAsia="zh-CN"/>
                    </w:rPr>
                  </w:pPr>
                  <w:r>
                    <w:rPr>
                      <w:rFonts w:hint="default" w:ascii="Times New Roman" w:hAnsi="Times New Roman" w:eastAsia="宋体"/>
                      <w:color w:val="auto"/>
                      <w:kern w:val="2"/>
                      <w:sz w:val="21"/>
                      <w:lang w:val="en-US" w:eastAsia="zh-CN"/>
                    </w:rPr>
                    <w:t>113°</w:t>
                  </w:r>
                  <w:r>
                    <w:rPr>
                      <w:rFonts w:hint="eastAsia" w:ascii="Times New Roman" w:hAnsi="Times New Roman" w:eastAsia="宋体"/>
                      <w:color w:val="auto"/>
                      <w:kern w:val="2"/>
                      <w:sz w:val="21"/>
                      <w:lang w:val="en-US" w:eastAsia="zh-CN"/>
                    </w:rPr>
                    <w:t>47</w:t>
                  </w:r>
                  <w:r>
                    <w:rPr>
                      <w:rFonts w:hint="default" w:ascii="Times New Roman" w:hAnsi="Times New Roman" w:eastAsia="宋体"/>
                      <w:color w:val="auto"/>
                      <w:kern w:val="2"/>
                      <w:sz w:val="21"/>
                      <w:lang w:val="en-US" w:eastAsia="zh-CN"/>
                    </w:rPr>
                    <w:t>′</w:t>
                  </w:r>
                  <w:r>
                    <w:rPr>
                      <w:rFonts w:hint="eastAsia" w:ascii="Times New Roman" w:hAnsi="Times New Roman" w:eastAsia="宋体"/>
                      <w:color w:val="auto"/>
                      <w:kern w:val="2"/>
                      <w:sz w:val="21"/>
                      <w:lang w:val="en-US" w:eastAsia="zh-CN"/>
                    </w:rPr>
                    <w:t>5</w:t>
                  </w:r>
                  <w:r>
                    <w:rPr>
                      <w:rFonts w:hint="eastAsia"/>
                      <w:color w:val="auto"/>
                      <w:kern w:val="2"/>
                      <w:sz w:val="21"/>
                      <w:lang w:val="en-US" w:eastAsia="zh-CN"/>
                    </w:rPr>
                    <w:t>5.20</w:t>
                  </w:r>
                  <w:r>
                    <w:rPr>
                      <w:rFonts w:hint="default" w:ascii="Times New Roman" w:hAnsi="Times New Roman" w:eastAsia="宋体"/>
                      <w:color w:val="auto"/>
                      <w:kern w:val="2"/>
                      <w:sz w:val="21"/>
                      <w:lang w:val="en-US"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803" w:type="pct"/>
                  <w:vMerge w:val="continue"/>
                  <w:tcBorders>
                    <w:tl2br w:val="nil"/>
                    <w:tr2bl w:val="nil"/>
                  </w:tcBorders>
                  <w:shd w:val="clear" w:color="auto" w:fill="auto"/>
                  <w:noWrap w:val="0"/>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lang w:val="en-US" w:eastAsia="zh-CN"/>
                    </w:rPr>
                  </w:pPr>
                </w:p>
              </w:tc>
              <w:tc>
                <w:tcPr>
                  <w:tcW w:w="679" w:type="pct"/>
                  <w:tcBorders>
                    <w:tl2br w:val="nil"/>
                    <w:tr2bl w:val="nil"/>
                  </w:tcBorders>
                  <w:shd w:val="clear" w:color="auto" w:fill="auto"/>
                  <w:noWrap w:val="0"/>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lang w:val="en-US" w:eastAsia="zh-CN"/>
                    </w:rPr>
                  </w:pPr>
                  <w:r>
                    <w:rPr>
                      <w:rFonts w:hint="default"/>
                      <w:color w:val="auto"/>
                      <w:kern w:val="2"/>
                      <w:sz w:val="21"/>
                    </w:rPr>
                    <w:t>Y</w:t>
                  </w:r>
                </w:p>
              </w:tc>
              <w:tc>
                <w:tcPr>
                  <w:tcW w:w="3517" w:type="pct"/>
                  <w:tcBorders>
                    <w:tl2br w:val="nil"/>
                    <w:tr2bl w:val="nil"/>
                  </w:tcBorders>
                  <w:shd w:val="clear" w:color="auto" w:fill="auto"/>
                  <w:noWrap w:val="0"/>
                  <w:vAlign w:val="center"/>
                </w:tcPr>
                <w:p>
                  <w:pPr>
                    <w:pStyle w:val="28"/>
                    <w:keepNext w:val="0"/>
                    <w:keepLines w:val="0"/>
                    <w:widowControl/>
                    <w:suppressLineNumbers w:val="0"/>
                    <w:bidi w:val="0"/>
                    <w:spacing w:before="0" w:beforeAutospacing="0" w:after="0" w:afterAutospacing="0"/>
                    <w:ind w:left="0" w:right="0"/>
                    <w:rPr>
                      <w:rFonts w:hint="eastAsia" w:ascii="Times New Roman" w:hAnsi="Times New Roman" w:eastAsia="宋体"/>
                      <w:color w:val="auto"/>
                      <w:kern w:val="2"/>
                      <w:sz w:val="21"/>
                      <w:lang w:val="en-US" w:eastAsia="zh-CN"/>
                    </w:rPr>
                  </w:pPr>
                  <w:r>
                    <w:rPr>
                      <w:rFonts w:hint="default" w:ascii="Times New Roman" w:hAnsi="Times New Roman" w:eastAsia="宋体"/>
                      <w:color w:val="auto"/>
                      <w:kern w:val="2"/>
                      <w:sz w:val="21"/>
                      <w:lang w:val="en-US" w:eastAsia="zh-CN"/>
                    </w:rPr>
                    <w:t>35°</w:t>
                  </w:r>
                  <w:r>
                    <w:rPr>
                      <w:rFonts w:hint="eastAsia" w:ascii="Times New Roman" w:hAnsi="Times New Roman" w:eastAsia="宋体"/>
                      <w:color w:val="auto"/>
                      <w:kern w:val="2"/>
                      <w:sz w:val="21"/>
                      <w:lang w:val="en-US" w:eastAsia="zh-CN"/>
                    </w:rPr>
                    <w:t>17</w:t>
                  </w:r>
                  <w:r>
                    <w:rPr>
                      <w:rFonts w:hint="default" w:ascii="Times New Roman" w:hAnsi="Times New Roman" w:eastAsia="宋体"/>
                      <w:color w:val="auto"/>
                      <w:kern w:val="2"/>
                      <w:sz w:val="21"/>
                      <w:lang w:val="en-US" w:eastAsia="zh-CN"/>
                    </w:rPr>
                    <w:t>′</w:t>
                  </w:r>
                  <w:r>
                    <w:rPr>
                      <w:rFonts w:hint="eastAsia"/>
                      <w:color w:val="auto"/>
                      <w:kern w:val="2"/>
                      <w:sz w:val="21"/>
                      <w:lang w:val="en-US" w:eastAsia="zh-CN"/>
                    </w:rPr>
                    <w:t>42.37</w:t>
                  </w:r>
                  <w:r>
                    <w:rPr>
                      <w:rFonts w:hint="default" w:ascii="Times New Roman" w:hAnsi="Times New Roman" w:eastAsia="宋体"/>
                      <w:color w:val="auto"/>
                      <w:kern w:val="2"/>
                      <w:sz w:val="21"/>
                      <w:lang w:val="en-US"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2" w:type="pct"/>
                  <w:gridSpan w:val="2"/>
                  <w:tcBorders>
                    <w:tl2br w:val="nil"/>
                    <w:tr2bl w:val="nil"/>
                  </w:tcBorders>
                  <w:shd w:val="clear" w:color="auto" w:fill="auto"/>
                  <w:noWrap w:val="0"/>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lang w:val="en-US" w:eastAsia="zh-CN"/>
                    </w:rPr>
                  </w:pPr>
                  <w:r>
                    <w:rPr>
                      <w:rFonts w:hint="default"/>
                      <w:color w:val="auto"/>
                      <w:kern w:val="2"/>
                      <w:sz w:val="21"/>
                    </w:rPr>
                    <w:t>排气筒高度/m</w:t>
                  </w:r>
                </w:p>
              </w:tc>
              <w:tc>
                <w:tcPr>
                  <w:tcW w:w="3517" w:type="pct"/>
                  <w:tcBorders>
                    <w:tl2br w:val="nil"/>
                    <w:tr2bl w:val="nil"/>
                  </w:tcBorders>
                  <w:shd w:val="clear" w:color="auto" w:fill="auto"/>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eastAsia="宋体"/>
                      <w:color w:val="auto"/>
                      <w:kern w:val="2"/>
                      <w:sz w:val="21"/>
                      <w:lang w:val="en-US" w:eastAsia="zh-CN"/>
                    </w:rPr>
                  </w:pPr>
                  <w:r>
                    <w:rPr>
                      <w:rFonts w:hint="eastAsia" w:ascii="Times New Roman" w:hAnsi="Times New Roman" w:eastAsia="宋体"/>
                      <w:color w:val="auto"/>
                      <w:kern w:val="2"/>
                      <w:sz w:val="21"/>
                      <w:lang w:val="en-US" w:eastAsia="zh-CN"/>
                    </w:rPr>
                    <w:t>15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482" w:type="pct"/>
                  <w:gridSpan w:val="2"/>
                  <w:tcBorders>
                    <w:tl2br w:val="nil"/>
                    <w:tr2bl w:val="nil"/>
                  </w:tcBorders>
                  <w:shd w:val="clear" w:color="auto" w:fill="auto"/>
                  <w:noWrap w:val="0"/>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lang w:val="en-US" w:eastAsia="zh-CN"/>
                    </w:rPr>
                  </w:pPr>
                  <w:r>
                    <w:rPr>
                      <w:rFonts w:hint="default"/>
                      <w:color w:val="auto"/>
                      <w:kern w:val="2"/>
                      <w:sz w:val="21"/>
                    </w:rPr>
                    <w:t>出口内径/m</w:t>
                  </w:r>
                </w:p>
              </w:tc>
              <w:tc>
                <w:tcPr>
                  <w:tcW w:w="3517" w:type="pct"/>
                  <w:tcBorders>
                    <w:tl2br w:val="nil"/>
                    <w:tr2bl w:val="nil"/>
                  </w:tcBorders>
                  <w:shd w:val="clear" w:color="auto" w:fill="auto"/>
                  <w:noWrap w:val="0"/>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lang w:val="en-US" w:eastAsia="zh-CN"/>
                    </w:rPr>
                  </w:pPr>
                  <w:r>
                    <w:rPr>
                      <w:rFonts w:hint="eastAsia"/>
                      <w:color w:val="auto"/>
                      <w:kern w:val="2"/>
                      <w:sz w:val="21"/>
                      <w:lang w:val="en-US" w:eastAsia="zh-CN"/>
                    </w:rPr>
                    <w:t>0.2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482" w:type="pct"/>
                  <w:gridSpan w:val="2"/>
                  <w:tcBorders>
                    <w:tl2br w:val="nil"/>
                    <w:tr2bl w:val="nil"/>
                  </w:tcBorders>
                  <w:shd w:val="clear" w:color="auto" w:fill="auto"/>
                  <w:noWrap w:val="0"/>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lang w:val="en-US" w:eastAsia="zh-CN"/>
                    </w:rPr>
                  </w:pPr>
                  <w:r>
                    <w:rPr>
                      <w:rFonts w:hint="eastAsia"/>
                      <w:color w:val="auto"/>
                      <w:kern w:val="2"/>
                      <w:sz w:val="21"/>
                    </w:rPr>
                    <w:t>类型</w:t>
                  </w:r>
                </w:p>
              </w:tc>
              <w:tc>
                <w:tcPr>
                  <w:tcW w:w="3517" w:type="pct"/>
                  <w:tcBorders>
                    <w:tl2br w:val="nil"/>
                    <w:tr2bl w:val="nil"/>
                  </w:tcBorders>
                  <w:shd w:val="clear" w:color="auto" w:fill="auto"/>
                  <w:noWrap w:val="0"/>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lang w:val="en-US" w:eastAsia="zh-CN"/>
                    </w:rPr>
                  </w:pPr>
                  <w:r>
                    <w:rPr>
                      <w:rFonts w:hint="eastAsia"/>
                      <w:color w:val="auto"/>
                      <w:kern w:val="2"/>
                      <w:sz w:val="21"/>
                    </w:rPr>
                    <w:t>一般排放口</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482" w:type="pct"/>
                  <w:gridSpan w:val="2"/>
                  <w:tcBorders>
                    <w:tl2br w:val="nil"/>
                    <w:tr2bl w:val="nil"/>
                  </w:tcBorders>
                  <w:shd w:val="clear" w:color="auto" w:fill="auto"/>
                  <w:noWrap w:val="0"/>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lang w:val="en-US" w:eastAsia="zh-CN"/>
                    </w:rPr>
                  </w:pPr>
                  <w:r>
                    <w:rPr>
                      <w:rFonts w:hint="default"/>
                      <w:color w:val="auto"/>
                      <w:kern w:val="2"/>
                      <w:sz w:val="21"/>
                    </w:rPr>
                    <w:t>烟气温度/℃</w:t>
                  </w:r>
                </w:p>
              </w:tc>
              <w:tc>
                <w:tcPr>
                  <w:tcW w:w="3517" w:type="pct"/>
                  <w:tcBorders>
                    <w:tl2br w:val="nil"/>
                    <w:tr2bl w:val="nil"/>
                  </w:tcBorders>
                  <w:shd w:val="clear" w:color="auto" w:fill="auto"/>
                  <w:noWrap w:val="0"/>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lang w:val="en-US" w:eastAsia="zh-CN"/>
                    </w:rPr>
                  </w:pPr>
                  <w:r>
                    <w:rPr>
                      <w:rFonts w:hint="eastAsia"/>
                      <w:color w:val="auto"/>
                      <w:kern w:val="2"/>
                      <w:sz w:val="21"/>
                      <w:lang w:val="en-US" w:eastAsia="zh-CN"/>
                    </w:rPr>
                    <w:t>20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482" w:type="pct"/>
                  <w:gridSpan w:val="2"/>
                  <w:tcBorders>
                    <w:tl2br w:val="nil"/>
                    <w:tr2bl w:val="nil"/>
                  </w:tcBorders>
                  <w:shd w:val="clear" w:color="auto" w:fill="auto"/>
                  <w:noWrap w:val="0"/>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lang w:val="en-US" w:eastAsia="zh-CN"/>
                    </w:rPr>
                  </w:pPr>
                  <w:r>
                    <w:rPr>
                      <w:rFonts w:hint="default"/>
                      <w:color w:val="auto"/>
                      <w:kern w:val="2"/>
                      <w:sz w:val="21"/>
                    </w:rPr>
                    <w:t>排放污染物</w:t>
                  </w:r>
                </w:p>
              </w:tc>
              <w:tc>
                <w:tcPr>
                  <w:tcW w:w="3517" w:type="pct"/>
                  <w:tcBorders>
                    <w:tl2br w:val="nil"/>
                    <w:tr2bl w:val="nil"/>
                  </w:tcBorders>
                  <w:shd w:val="clear" w:color="auto" w:fill="auto"/>
                  <w:noWrap w:val="0"/>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lang w:val="en-US" w:eastAsia="zh-CN"/>
                    </w:rPr>
                  </w:pPr>
                  <w:r>
                    <w:rPr>
                      <w:rFonts w:hint="eastAsia"/>
                      <w:color w:val="auto"/>
                      <w:kern w:val="2"/>
                      <w:sz w:val="21"/>
                      <w:lang w:val="en-US" w:eastAsia="zh-CN"/>
                    </w:rPr>
                    <w:t>硫酸雾</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482" w:type="pct"/>
                  <w:gridSpan w:val="2"/>
                  <w:tcBorders>
                    <w:tl2br w:val="nil"/>
                    <w:tr2bl w:val="nil"/>
                  </w:tcBorders>
                  <w:shd w:val="clear" w:color="auto" w:fill="auto"/>
                  <w:noWrap w:val="0"/>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lang w:val="en-US" w:eastAsia="zh-CN"/>
                    </w:rPr>
                  </w:pPr>
                  <w:r>
                    <w:rPr>
                      <w:rFonts w:hint="default"/>
                      <w:color w:val="auto"/>
                      <w:kern w:val="2"/>
                      <w:sz w:val="21"/>
                    </w:rPr>
                    <w:t>执行标准</w:t>
                  </w:r>
                </w:p>
              </w:tc>
              <w:tc>
                <w:tcPr>
                  <w:tcW w:w="3517" w:type="pct"/>
                  <w:tcBorders>
                    <w:tl2br w:val="nil"/>
                    <w:tr2bl w:val="nil"/>
                  </w:tcBorders>
                  <w:shd w:val="clear" w:color="auto" w:fill="auto"/>
                  <w:noWrap w:val="0"/>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lang w:val="en-US" w:eastAsia="zh-CN"/>
                    </w:rPr>
                  </w:pPr>
                  <w:r>
                    <w:rPr>
                      <w:rFonts w:hint="eastAsia"/>
                      <w:color w:val="auto"/>
                      <w:kern w:val="2"/>
                      <w:sz w:val="21"/>
                      <w:lang w:val="en-US" w:eastAsia="zh-CN"/>
                    </w:rPr>
                    <w:t>《大气污染物综合排放标准》</w:t>
                  </w:r>
                  <w:r>
                    <w:rPr>
                      <w:rFonts w:hint="default"/>
                      <w:color w:val="auto"/>
                      <w:kern w:val="2"/>
                      <w:sz w:val="21"/>
                      <w:lang w:val="en-US" w:eastAsia="zh-CN"/>
                    </w:rPr>
                    <w:t>(GB16279-1996)</w:t>
                  </w:r>
                </w:p>
              </w:tc>
            </w:tr>
          </w:tbl>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jc w:val="left"/>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（2）本项目污染物排放量分析</w:t>
            </w:r>
          </w:p>
          <w:p>
            <w:pPr>
              <w:keepNext w:val="0"/>
              <w:keepLines w:val="0"/>
              <w:suppressLineNumbers w:val="0"/>
              <w:bidi w:val="0"/>
              <w:spacing w:before="0" w:beforeAutospacing="0" w:after="0" w:afterAutospacing="0" w:line="360" w:lineRule="auto"/>
              <w:ind w:left="0" w:right="0" w:firstLine="480" w:firstLineChars="200"/>
              <w:jc w:val="left"/>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本项目污染物排放情况见下表。</w:t>
            </w:r>
          </w:p>
          <w:p>
            <w:pPr>
              <w:keepNext w:val="0"/>
              <w:keepLines w:val="0"/>
              <w:suppressLineNumbers w:val="0"/>
              <w:spacing w:before="0" w:beforeAutospacing="0" w:after="0" w:afterAutospacing="0"/>
              <w:ind w:left="0" w:right="0"/>
              <w:rPr>
                <w:rFonts w:hint="eastAsia"/>
                <w:color w:val="auto"/>
              </w:rPr>
            </w:pPr>
          </w:p>
          <w:p>
            <w:pPr>
              <w:keepNext w:val="0"/>
              <w:keepLines w:val="0"/>
              <w:suppressLineNumbers w:val="0"/>
              <w:spacing w:before="0" w:beforeAutospacing="0" w:after="0" w:afterAutospacing="0"/>
              <w:ind w:left="0" w:right="0"/>
              <w:rPr>
                <w:rFonts w:hint="eastAsia"/>
                <w:color w:val="auto"/>
              </w:rPr>
            </w:pPr>
          </w:p>
          <w:p>
            <w:pPr>
              <w:keepNext w:val="0"/>
              <w:keepLines w:val="0"/>
              <w:suppressLineNumbers w:val="0"/>
              <w:spacing w:before="0" w:beforeAutospacing="0" w:after="0" w:afterAutospacing="0"/>
              <w:ind w:left="0" w:right="0"/>
              <w:rPr>
                <w:rFonts w:hint="eastAsia"/>
                <w:color w:val="auto"/>
              </w:rPr>
            </w:pPr>
          </w:p>
          <w:p>
            <w:pPr>
              <w:keepNext w:val="0"/>
              <w:keepLines w:val="0"/>
              <w:suppressLineNumbers w:val="0"/>
              <w:spacing w:before="0" w:beforeAutospacing="0" w:after="0" w:afterAutospacing="0"/>
              <w:ind w:left="0" w:right="0"/>
              <w:rPr>
                <w:rFonts w:hint="eastAsia"/>
                <w:color w:val="auto"/>
              </w:rPr>
            </w:pPr>
          </w:p>
          <w:p>
            <w:pPr>
              <w:keepNext w:val="0"/>
              <w:keepLines w:val="0"/>
              <w:suppressLineNumbers w:val="0"/>
              <w:spacing w:before="0" w:beforeAutospacing="0" w:after="0" w:afterAutospacing="0"/>
              <w:ind w:left="0" w:right="0"/>
              <w:rPr>
                <w:rFonts w:hint="eastAsia"/>
                <w:color w:val="auto"/>
              </w:rPr>
            </w:pPr>
          </w:p>
          <w:p>
            <w:pPr>
              <w:keepNext w:val="0"/>
              <w:keepLines w:val="0"/>
              <w:suppressLineNumbers w:val="0"/>
              <w:spacing w:before="0" w:beforeAutospacing="0" w:after="0" w:afterAutospacing="0"/>
              <w:ind w:left="0" w:right="0"/>
              <w:rPr>
                <w:rFonts w:hint="eastAsia"/>
                <w:color w:val="auto"/>
              </w:rPr>
            </w:pPr>
          </w:p>
          <w:p>
            <w:pPr>
              <w:keepNext w:val="0"/>
              <w:keepLines w:val="0"/>
              <w:suppressLineNumbers w:val="0"/>
              <w:spacing w:before="0" w:beforeAutospacing="0" w:after="0" w:afterAutospacing="0"/>
              <w:ind w:left="0" w:right="0"/>
              <w:rPr>
                <w:rFonts w:hint="eastAsia"/>
                <w:color w:val="auto"/>
              </w:rPr>
            </w:pPr>
          </w:p>
          <w:p>
            <w:pPr>
              <w:keepNext w:val="0"/>
              <w:keepLines w:val="0"/>
              <w:suppressLineNumbers w:val="0"/>
              <w:spacing w:before="0" w:beforeAutospacing="0" w:after="0" w:afterAutospacing="0"/>
              <w:ind w:left="0" w:right="0"/>
              <w:rPr>
                <w:rFonts w:hint="eastAsia"/>
                <w:color w:val="auto"/>
              </w:rPr>
            </w:pPr>
          </w:p>
          <w:p>
            <w:pPr>
              <w:keepNext w:val="0"/>
              <w:keepLines w:val="0"/>
              <w:suppressLineNumbers w:val="0"/>
              <w:spacing w:before="0" w:beforeAutospacing="0" w:after="0" w:afterAutospacing="0"/>
              <w:ind w:left="0" w:right="0"/>
              <w:rPr>
                <w:rFonts w:hint="eastAsia"/>
                <w:color w:val="auto"/>
              </w:rPr>
            </w:pPr>
          </w:p>
          <w:p>
            <w:pPr>
              <w:keepNext w:val="0"/>
              <w:keepLines w:val="0"/>
              <w:suppressLineNumbers w:val="0"/>
              <w:spacing w:before="0" w:beforeAutospacing="0" w:after="0" w:afterAutospacing="0"/>
              <w:ind w:left="0" w:right="0"/>
              <w:rPr>
                <w:rFonts w:hint="eastAsia"/>
                <w:color w:val="auto"/>
              </w:rPr>
            </w:pPr>
          </w:p>
          <w:p>
            <w:pPr>
              <w:keepNext w:val="0"/>
              <w:keepLines w:val="0"/>
              <w:suppressLineNumbers w:val="0"/>
              <w:spacing w:before="0" w:beforeAutospacing="0" w:after="0" w:afterAutospacing="0"/>
              <w:ind w:left="0" w:right="0"/>
              <w:rPr>
                <w:rFonts w:hint="eastAsia"/>
                <w:color w:val="auto"/>
              </w:rPr>
            </w:pPr>
          </w:p>
          <w:p>
            <w:pPr>
              <w:keepNext w:val="0"/>
              <w:keepLines w:val="0"/>
              <w:suppressLineNumbers w:val="0"/>
              <w:spacing w:before="0" w:beforeAutospacing="0" w:after="0" w:afterAutospacing="0"/>
              <w:ind w:left="0" w:right="0"/>
              <w:rPr>
                <w:rFonts w:hint="eastAsia"/>
                <w:color w:val="auto"/>
              </w:rPr>
            </w:pPr>
          </w:p>
          <w:p>
            <w:pPr>
              <w:keepNext w:val="0"/>
              <w:keepLines w:val="0"/>
              <w:suppressLineNumbers w:val="0"/>
              <w:spacing w:before="0" w:beforeAutospacing="0" w:after="0" w:afterAutospacing="0"/>
              <w:ind w:left="0" w:right="0"/>
              <w:rPr>
                <w:rFonts w:hint="eastAsia"/>
                <w:color w:val="auto"/>
              </w:rPr>
            </w:pPr>
          </w:p>
          <w:p>
            <w:pPr>
              <w:keepNext w:val="0"/>
              <w:keepLines w:val="0"/>
              <w:suppressLineNumbers w:val="0"/>
              <w:spacing w:before="0" w:beforeAutospacing="0" w:after="0" w:afterAutospacing="0"/>
              <w:ind w:left="0" w:right="0"/>
              <w:rPr>
                <w:rFonts w:hint="eastAsia"/>
                <w:color w:val="auto"/>
              </w:rPr>
            </w:pPr>
          </w:p>
          <w:p>
            <w:pPr>
              <w:keepNext w:val="0"/>
              <w:keepLines w:val="0"/>
              <w:suppressLineNumbers w:val="0"/>
              <w:spacing w:before="0" w:beforeAutospacing="0" w:after="0" w:afterAutospacing="0"/>
              <w:ind w:left="0" w:right="0"/>
              <w:rPr>
                <w:rFonts w:hint="eastAsia"/>
                <w:color w:val="auto"/>
              </w:rPr>
            </w:pPr>
          </w:p>
          <w:p>
            <w:pPr>
              <w:keepNext w:val="0"/>
              <w:keepLines w:val="0"/>
              <w:suppressLineNumbers w:val="0"/>
              <w:spacing w:before="0" w:beforeAutospacing="0" w:after="0" w:afterAutospacing="0"/>
              <w:ind w:left="0" w:right="0"/>
              <w:rPr>
                <w:rFonts w:hint="eastAsia"/>
                <w:color w:val="auto"/>
              </w:rPr>
            </w:pPr>
          </w:p>
          <w:p>
            <w:pPr>
              <w:keepNext w:val="0"/>
              <w:keepLines w:val="0"/>
              <w:suppressLineNumbers w:val="0"/>
              <w:spacing w:before="0" w:beforeAutospacing="0" w:after="0" w:afterAutospacing="0"/>
              <w:ind w:left="0" w:right="0"/>
              <w:rPr>
                <w:rFonts w:hint="eastAsia"/>
                <w:color w:val="auto"/>
              </w:rPr>
            </w:pPr>
          </w:p>
          <w:p>
            <w:pPr>
              <w:keepNext w:val="0"/>
              <w:keepLines w:val="0"/>
              <w:suppressLineNumbers w:val="0"/>
              <w:spacing w:before="0" w:beforeAutospacing="0" w:after="0" w:afterAutospacing="0"/>
              <w:ind w:left="0" w:right="0"/>
              <w:rPr>
                <w:rFonts w:hint="eastAsia"/>
                <w:color w:val="auto"/>
              </w:rPr>
            </w:pPr>
          </w:p>
          <w:p>
            <w:pPr>
              <w:keepNext w:val="0"/>
              <w:keepLines w:val="0"/>
              <w:suppressLineNumbers w:val="0"/>
              <w:spacing w:before="0" w:beforeAutospacing="0" w:after="0" w:afterAutospacing="0"/>
              <w:ind w:left="0" w:right="0"/>
              <w:rPr>
                <w:rFonts w:hint="eastAsia"/>
                <w:color w:val="auto"/>
              </w:rPr>
            </w:pPr>
          </w:p>
          <w:p>
            <w:pPr>
              <w:keepNext w:val="0"/>
              <w:keepLines w:val="0"/>
              <w:suppressLineNumbers w:val="0"/>
              <w:spacing w:before="0" w:beforeAutospacing="0" w:after="0" w:afterAutospacing="0"/>
              <w:ind w:left="0" w:right="0"/>
              <w:rPr>
                <w:rFonts w:hint="eastAsia"/>
                <w:color w:val="auto"/>
              </w:rPr>
            </w:pPr>
          </w:p>
          <w:p>
            <w:pPr>
              <w:keepNext w:val="0"/>
              <w:keepLines w:val="0"/>
              <w:suppressLineNumbers w:val="0"/>
              <w:spacing w:before="0" w:beforeAutospacing="0" w:after="0" w:afterAutospacing="0"/>
              <w:ind w:left="0" w:right="0"/>
              <w:rPr>
                <w:rFonts w:hint="eastAsia"/>
                <w:color w:val="auto"/>
              </w:rPr>
            </w:pPr>
          </w:p>
          <w:p>
            <w:pPr>
              <w:keepNext w:val="0"/>
              <w:keepLines w:val="0"/>
              <w:suppressLineNumbers w:val="0"/>
              <w:spacing w:before="0" w:beforeAutospacing="0" w:after="0" w:afterAutospacing="0"/>
              <w:ind w:left="0" w:right="0"/>
              <w:rPr>
                <w:rFonts w:hint="eastAsia"/>
                <w:color w:val="auto"/>
              </w:rPr>
            </w:pPr>
          </w:p>
          <w:p>
            <w:pPr>
              <w:keepNext w:val="0"/>
              <w:keepLines w:val="0"/>
              <w:suppressLineNumbers w:val="0"/>
              <w:spacing w:before="0" w:beforeAutospacing="0" w:after="0" w:afterAutospacing="0"/>
              <w:ind w:left="0" w:right="0"/>
              <w:rPr>
                <w:rFonts w:hint="eastAsia"/>
                <w:color w:val="auto"/>
              </w:rPr>
            </w:pPr>
          </w:p>
          <w:p>
            <w:pPr>
              <w:keepNext w:val="0"/>
              <w:keepLines w:val="0"/>
              <w:suppressLineNumbers w:val="0"/>
              <w:spacing w:before="0" w:beforeAutospacing="0" w:after="0" w:afterAutospacing="0"/>
              <w:ind w:left="0" w:right="0"/>
              <w:rPr>
                <w:rFonts w:hint="eastAsia" w:eastAsia="宋体"/>
                <w:color w:val="auto"/>
                <w:lang w:eastAsia="zh-CN"/>
              </w:rPr>
            </w:pPr>
          </w:p>
        </w:tc>
      </w:tr>
    </w:tbl>
    <w:p>
      <w:pPr>
        <w:rPr>
          <w:color w:val="auto"/>
        </w:rPr>
        <w:sectPr>
          <w:pgSz w:w="11906" w:h="16838"/>
          <w:pgMar w:top="1701" w:right="1531" w:bottom="1701" w:left="1531" w:header="851" w:footer="1191" w:gutter="0"/>
          <w:pgBorders>
            <w:top w:val="none" w:sz="0" w:space="0"/>
            <w:left w:val="none" w:sz="0" w:space="0"/>
            <w:bottom w:val="none" w:sz="0" w:space="0"/>
            <w:right w:val="none" w:sz="0" w:space="0"/>
          </w:pgBorders>
          <w:pgNumType w:fmt="decimal"/>
          <w:cols w:space="720" w:num="1"/>
          <w:docGrid w:linePitch="312" w:charSpace="0"/>
        </w:sectPr>
      </w:pP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2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8" w:hRule="atLeast"/>
        </w:trPr>
        <w:tc>
          <w:tcPr>
            <w:tcW w:w="759" w:type="dxa"/>
          </w:tcPr>
          <w:p>
            <w:pPr>
              <w:keepNext w:val="0"/>
              <w:keepLines w:val="0"/>
              <w:suppressLineNumbers w:val="0"/>
              <w:spacing w:before="0" w:beforeAutospacing="0" w:after="0" w:afterAutospacing="0"/>
              <w:ind w:left="0" w:right="0"/>
              <w:rPr>
                <w:color w:val="auto"/>
              </w:rPr>
            </w:pPr>
          </w:p>
        </w:tc>
        <w:tc>
          <w:tcPr>
            <w:tcW w:w="12893" w:type="dxa"/>
          </w:tcPr>
          <w:p>
            <w:pPr>
              <w:pStyle w:val="12"/>
              <w:keepNext w:val="0"/>
              <w:keepLines w:val="0"/>
              <w:suppressLineNumbers w:val="0"/>
              <w:bidi w:val="0"/>
              <w:spacing w:before="0" w:beforeAutospacing="0" w:after="0" w:afterAutospacing="0"/>
              <w:ind w:left="0" w:right="0"/>
              <w:rPr>
                <w:rFonts w:hint="eastAsia"/>
                <w:color w:val="auto"/>
              </w:rPr>
            </w:pPr>
            <w:r>
              <w:rPr>
                <w:rFonts w:hint="default"/>
                <w:color w:val="auto"/>
              </w:rPr>
              <w:t>表</w:t>
            </w:r>
            <w:r>
              <w:rPr>
                <w:rFonts w:hint="eastAsia"/>
                <w:color w:val="auto"/>
                <w:lang w:val="en-US" w:eastAsia="zh-CN"/>
              </w:rPr>
              <w:t xml:space="preserve"> 4-4    </w:t>
            </w:r>
            <w:r>
              <w:rPr>
                <w:rFonts w:hint="default"/>
                <w:color w:val="auto"/>
              </w:rPr>
              <w:t>本项目</w:t>
            </w:r>
            <w:r>
              <w:rPr>
                <w:rFonts w:hint="eastAsia"/>
                <w:color w:val="auto"/>
              </w:rPr>
              <w:t>污染源排放基本情况一览表</w:t>
            </w:r>
          </w:p>
          <w:tbl>
            <w:tblPr>
              <w:tblStyle w:val="22"/>
              <w:tblW w:w="0" w:type="auto"/>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58"/>
              <w:gridCol w:w="615"/>
              <w:gridCol w:w="925"/>
              <w:gridCol w:w="757"/>
              <w:gridCol w:w="835"/>
              <w:gridCol w:w="611"/>
              <w:gridCol w:w="646"/>
              <w:gridCol w:w="648"/>
              <w:gridCol w:w="838"/>
              <w:gridCol w:w="1004"/>
              <w:gridCol w:w="1101"/>
              <w:gridCol w:w="990"/>
              <w:gridCol w:w="960"/>
              <w:gridCol w:w="936"/>
              <w:gridCol w:w="105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58" w:type="dxa"/>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b/>
                      <w:bCs/>
                      <w:color w:val="auto"/>
                      <w:kern w:val="2"/>
                      <w:sz w:val="21"/>
                      <w:lang w:val="en-US" w:eastAsia="zh-CN"/>
                    </w:rPr>
                  </w:pPr>
                  <w:bookmarkStart w:id="211" w:name="OLE_LINK199" w:colFirst="13" w:colLast="14"/>
                  <w:r>
                    <w:rPr>
                      <w:rFonts w:hint="default" w:ascii="Times New Roman" w:hAnsi="Times New Roman" w:cs="Times New Roman"/>
                      <w:b/>
                      <w:bCs/>
                      <w:color w:val="auto"/>
                      <w:kern w:val="2"/>
                      <w:sz w:val="21"/>
                      <w:lang w:val="en-US" w:eastAsia="zh-CN"/>
                    </w:rPr>
                    <w:t>产污</w:t>
                  </w:r>
                </w:p>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b/>
                      <w:bCs/>
                      <w:color w:val="auto"/>
                      <w:kern w:val="2"/>
                      <w:sz w:val="21"/>
                      <w:lang w:val="en-US" w:eastAsia="zh-CN"/>
                    </w:rPr>
                  </w:pPr>
                  <w:r>
                    <w:rPr>
                      <w:rFonts w:hint="default" w:ascii="Times New Roman" w:hAnsi="Times New Roman" w:cs="Times New Roman"/>
                      <w:b/>
                      <w:bCs/>
                      <w:color w:val="auto"/>
                      <w:kern w:val="2"/>
                      <w:sz w:val="21"/>
                      <w:lang w:val="en-US" w:eastAsia="zh-CN"/>
                    </w:rPr>
                    <w:t>环节</w:t>
                  </w:r>
                </w:p>
              </w:tc>
              <w:tc>
                <w:tcPr>
                  <w:tcW w:w="615" w:type="dxa"/>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b/>
                      <w:bCs/>
                      <w:color w:val="auto"/>
                      <w:kern w:val="2"/>
                      <w:sz w:val="21"/>
                      <w:lang w:val="en-US" w:eastAsia="zh-CN"/>
                    </w:rPr>
                  </w:pPr>
                  <w:bookmarkStart w:id="212" w:name="OLE_LINK197"/>
                  <w:r>
                    <w:rPr>
                      <w:rFonts w:hint="default" w:ascii="Times New Roman" w:hAnsi="Times New Roman" w:cs="Times New Roman"/>
                      <w:b/>
                      <w:bCs/>
                      <w:color w:val="auto"/>
                      <w:kern w:val="2"/>
                      <w:sz w:val="21"/>
                      <w:lang w:val="en-US" w:eastAsia="zh-CN"/>
                    </w:rPr>
                    <w:t>污染物</w:t>
                  </w:r>
                  <w:bookmarkEnd w:id="212"/>
                </w:p>
              </w:tc>
              <w:tc>
                <w:tcPr>
                  <w:tcW w:w="925" w:type="dxa"/>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b/>
                      <w:bCs/>
                      <w:color w:val="auto"/>
                      <w:kern w:val="2"/>
                      <w:sz w:val="21"/>
                      <w:lang w:val="en-US" w:eastAsia="zh-CN"/>
                    </w:rPr>
                  </w:pPr>
                  <w:r>
                    <w:rPr>
                      <w:rFonts w:hint="default" w:ascii="Times New Roman" w:hAnsi="Times New Roman" w:cs="Times New Roman"/>
                      <w:b/>
                      <w:bCs/>
                      <w:color w:val="auto"/>
                      <w:kern w:val="2"/>
                      <w:sz w:val="21"/>
                      <w:lang w:val="en-US" w:eastAsia="zh-CN"/>
                    </w:rPr>
                    <w:t>总产生量(</w:t>
                  </w:r>
                  <w:r>
                    <w:rPr>
                      <w:rFonts w:hint="default" w:ascii="Times New Roman" w:hAnsi="Times New Roman" w:cs="Times New Roman"/>
                      <w:b/>
                      <w:bCs/>
                      <w:color w:val="auto"/>
                      <w:kern w:val="2"/>
                      <w:sz w:val="21"/>
                    </w:rPr>
                    <w:t>t/a</w:t>
                  </w:r>
                  <w:r>
                    <w:rPr>
                      <w:rFonts w:hint="default" w:ascii="Times New Roman" w:hAnsi="Times New Roman" w:cs="Times New Roman"/>
                      <w:b/>
                      <w:bCs/>
                      <w:color w:val="auto"/>
                      <w:kern w:val="2"/>
                      <w:sz w:val="21"/>
                      <w:lang w:val="en-US" w:eastAsia="zh-CN"/>
                    </w:rPr>
                    <w:t>)</w:t>
                  </w:r>
                </w:p>
              </w:tc>
              <w:tc>
                <w:tcPr>
                  <w:tcW w:w="757" w:type="dxa"/>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b/>
                      <w:bCs/>
                      <w:color w:val="auto"/>
                      <w:kern w:val="2"/>
                      <w:sz w:val="21"/>
                      <w:lang w:val="en-US" w:eastAsia="zh-CN"/>
                    </w:rPr>
                  </w:pPr>
                  <w:bookmarkStart w:id="213" w:name="OLE_LINK198"/>
                  <w:r>
                    <w:rPr>
                      <w:rFonts w:hint="default" w:ascii="Times New Roman" w:hAnsi="Times New Roman" w:cs="Times New Roman"/>
                      <w:b/>
                      <w:bCs/>
                      <w:color w:val="auto"/>
                      <w:kern w:val="2"/>
                      <w:sz w:val="21"/>
                      <w:lang w:val="en-US" w:eastAsia="zh-CN"/>
                    </w:rPr>
                    <w:t>排放源</w:t>
                  </w:r>
                  <w:bookmarkEnd w:id="213"/>
                </w:p>
              </w:tc>
              <w:tc>
                <w:tcPr>
                  <w:tcW w:w="835" w:type="dxa"/>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b/>
                      <w:bCs/>
                      <w:color w:val="auto"/>
                      <w:kern w:val="2"/>
                      <w:sz w:val="21"/>
                      <w:lang w:val="en-US" w:eastAsia="zh-CN"/>
                    </w:rPr>
                  </w:pPr>
                  <w:r>
                    <w:rPr>
                      <w:rFonts w:hint="default" w:ascii="Times New Roman" w:hAnsi="Times New Roman" w:cs="Times New Roman"/>
                      <w:b/>
                      <w:bCs/>
                      <w:color w:val="auto"/>
                      <w:kern w:val="2"/>
                      <w:sz w:val="21"/>
                      <w:lang w:val="en-US" w:eastAsia="zh-CN"/>
                    </w:rPr>
                    <w:t>编号</w:t>
                  </w:r>
                </w:p>
              </w:tc>
              <w:tc>
                <w:tcPr>
                  <w:tcW w:w="611" w:type="dxa"/>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b/>
                      <w:bCs/>
                      <w:color w:val="auto"/>
                      <w:kern w:val="2"/>
                      <w:sz w:val="21"/>
                      <w:lang w:val="en-US" w:eastAsia="zh-CN"/>
                    </w:rPr>
                  </w:pPr>
                  <w:r>
                    <w:rPr>
                      <w:rFonts w:hint="default" w:ascii="Times New Roman" w:hAnsi="Times New Roman" w:cs="Times New Roman"/>
                      <w:b/>
                      <w:bCs/>
                      <w:color w:val="auto"/>
                      <w:kern w:val="2"/>
                      <w:sz w:val="21"/>
                      <w:lang w:val="en-US" w:eastAsia="zh-CN"/>
                    </w:rPr>
                    <w:t>收集</w:t>
                  </w:r>
                </w:p>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b/>
                      <w:bCs/>
                      <w:color w:val="auto"/>
                      <w:kern w:val="2"/>
                      <w:sz w:val="21"/>
                      <w:lang w:val="en-US" w:eastAsia="zh-CN"/>
                    </w:rPr>
                  </w:pPr>
                  <w:r>
                    <w:rPr>
                      <w:rFonts w:hint="default" w:ascii="Times New Roman" w:hAnsi="Times New Roman" w:cs="Times New Roman"/>
                      <w:b/>
                      <w:bCs/>
                      <w:color w:val="auto"/>
                      <w:kern w:val="2"/>
                      <w:sz w:val="21"/>
                      <w:lang w:val="en-US" w:eastAsia="zh-CN"/>
                    </w:rPr>
                    <w:t>效率</w:t>
                  </w:r>
                </w:p>
              </w:tc>
              <w:tc>
                <w:tcPr>
                  <w:tcW w:w="646" w:type="dxa"/>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b/>
                      <w:bCs/>
                      <w:color w:val="auto"/>
                      <w:kern w:val="2"/>
                      <w:sz w:val="21"/>
                      <w:lang w:val="en-US" w:eastAsia="zh-CN"/>
                    </w:rPr>
                  </w:pPr>
                  <w:r>
                    <w:rPr>
                      <w:rFonts w:hint="default" w:ascii="Times New Roman" w:hAnsi="Times New Roman" w:cs="Times New Roman"/>
                      <w:b/>
                      <w:bCs/>
                      <w:color w:val="auto"/>
                      <w:kern w:val="2"/>
                      <w:sz w:val="21"/>
                      <w:lang w:val="en-US" w:eastAsia="zh-CN"/>
                    </w:rPr>
                    <w:t>治理工艺</w:t>
                  </w:r>
                </w:p>
              </w:tc>
              <w:tc>
                <w:tcPr>
                  <w:tcW w:w="648" w:type="dxa"/>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b/>
                      <w:bCs/>
                      <w:color w:val="auto"/>
                      <w:kern w:val="2"/>
                      <w:sz w:val="21"/>
                      <w:lang w:val="en-US" w:eastAsia="zh-CN"/>
                    </w:rPr>
                  </w:pPr>
                  <w:r>
                    <w:rPr>
                      <w:rFonts w:hint="default" w:ascii="Times New Roman" w:hAnsi="Times New Roman" w:cs="Times New Roman"/>
                      <w:b/>
                      <w:bCs/>
                      <w:color w:val="auto"/>
                      <w:kern w:val="2"/>
                      <w:sz w:val="21"/>
                      <w:lang w:val="en-US" w:eastAsia="zh-CN"/>
                    </w:rPr>
                    <w:t>是否可行性</w:t>
                  </w:r>
                </w:p>
              </w:tc>
              <w:tc>
                <w:tcPr>
                  <w:tcW w:w="838" w:type="dxa"/>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b/>
                      <w:bCs/>
                      <w:color w:val="auto"/>
                      <w:kern w:val="2"/>
                      <w:sz w:val="21"/>
                      <w:lang w:val="en-US" w:eastAsia="zh-CN"/>
                    </w:rPr>
                  </w:pPr>
                  <w:r>
                    <w:rPr>
                      <w:rFonts w:hint="default" w:ascii="Times New Roman" w:hAnsi="Times New Roman" w:cs="Times New Roman"/>
                      <w:b/>
                      <w:bCs/>
                      <w:color w:val="auto"/>
                      <w:kern w:val="2"/>
                      <w:sz w:val="21"/>
                      <w:lang w:val="en-US" w:eastAsia="zh-CN"/>
                    </w:rPr>
                    <w:t>治理效率</w:t>
                  </w:r>
                </w:p>
              </w:tc>
              <w:tc>
                <w:tcPr>
                  <w:tcW w:w="1004" w:type="dxa"/>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b/>
                      <w:bCs/>
                      <w:color w:val="auto"/>
                      <w:kern w:val="2"/>
                      <w:sz w:val="21"/>
                      <w:lang w:val="en-US" w:eastAsia="zh-CN"/>
                    </w:rPr>
                  </w:pPr>
                  <w:bookmarkStart w:id="214" w:name="OLE_LINK189"/>
                  <w:bookmarkStart w:id="215" w:name="OLE_LINK190"/>
                  <w:r>
                    <w:rPr>
                      <w:rFonts w:hint="eastAsia" w:cs="Times New Roman"/>
                      <w:b/>
                      <w:bCs/>
                      <w:color w:val="auto"/>
                      <w:kern w:val="2"/>
                      <w:sz w:val="21"/>
                      <w:lang w:val="en-US" w:eastAsia="zh-CN"/>
                    </w:rPr>
                    <w:t>有组织</w:t>
                  </w:r>
                  <w:bookmarkEnd w:id="214"/>
                  <w:r>
                    <w:rPr>
                      <w:rFonts w:hint="eastAsia" w:cs="Times New Roman"/>
                      <w:b/>
                      <w:bCs/>
                      <w:color w:val="auto"/>
                      <w:kern w:val="2"/>
                      <w:sz w:val="21"/>
                      <w:lang w:val="en-US" w:eastAsia="zh-CN"/>
                    </w:rPr>
                    <w:t>收集</w:t>
                  </w:r>
                  <w:bookmarkEnd w:id="215"/>
                  <w:r>
                    <w:rPr>
                      <w:rFonts w:hint="eastAsia" w:cs="Times New Roman"/>
                      <w:b/>
                      <w:bCs/>
                      <w:color w:val="auto"/>
                      <w:kern w:val="2"/>
                      <w:sz w:val="21"/>
                      <w:lang w:val="en-US" w:eastAsia="zh-CN"/>
                    </w:rPr>
                    <w:t>量</w:t>
                  </w:r>
                  <w:r>
                    <w:rPr>
                      <w:rFonts w:hint="default" w:ascii="Times New Roman" w:hAnsi="Times New Roman" w:cs="Times New Roman"/>
                      <w:b/>
                      <w:bCs/>
                      <w:color w:val="auto"/>
                      <w:kern w:val="2"/>
                      <w:sz w:val="21"/>
                    </w:rPr>
                    <w:t>量</w:t>
                  </w:r>
                  <w:r>
                    <w:rPr>
                      <w:rFonts w:hint="default" w:ascii="Times New Roman" w:hAnsi="Times New Roman" w:cs="Times New Roman"/>
                      <w:b/>
                      <w:bCs/>
                      <w:color w:val="auto"/>
                      <w:kern w:val="2"/>
                      <w:sz w:val="21"/>
                      <w:lang w:val="en-US" w:eastAsia="zh-CN"/>
                    </w:rPr>
                    <w:t>(</w:t>
                  </w:r>
                  <w:r>
                    <w:rPr>
                      <w:rFonts w:hint="default" w:ascii="Times New Roman" w:hAnsi="Times New Roman" w:cs="Times New Roman"/>
                      <w:b/>
                      <w:bCs/>
                      <w:color w:val="auto"/>
                      <w:kern w:val="2"/>
                      <w:sz w:val="21"/>
                    </w:rPr>
                    <w:t>t/a</w:t>
                  </w:r>
                  <w:r>
                    <w:rPr>
                      <w:rFonts w:hint="default" w:ascii="Times New Roman" w:hAnsi="Times New Roman" w:cs="Times New Roman"/>
                      <w:b/>
                      <w:bCs/>
                      <w:color w:val="auto"/>
                      <w:kern w:val="2"/>
                      <w:sz w:val="21"/>
                      <w:lang w:val="en-US" w:eastAsia="zh-CN"/>
                    </w:rPr>
                    <w:t>)</w:t>
                  </w:r>
                </w:p>
              </w:tc>
              <w:tc>
                <w:tcPr>
                  <w:tcW w:w="1101" w:type="dxa"/>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b/>
                      <w:bCs/>
                      <w:color w:val="auto"/>
                      <w:kern w:val="2"/>
                      <w:sz w:val="21"/>
                    </w:rPr>
                  </w:pPr>
                  <w:r>
                    <w:rPr>
                      <w:rFonts w:hint="eastAsia" w:cs="Times New Roman"/>
                      <w:b/>
                      <w:bCs/>
                      <w:color w:val="auto"/>
                      <w:kern w:val="2"/>
                      <w:sz w:val="21"/>
                      <w:lang w:val="en-US" w:eastAsia="zh-CN"/>
                    </w:rPr>
                    <w:t>有组织收集</w:t>
                  </w:r>
                  <w:r>
                    <w:rPr>
                      <w:rFonts w:hint="default" w:ascii="Times New Roman" w:hAnsi="Times New Roman" w:cs="Times New Roman"/>
                      <w:b/>
                      <w:bCs/>
                      <w:color w:val="auto"/>
                      <w:kern w:val="2"/>
                      <w:sz w:val="21"/>
                    </w:rPr>
                    <w:t>速率</w:t>
                  </w:r>
                  <w:r>
                    <w:rPr>
                      <w:rFonts w:hint="default" w:ascii="Times New Roman" w:hAnsi="Times New Roman" w:cs="Times New Roman"/>
                      <w:b/>
                      <w:bCs/>
                      <w:color w:val="auto"/>
                      <w:kern w:val="2"/>
                      <w:sz w:val="21"/>
                      <w:lang w:val="en-US" w:eastAsia="zh-CN"/>
                    </w:rPr>
                    <w:t>(</w:t>
                  </w:r>
                  <w:r>
                    <w:rPr>
                      <w:rFonts w:hint="default" w:ascii="Times New Roman" w:hAnsi="Times New Roman" w:cs="Times New Roman"/>
                      <w:b/>
                      <w:bCs/>
                      <w:color w:val="auto"/>
                      <w:kern w:val="2"/>
                      <w:sz w:val="21"/>
                    </w:rPr>
                    <w:t>kg/h</w:t>
                  </w:r>
                  <w:r>
                    <w:rPr>
                      <w:rFonts w:hint="default" w:ascii="Times New Roman" w:hAnsi="Times New Roman" w:cs="Times New Roman"/>
                      <w:b/>
                      <w:bCs/>
                      <w:color w:val="auto"/>
                      <w:kern w:val="2"/>
                      <w:sz w:val="21"/>
                      <w:lang w:val="en-US" w:eastAsia="zh-CN"/>
                    </w:rPr>
                    <w:t>)</w:t>
                  </w:r>
                </w:p>
              </w:tc>
              <w:tc>
                <w:tcPr>
                  <w:tcW w:w="990" w:type="dxa"/>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b/>
                      <w:bCs/>
                      <w:color w:val="auto"/>
                      <w:kern w:val="2"/>
                      <w:sz w:val="21"/>
                    </w:rPr>
                  </w:pPr>
                  <w:bookmarkStart w:id="216" w:name="OLE_LINK191"/>
                  <w:r>
                    <w:rPr>
                      <w:rFonts w:hint="eastAsia" w:cs="Times New Roman"/>
                      <w:b/>
                      <w:bCs/>
                      <w:color w:val="auto"/>
                      <w:kern w:val="2"/>
                      <w:sz w:val="21"/>
                      <w:lang w:val="en-US" w:eastAsia="zh-CN"/>
                    </w:rPr>
                    <w:t>有组织</w:t>
                  </w:r>
                  <w:bookmarkEnd w:id="216"/>
                  <w:r>
                    <w:rPr>
                      <w:rFonts w:hint="eastAsia" w:cs="Times New Roman"/>
                      <w:b/>
                      <w:bCs/>
                      <w:color w:val="auto"/>
                      <w:kern w:val="2"/>
                      <w:sz w:val="21"/>
                      <w:lang w:val="en-US" w:eastAsia="zh-CN"/>
                    </w:rPr>
                    <w:t>收集</w:t>
                  </w:r>
                  <w:r>
                    <w:rPr>
                      <w:rFonts w:hint="default" w:ascii="Times New Roman" w:hAnsi="Times New Roman" w:cs="Times New Roman"/>
                      <w:b/>
                      <w:bCs/>
                      <w:color w:val="auto"/>
                      <w:kern w:val="2"/>
                      <w:sz w:val="21"/>
                    </w:rPr>
                    <w:t>浓度</w:t>
                  </w:r>
                  <w:r>
                    <w:rPr>
                      <w:rFonts w:hint="default" w:ascii="Times New Roman" w:hAnsi="Times New Roman" w:cs="Times New Roman"/>
                      <w:b/>
                      <w:bCs/>
                      <w:color w:val="auto"/>
                      <w:kern w:val="2"/>
                      <w:sz w:val="21"/>
                      <w:lang w:val="en-US" w:eastAsia="zh-CN"/>
                    </w:rPr>
                    <w:t>(</w:t>
                  </w:r>
                  <w:r>
                    <w:rPr>
                      <w:rFonts w:hint="default" w:ascii="Times New Roman" w:hAnsi="Times New Roman" w:cs="Times New Roman"/>
                      <w:b/>
                      <w:bCs/>
                      <w:color w:val="auto"/>
                      <w:kern w:val="2"/>
                      <w:sz w:val="21"/>
                    </w:rPr>
                    <w:t>mg/</w:t>
                  </w:r>
                  <w:bookmarkStart w:id="217" w:name="OLE_LINK193"/>
                  <w:r>
                    <w:rPr>
                      <w:rFonts w:hint="default" w:ascii="Times New Roman" w:hAnsi="Times New Roman" w:cs="Times New Roman"/>
                      <w:b/>
                      <w:bCs/>
                      <w:color w:val="auto"/>
                      <w:kern w:val="2"/>
                      <w:sz w:val="21"/>
                      <w:lang w:eastAsia="zh-CN"/>
                    </w:rPr>
                    <w:t>m³</w:t>
                  </w:r>
                  <w:bookmarkEnd w:id="217"/>
                  <w:r>
                    <w:rPr>
                      <w:rFonts w:hint="default" w:ascii="Times New Roman" w:hAnsi="Times New Roman" w:cs="Times New Roman"/>
                      <w:b/>
                      <w:bCs/>
                      <w:color w:val="auto"/>
                      <w:kern w:val="2"/>
                      <w:sz w:val="21"/>
                      <w:lang w:val="en-US" w:eastAsia="zh-CN"/>
                    </w:rPr>
                    <w:t>)</w:t>
                  </w:r>
                </w:p>
              </w:tc>
              <w:tc>
                <w:tcPr>
                  <w:tcW w:w="960" w:type="dxa"/>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b/>
                      <w:bCs/>
                      <w:color w:val="auto"/>
                      <w:kern w:val="2"/>
                      <w:sz w:val="21"/>
                    </w:rPr>
                  </w:pPr>
                  <w:r>
                    <w:rPr>
                      <w:rFonts w:hint="eastAsia" w:cs="Times New Roman"/>
                      <w:b/>
                      <w:bCs/>
                      <w:color w:val="auto"/>
                      <w:kern w:val="2"/>
                      <w:sz w:val="21"/>
                      <w:lang w:val="en-US" w:eastAsia="zh-CN"/>
                    </w:rPr>
                    <w:t>有组织</w:t>
                  </w:r>
                  <w:r>
                    <w:rPr>
                      <w:rFonts w:hint="default" w:ascii="Times New Roman" w:hAnsi="Times New Roman" w:cs="Times New Roman"/>
                      <w:b/>
                      <w:bCs/>
                      <w:color w:val="auto"/>
                      <w:kern w:val="2"/>
                      <w:sz w:val="21"/>
                    </w:rPr>
                    <w:t>排放量</w:t>
                  </w:r>
                  <w:bookmarkStart w:id="218" w:name="OLE_LINK200"/>
                  <w:r>
                    <w:rPr>
                      <w:rFonts w:hint="default" w:ascii="Times New Roman" w:hAnsi="Times New Roman" w:cs="Times New Roman"/>
                      <w:b/>
                      <w:bCs/>
                      <w:color w:val="auto"/>
                      <w:kern w:val="2"/>
                      <w:sz w:val="21"/>
                      <w:lang w:val="en-US" w:eastAsia="zh-CN"/>
                    </w:rPr>
                    <w:t>(</w:t>
                  </w:r>
                  <w:r>
                    <w:rPr>
                      <w:rFonts w:hint="default" w:ascii="Times New Roman" w:hAnsi="Times New Roman" w:cs="Times New Roman"/>
                      <w:b/>
                      <w:bCs/>
                      <w:color w:val="auto"/>
                      <w:kern w:val="2"/>
                      <w:sz w:val="21"/>
                    </w:rPr>
                    <w:t>t/a</w:t>
                  </w:r>
                  <w:r>
                    <w:rPr>
                      <w:rFonts w:hint="default" w:ascii="Times New Roman" w:hAnsi="Times New Roman" w:cs="Times New Roman"/>
                      <w:b/>
                      <w:bCs/>
                      <w:color w:val="auto"/>
                      <w:kern w:val="2"/>
                      <w:sz w:val="21"/>
                      <w:lang w:val="en-US" w:eastAsia="zh-CN"/>
                    </w:rPr>
                    <w:t>)</w:t>
                  </w:r>
                  <w:bookmarkEnd w:id="218"/>
                </w:p>
              </w:tc>
              <w:tc>
                <w:tcPr>
                  <w:tcW w:w="936" w:type="dxa"/>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b/>
                      <w:bCs/>
                      <w:color w:val="auto"/>
                      <w:kern w:val="2"/>
                      <w:sz w:val="21"/>
                    </w:rPr>
                  </w:pPr>
                  <w:r>
                    <w:rPr>
                      <w:rFonts w:hint="eastAsia" w:cs="Times New Roman"/>
                      <w:b/>
                      <w:bCs/>
                      <w:color w:val="auto"/>
                      <w:kern w:val="2"/>
                      <w:sz w:val="21"/>
                      <w:lang w:val="en-US" w:eastAsia="zh-CN"/>
                    </w:rPr>
                    <w:t>有组织</w:t>
                  </w:r>
                  <w:r>
                    <w:rPr>
                      <w:rFonts w:hint="default" w:ascii="Times New Roman" w:hAnsi="Times New Roman" w:cs="Times New Roman"/>
                      <w:b/>
                      <w:bCs/>
                      <w:color w:val="auto"/>
                      <w:kern w:val="2"/>
                      <w:sz w:val="21"/>
                    </w:rPr>
                    <w:t>排放</w:t>
                  </w:r>
                </w:p>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速率</w:t>
                  </w:r>
                  <w:r>
                    <w:rPr>
                      <w:rFonts w:hint="default" w:ascii="Times New Roman" w:hAnsi="Times New Roman" w:cs="Times New Roman"/>
                      <w:b/>
                      <w:bCs/>
                      <w:color w:val="auto"/>
                      <w:kern w:val="2"/>
                      <w:sz w:val="21"/>
                      <w:lang w:val="en-US" w:eastAsia="zh-CN"/>
                    </w:rPr>
                    <w:t>(</w:t>
                  </w:r>
                  <w:r>
                    <w:rPr>
                      <w:rFonts w:hint="default" w:ascii="Times New Roman" w:hAnsi="Times New Roman" w:cs="Times New Roman"/>
                      <w:b/>
                      <w:bCs/>
                      <w:color w:val="auto"/>
                      <w:kern w:val="2"/>
                      <w:sz w:val="21"/>
                    </w:rPr>
                    <w:t>kg/h</w:t>
                  </w:r>
                  <w:r>
                    <w:rPr>
                      <w:rFonts w:hint="default" w:ascii="Times New Roman" w:hAnsi="Times New Roman" w:cs="Times New Roman"/>
                      <w:b/>
                      <w:bCs/>
                      <w:color w:val="auto"/>
                      <w:kern w:val="2"/>
                      <w:sz w:val="21"/>
                      <w:lang w:val="en-US" w:eastAsia="zh-CN"/>
                    </w:rPr>
                    <w:t>)</w:t>
                  </w:r>
                </w:p>
              </w:tc>
              <w:tc>
                <w:tcPr>
                  <w:tcW w:w="1053" w:type="dxa"/>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b/>
                      <w:bCs/>
                      <w:color w:val="auto"/>
                      <w:kern w:val="2"/>
                      <w:sz w:val="21"/>
                    </w:rPr>
                  </w:pPr>
                  <w:r>
                    <w:rPr>
                      <w:rFonts w:hint="eastAsia" w:cs="Times New Roman"/>
                      <w:b/>
                      <w:bCs/>
                      <w:color w:val="auto"/>
                      <w:kern w:val="2"/>
                      <w:sz w:val="21"/>
                      <w:lang w:val="en-US" w:eastAsia="zh-CN"/>
                    </w:rPr>
                    <w:t>有组织</w:t>
                  </w:r>
                  <w:r>
                    <w:rPr>
                      <w:rFonts w:hint="default" w:ascii="Times New Roman" w:hAnsi="Times New Roman" w:cs="Times New Roman"/>
                      <w:b/>
                      <w:bCs/>
                      <w:color w:val="auto"/>
                      <w:kern w:val="2"/>
                      <w:sz w:val="21"/>
                    </w:rPr>
                    <w:t>排放</w:t>
                  </w:r>
                </w:p>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浓度</w:t>
                  </w:r>
                  <w:r>
                    <w:rPr>
                      <w:rFonts w:hint="default" w:ascii="Times New Roman" w:hAnsi="Times New Roman" w:cs="Times New Roman"/>
                      <w:b/>
                      <w:bCs/>
                      <w:color w:val="auto"/>
                      <w:kern w:val="2"/>
                      <w:sz w:val="21"/>
                      <w:lang w:val="en-US" w:eastAsia="zh-CN"/>
                    </w:rPr>
                    <w:t>(</w:t>
                  </w:r>
                  <w:r>
                    <w:rPr>
                      <w:rFonts w:hint="default" w:ascii="Times New Roman" w:hAnsi="Times New Roman" w:cs="Times New Roman"/>
                      <w:b/>
                      <w:bCs/>
                      <w:color w:val="auto"/>
                      <w:kern w:val="2"/>
                      <w:sz w:val="21"/>
                    </w:rPr>
                    <w:t>mg/</w:t>
                  </w:r>
                  <w:r>
                    <w:rPr>
                      <w:rFonts w:hint="default" w:ascii="Times New Roman" w:hAnsi="Times New Roman" w:cs="Times New Roman"/>
                      <w:b/>
                      <w:bCs/>
                      <w:color w:val="auto"/>
                      <w:kern w:val="2"/>
                      <w:sz w:val="21"/>
                      <w:lang w:eastAsia="zh-CN"/>
                    </w:rPr>
                    <w:t>m³</w:t>
                  </w:r>
                  <w:r>
                    <w:rPr>
                      <w:rFonts w:hint="default" w:ascii="Times New Roman" w:hAnsi="Times New Roman" w:cs="Times New Roman"/>
                      <w:b/>
                      <w:bCs/>
                      <w:color w:val="auto"/>
                      <w:kern w:val="2"/>
                      <w:sz w:val="21"/>
                      <w:lang w:val="en-US" w:eastAsia="zh-CN"/>
                    </w:rPr>
                    <w:t>)</w:t>
                  </w:r>
                </w:p>
              </w:tc>
            </w:tr>
            <w:bookmarkEnd w:id="211"/>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58" w:type="dxa"/>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color w:val="auto"/>
                      <w:kern w:val="2"/>
                      <w:sz w:val="21"/>
                      <w:lang w:val="en-US" w:eastAsia="zh-CN"/>
                    </w:rPr>
                  </w:pPr>
                  <w:bookmarkStart w:id="219" w:name="OLE_LINK43"/>
                  <w:r>
                    <w:rPr>
                      <w:rFonts w:hint="eastAsia" w:cs="Times New Roman"/>
                      <w:color w:val="auto"/>
                      <w:kern w:val="2"/>
                      <w:sz w:val="21"/>
                      <w:lang w:val="en-US" w:eastAsia="zh-CN"/>
                    </w:rPr>
                    <w:t>电解液泄漏</w:t>
                  </w:r>
                  <w:bookmarkEnd w:id="219"/>
                </w:p>
              </w:tc>
              <w:tc>
                <w:tcPr>
                  <w:tcW w:w="615" w:type="dxa"/>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color w:val="auto"/>
                      <w:kern w:val="2"/>
                      <w:sz w:val="21"/>
                      <w:lang w:val="en-US" w:eastAsia="zh-CN"/>
                    </w:rPr>
                  </w:pPr>
                  <w:bookmarkStart w:id="220" w:name="OLE_LINK41"/>
                  <w:r>
                    <w:rPr>
                      <w:rFonts w:hint="eastAsia" w:cs="Times New Roman"/>
                      <w:color w:val="auto"/>
                      <w:kern w:val="2"/>
                      <w:sz w:val="21"/>
                      <w:lang w:val="en-US" w:eastAsia="zh-CN"/>
                    </w:rPr>
                    <w:t>硫酸雾</w:t>
                  </w:r>
                  <w:bookmarkEnd w:id="220"/>
                </w:p>
              </w:tc>
              <w:tc>
                <w:tcPr>
                  <w:tcW w:w="925" w:type="dxa"/>
                  <w:tcBorders>
                    <w:tl2br w:val="nil"/>
                    <w:tr2bl w:val="nil"/>
                  </w:tcBorders>
                  <w:shd w:val="clear" w:color="auto" w:fill="auto"/>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color w:val="auto"/>
                      <w:kern w:val="2"/>
                      <w:sz w:val="21"/>
                      <w:lang w:val="en-US" w:eastAsia="zh-CN"/>
                    </w:rPr>
                  </w:pPr>
                  <w:r>
                    <w:rPr>
                      <w:rFonts w:hint="eastAsia" w:cs="Times New Roman"/>
                      <w:color w:val="auto"/>
                      <w:kern w:val="2"/>
                      <w:sz w:val="21"/>
                      <w:lang w:val="en-US" w:eastAsia="zh-CN"/>
                    </w:rPr>
                    <w:t>0.1701</w:t>
                  </w:r>
                </w:p>
              </w:tc>
              <w:tc>
                <w:tcPr>
                  <w:tcW w:w="757" w:type="dxa"/>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废气排放口</w:t>
                  </w:r>
                </w:p>
              </w:tc>
              <w:tc>
                <w:tcPr>
                  <w:tcW w:w="835" w:type="dxa"/>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rPr>
                    <w:t>DA00</w:t>
                  </w:r>
                  <w:r>
                    <w:rPr>
                      <w:rFonts w:hint="default" w:ascii="Times New Roman" w:hAnsi="Times New Roman" w:cs="Times New Roman"/>
                      <w:color w:val="auto"/>
                      <w:kern w:val="2"/>
                      <w:sz w:val="21"/>
                      <w:lang w:val="en-US" w:eastAsia="zh-CN"/>
                    </w:rPr>
                    <w:t>1</w:t>
                  </w:r>
                </w:p>
              </w:tc>
              <w:tc>
                <w:tcPr>
                  <w:tcW w:w="611" w:type="dxa"/>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9</w:t>
                  </w:r>
                  <w:r>
                    <w:rPr>
                      <w:rFonts w:hint="eastAsia" w:cs="Times New Roman"/>
                      <w:color w:val="auto"/>
                      <w:kern w:val="2"/>
                      <w:sz w:val="21"/>
                      <w:lang w:val="en-US" w:eastAsia="zh-CN"/>
                    </w:rPr>
                    <w:t>8</w:t>
                  </w:r>
                  <w:r>
                    <w:rPr>
                      <w:rFonts w:hint="default" w:ascii="Times New Roman" w:hAnsi="Times New Roman" w:cs="Times New Roman"/>
                      <w:color w:val="auto"/>
                      <w:kern w:val="2"/>
                      <w:sz w:val="21"/>
                      <w:lang w:val="en-US" w:eastAsia="zh-CN"/>
                    </w:rPr>
                    <w:t>%</w:t>
                  </w:r>
                </w:p>
              </w:tc>
              <w:tc>
                <w:tcPr>
                  <w:tcW w:w="646" w:type="dxa"/>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color w:val="auto"/>
                      <w:kern w:val="2"/>
                      <w:sz w:val="21"/>
                      <w:lang w:val="en-US" w:eastAsia="zh-CN"/>
                    </w:rPr>
                  </w:pPr>
                  <w:r>
                    <w:rPr>
                      <w:rFonts w:hint="eastAsia" w:cs="Times New Roman"/>
                      <w:color w:val="auto"/>
                      <w:kern w:val="2"/>
                      <w:sz w:val="21"/>
                      <w:lang w:val="en-US" w:eastAsia="zh-CN"/>
                    </w:rPr>
                    <w:t>酸雾吸收塔</w:t>
                  </w:r>
                </w:p>
              </w:tc>
              <w:tc>
                <w:tcPr>
                  <w:tcW w:w="648" w:type="dxa"/>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是</w:t>
                  </w:r>
                </w:p>
              </w:tc>
              <w:tc>
                <w:tcPr>
                  <w:tcW w:w="838" w:type="dxa"/>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color w:val="auto"/>
                      <w:kern w:val="2"/>
                      <w:sz w:val="21"/>
                      <w:lang w:val="en-US" w:eastAsia="zh-CN"/>
                    </w:rPr>
                  </w:pPr>
                  <w:r>
                    <w:rPr>
                      <w:rFonts w:hint="eastAsia" w:cs="Times New Roman"/>
                      <w:color w:val="auto"/>
                      <w:kern w:val="2"/>
                      <w:sz w:val="21"/>
                      <w:lang w:val="en-US" w:eastAsia="zh-CN"/>
                    </w:rPr>
                    <w:t>95</w:t>
                  </w:r>
                  <w:r>
                    <w:rPr>
                      <w:rFonts w:hint="default" w:ascii="Times New Roman" w:hAnsi="Times New Roman" w:cs="Times New Roman"/>
                      <w:color w:val="auto"/>
                      <w:kern w:val="2"/>
                      <w:sz w:val="21"/>
                      <w:lang w:val="en-US" w:eastAsia="zh-CN"/>
                    </w:rPr>
                    <w:t>%</w:t>
                  </w:r>
                </w:p>
              </w:tc>
              <w:tc>
                <w:tcPr>
                  <w:tcW w:w="1004" w:type="dxa"/>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color w:val="auto"/>
                      <w:kern w:val="2"/>
                      <w:sz w:val="21"/>
                      <w:lang w:val="en-US"/>
                    </w:rPr>
                  </w:pPr>
                  <w:r>
                    <w:rPr>
                      <w:rFonts w:hint="eastAsia" w:cs="Times New Roman"/>
                      <w:color w:val="auto"/>
                      <w:kern w:val="2"/>
                      <w:sz w:val="21"/>
                      <w:lang w:val="en-US" w:eastAsia="zh-CN"/>
                    </w:rPr>
                    <w:t>0.1667</w:t>
                  </w:r>
                </w:p>
              </w:tc>
              <w:tc>
                <w:tcPr>
                  <w:tcW w:w="1101" w:type="dxa"/>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color w:val="auto"/>
                      <w:kern w:val="2"/>
                      <w:sz w:val="21"/>
                      <w:lang w:val="en-US"/>
                    </w:rPr>
                  </w:pPr>
                  <w:r>
                    <w:rPr>
                      <w:rFonts w:hint="eastAsia" w:cs="Times New Roman"/>
                      <w:color w:val="auto"/>
                      <w:kern w:val="2"/>
                      <w:sz w:val="21"/>
                      <w:lang w:val="en-US" w:eastAsia="zh-CN"/>
                    </w:rPr>
                    <w:t>0.5557</w:t>
                  </w:r>
                </w:p>
              </w:tc>
              <w:tc>
                <w:tcPr>
                  <w:tcW w:w="990" w:type="dxa"/>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color w:val="auto"/>
                      <w:kern w:val="2"/>
                      <w:sz w:val="21"/>
                      <w:lang w:val="en-US"/>
                    </w:rPr>
                  </w:pPr>
                  <w:r>
                    <w:rPr>
                      <w:rFonts w:hint="eastAsia" w:cs="Times New Roman"/>
                      <w:color w:val="auto"/>
                      <w:kern w:val="2"/>
                      <w:sz w:val="21"/>
                      <w:lang w:val="en-US" w:eastAsia="zh-CN"/>
                    </w:rPr>
                    <w:t>277.83</w:t>
                  </w:r>
                </w:p>
              </w:tc>
              <w:tc>
                <w:tcPr>
                  <w:tcW w:w="960" w:type="dxa"/>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color w:val="auto"/>
                      <w:kern w:val="2"/>
                      <w:sz w:val="21"/>
                      <w:lang w:val="en-US"/>
                    </w:rPr>
                  </w:pPr>
                  <w:r>
                    <w:rPr>
                      <w:rFonts w:hint="eastAsia" w:cs="Times New Roman"/>
                      <w:color w:val="auto"/>
                      <w:kern w:val="2"/>
                      <w:sz w:val="21"/>
                      <w:lang w:val="en-US" w:eastAsia="zh-CN"/>
                    </w:rPr>
                    <w:t>0.0083</w:t>
                  </w:r>
                </w:p>
              </w:tc>
              <w:tc>
                <w:tcPr>
                  <w:tcW w:w="936" w:type="dxa"/>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color w:val="auto"/>
                      <w:kern w:val="2"/>
                      <w:sz w:val="21"/>
                      <w:lang w:val="en-US"/>
                    </w:rPr>
                  </w:pPr>
                  <w:r>
                    <w:rPr>
                      <w:rFonts w:hint="eastAsia" w:cs="Times New Roman"/>
                      <w:color w:val="auto"/>
                      <w:kern w:val="2"/>
                      <w:sz w:val="21"/>
                      <w:lang w:val="en-US" w:eastAsia="zh-CN"/>
                    </w:rPr>
                    <w:t>0.0278</w:t>
                  </w:r>
                </w:p>
              </w:tc>
              <w:tc>
                <w:tcPr>
                  <w:tcW w:w="1053" w:type="dxa"/>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color w:val="auto"/>
                      <w:kern w:val="2"/>
                      <w:sz w:val="21"/>
                      <w:lang w:val="en-US"/>
                    </w:rPr>
                  </w:pPr>
                  <w:r>
                    <w:rPr>
                      <w:rFonts w:hint="eastAsia" w:cs="Times New Roman"/>
                      <w:color w:val="auto"/>
                      <w:kern w:val="2"/>
                      <w:sz w:val="21"/>
                      <w:lang w:val="en-US" w:eastAsia="zh-CN"/>
                    </w:rPr>
                    <w:t>13.89</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677" w:type="dxa"/>
                  <w:gridSpan w:val="15"/>
                  <w:tcBorders>
                    <w:tl2br w:val="nil"/>
                    <w:tr2bl w:val="nil"/>
                  </w:tcBorders>
                  <w:noWrap w:val="0"/>
                  <w:vAlign w:val="center"/>
                </w:tcPr>
                <w:p>
                  <w:pPr>
                    <w:pStyle w:val="28"/>
                    <w:keepNext w:val="0"/>
                    <w:keepLines w:val="0"/>
                    <w:suppressLineNumbers w:val="0"/>
                    <w:bidi w:val="0"/>
                    <w:spacing w:before="0" w:beforeAutospacing="0" w:after="0" w:afterAutospacing="0"/>
                    <w:ind w:left="0" w:right="0" w:firstLine="0" w:firstLineChars="0"/>
                    <w:rPr>
                      <w:rFonts w:hint="default"/>
                      <w:color w:val="auto"/>
                      <w:lang w:val="en-US" w:eastAsia="zh-CN"/>
                    </w:rPr>
                  </w:pPr>
                  <w:bookmarkStart w:id="221" w:name="OLE_LINK170" w:colFirst="0" w:colLast="1"/>
                  <w:r>
                    <w:rPr>
                      <w:rFonts w:hint="default" w:ascii="Times New Roman" w:hAnsi="Times New Roman" w:cs="Times New Roman"/>
                      <w:color w:val="auto"/>
                      <w:kern w:val="2"/>
                      <w:sz w:val="21"/>
                      <w:lang w:val="en-US" w:eastAsia="zh-CN"/>
                    </w:rPr>
                    <w:t>无组织废气</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58" w:type="dxa"/>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eastAsia="宋体" w:cs="Times New Roman"/>
                      <w:b/>
                      <w:bCs/>
                      <w:color w:val="auto"/>
                      <w:kern w:val="2"/>
                      <w:sz w:val="21"/>
                      <w:lang w:val="en-US" w:eastAsia="zh-CN"/>
                    </w:rPr>
                  </w:pPr>
                  <w:r>
                    <w:rPr>
                      <w:rFonts w:hint="default" w:ascii="Times New Roman" w:hAnsi="Times New Roman" w:eastAsia="宋体" w:cs="Times New Roman"/>
                      <w:b/>
                      <w:bCs/>
                      <w:color w:val="auto"/>
                      <w:kern w:val="2"/>
                      <w:sz w:val="21"/>
                      <w:lang w:val="en-US" w:eastAsia="zh-CN"/>
                    </w:rPr>
                    <w:t>产污</w:t>
                  </w:r>
                </w:p>
                <w:p>
                  <w:pPr>
                    <w:pStyle w:val="28"/>
                    <w:keepNext w:val="0"/>
                    <w:keepLines w:val="0"/>
                    <w:widowControl/>
                    <w:suppressLineNumbers w:val="0"/>
                    <w:bidi w:val="0"/>
                    <w:spacing w:before="0" w:beforeAutospacing="0" w:after="0" w:afterAutospacing="0"/>
                    <w:ind w:left="0" w:right="0"/>
                    <w:rPr>
                      <w:rFonts w:hint="default" w:ascii="Times New Roman" w:hAnsi="Times New Roman" w:eastAsia="宋体" w:cs="Times New Roman"/>
                      <w:b/>
                      <w:bCs/>
                      <w:color w:val="auto"/>
                      <w:kern w:val="2"/>
                      <w:sz w:val="21"/>
                      <w:lang w:val="en-US" w:eastAsia="zh-CN"/>
                    </w:rPr>
                  </w:pPr>
                  <w:r>
                    <w:rPr>
                      <w:rFonts w:hint="default" w:ascii="Times New Roman" w:hAnsi="Times New Roman" w:eastAsia="宋体" w:cs="Times New Roman"/>
                      <w:b/>
                      <w:bCs/>
                      <w:color w:val="auto"/>
                      <w:kern w:val="2"/>
                      <w:sz w:val="21"/>
                      <w:lang w:val="en-US" w:eastAsia="zh-CN"/>
                    </w:rPr>
                    <w:t>环节</w:t>
                  </w:r>
                </w:p>
              </w:tc>
              <w:tc>
                <w:tcPr>
                  <w:tcW w:w="1540" w:type="dxa"/>
                  <w:gridSpan w:val="2"/>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eastAsia="宋体" w:cs="Times New Roman"/>
                      <w:b/>
                      <w:bCs/>
                      <w:color w:val="auto"/>
                      <w:kern w:val="2"/>
                      <w:sz w:val="21"/>
                      <w:lang w:val="en-US" w:eastAsia="zh-CN"/>
                    </w:rPr>
                  </w:pPr>
                  <w:r>
                    <w:rPr>
                      <w:rFonts w:hint="default" w:ascii="Times New Roman" w:hAnsi="Times New Roman" w:eastAsia="宋体" w:cs="Times New Roman"/>
                      <w:b/>
                      <w:bCs/>
                      <w:color w:val="auto"/>
                      <w:kern w:val="2"/>
                      <w:sz w:val="21"/>
                      <w:lang w:val="en-US" w:eastAsia="zh-CN"/>
                    </w:rPr>
                    <w:t>污染物</w:t>
                  </w:r>
                </w:p>
              </w:tc>
              <w:tc>
                <w:tcPr>
                  <w:tcW w:w="4335" w:type="dxa"/>
                  <w:gridSpan w:val="6"/>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eastAsia="宋体" w:cs="Times New Roman"/>
                      <w:b/>
                      <w:bCs/>
                      <w:color w:val="auto"/>
                      <w:kern w:val="2"/>
                      <w:sz w:val="21"/>
                      <w:lang w:val="en-US" w:eastAsia="zh-CN"/>
                    </w:rPr>
                  </w:pPr>
                  <w:r>
                    <w:rPr>
                      <w:rFonts w:hint="default" w:ascii="Times New Roman" w:hAnsi="Times New Roman" w:eastAsia="宋体" w:cs="Times New Roman"/>
                      <w:b/>
                      <w:bCs/>
                      <w:color w:val="auto"/>
                      <w:kern w:val="2"/>
                      <w:sz w:val="21"/>
                      <w:lang w:val="en-US" w:eastAsia="zh-CN"/>
                    </w:rPr>
                    <w:t>排放源</w:t>
                  </w:r>
                </w:p>
              </w:tc>
              <w:tc>
                <w:tcPr>
                  <w:tcW w:w="1004" w:type="dxa"/>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eastAsia="宋体" w:cs="Times New Roman"/>
                      <w:b/>
                      <w:bCs/>
                      <w:color w:val="auto"/>
                      <w:kern w:val="2"/>
                      <w:sz w:val="21"/>
                      <w:lang w:val="en-US" w:eastAsia="zh-CN"/>
                    </w:rPr>
                  </w:pPr>
                  <w:bookmarkStart w:id="222" w:name="OLE_LINK201"/>
                  <w:r>
                    <w:rPr>
                      <w:rFonts w:hint="eastAsia" w:ascii="Times New Roman" w:hAnsi="Times New Roman" w:eastAsia="宋体" w:cs="Times New Roman"/>
                      <w:b/>
                      <w:bCs/>
                      <w:color w:val="auto"/>
                      <w:kern w:val="2"/>
                      <w:sz w:val="21"/>
                      <w:lang w:val="en-US" w:eastAsia="zh-CN"/>
                    </w:rPr>
                    <w:t>无</w:t>
                  </w:r>
                  <w:bookmarkEnd w:id="222"/>
                  <w:r>
                    <w:rPr>
                      <w:rFonts w:hint="eastAsia" w:ascii="Times New Roman" w:hAnsi="Times New Roman" w:eastAsia="宋体" w:cs="Times New Roman"/>
                      <w:b/>
                      <w:bCs/>
                      <w:color w:val="auto"/>
                      <w:kern w:val="2"/>
                      <w:sz w:val="21"/>
                      <w:lang w:val="en-US" w:eastAsia="zh-CN"/>
                    </w:rPr>
                    <w:t>组织排放量</w:t>
                  </w:r>
                  <w:r>
                    <w:rPr>
                      <w:rFonts w:hint="default" w:ascii="Times New Roman" w:hAnsi="Times New Roman" w:eastAsia="宋体" w:cs="Times New Roman"/>
                      <w:b/>
                      <w:bCs/>
                      <w:color w:val="auto"/>
                      <w:kern w:val="2"/>
                      <w:sz w:val="21"/>
                      <w:lang w:val="en-US" w:eastAsia="zh-CN"/>
                    </w:rPr>
                    <w:t>(</w:t>
                  </w:r>
                  <w:r>
                    <w:rPr>
                      <w:rFonts w:hint="default" w:ascii="Times New Roman" w:hAnsi="Times New Roman" w:eastAsia="宋体" w:cs="Times New Roman"/>
                      <w:b/>
                      <w:bCs/>
                      <w:color w:val="auto"/>
                      <w:kern w:val="2"/>
                      <w:sz w:val="21"/>
                    </w:rPr>
                    <w:t>t/a</w:t>
                  </w:r>
                  <w:r>
                    <w:rPr>
                      <w:rFonts w:hint="default" w:ascii="Times New Roman" w:hAnsi="Times New Roman" w:eastAsia="宋体" w:cs="Times New Roman"/>
                      <w:b/>
                      <w:bCs/>
                      <w:color w:val="auto"/>
                      <w:kern w:val="2"/>
                      <w:sz w:val="21"/>
                      <w:lang w:val="en-US" w:eastAsia="zh-CN"/>
                    </w:rPr>
                    <w:t>)</w:t>
                  </w:r>
                </w:p>
              </w:tc>
              <w:tc>
                <w:tcPr>
                  <w:tcW w:w="1101" w:type="dxa"/>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eastAsia="宋体" w:cs="Times New Roman"/>
                      <w:b/>
                      <w:bCs/>
                      <w:color w:val="auto"/>
                      <w:kern w:val="2"/>
                      <w:sz w:val="21"/>
                    </w:rPr>
                  </w:pPr>
                  <w:r>
                    <w:rPr>
                      <w:rFonts w:hint="eastAsia" w:ascii="Times New Roman" w:hAnsi="Times New Roman" w:eastAsia="宋体" w:cs="Times New Roman"/>
                      <w:b/>
                      <w:bCs/>
                      <w:color w:val="auto"/>
                      <w:kern w:val="2"/>
                      <w:sz w:val="21"/>
                      <w:lang w:val="en-US" w:eastAsia="zh-CN"/>
                    </w:rPr>
                    <w:t>无组织</w:t>
                  </w:r>
                  <w:r>
                    <w:rPr>
                      <w:rFonts w:hint="default" w:ascii="Times New Roman" w:hAnsi="Times New Roman" w:eastAsia="宋体" w:cs="Times New Roman"/>
                      <w:b/>
                      <w:bCs/>
                      <w:color w:val="auto"/>
                      <w:kern w:val="2"/>
                      <w:sz w:val="21"/>
                    </w:rPr>
                    <w:t>排放</w:t>
                  </w:r>
                </w:p>
                <w:p>
                  <w:pPr>
                    <w:pStyle w:val="28"/>
                    <w:keepNext w:val="0"/>
                    <w:keepLines w:val="0"/>
                    <w:widowControl/>
                    <w:suppressLineNumbers w:val="0"/>
                    <w:bidi w:val="0"/>
                    <w:spacing w:before="0" w:beforeAutospacing="0" w:after="0" w:afterAutospacing="0"/>
                    <w:ind w:left="0" w:right="0"/>
                    <w:rPr>
                      <w:rFonts w:hint="default" w:ascii="Times New Roman" w:hAnsi="Times New Roman" w:eastAsia="宋体" w:cs="Times New Roman"/>
                      <w:b/>
                      <w:bCs/>
                      <w:color w:val="auto"/>
                      <w:kern w:val="2"/>
                      <w:sz w:val="21"/>
                      <w:lang w:val="en-US" w:eastAsia="zh-CN"/>
                    </w:rPr>
                  </w:pPr>
                  <w:r>
                    <w:rPr>
                      <w:rFonts w:hint="default" w:ascii="Times New Roman" w:hAnsi="Times New Roman" w:eastAsia="宋体" w:cs="Times New Roman"/>
                      <w:b/>
                      <w:bCs/>
                      <w:color w:val="auto"/>
                      <w:kern w:val="2"/>
                      <w:sz w:val="21"/>
                    </w:rPr>
                    <w:t>速率</w:t>
                  </w:r>
                  <w:r>
                    <w:rPr>
                      <w:rFonts w:hint="default" w:ascii="Times New Roman" w:hAnsi="Times New Roman" w:eastAsia="宋体" w:cs="Times New Roman"/>
                      <w:b/>
                      <w:bCs/>
                      <w:color w:val="auto"/>
                      <w:kern w:val="2"/>
                      <w:sz w:val="21"/>
                      <w:lang w:val="en-US" w:eastAsia="zh-CN"/>
                    </w:rPr>
                    <w:t>(</w:t>
                  </w:r>
                  <w:r>
                    <w:rPr>
                      <w:rFonts w:hint="default" w:ascii="Times New Roman" w:hAnsi="Times New Roman" w:eastAsia="宋体" w:cs="Times New Roman"/>
                      <w:b/>
                      <w:bCs/>
                      <w:color w:val="auto"/>
                      <w:kern w:val="2"/>
                      <w:sz w:val="21"/>
                    </w:rPr>
                    <w:t>kg/h</w:t>
                  </w:r>
                  <w:r>
                    <w:rPr>
                      <w:rFonts w:hint="default" w:ascii="Times New Roman" w:hAnsi="Times New Roman" w:eastAsia="宋体" w:cs="Times New Roman"/>
                      <w:b/>
                      <w:bCs/>
                      <w:color w:val="auto"/>
                      <w:kern w:val="2"/>
                      <w:sz w:val="21"/>
                      <w:lang w:val="en-US" w:eastAsia="zh-CN"/>
                    </w:rPr>
                    <w:t>)</w:t>
                  </w:r>
                </w:p>
              </w:tc>
              <w:tc>
                <w:tcPr>
                  <w:tcW w:w="990" w:type="dxa"/>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eastAsia="宋体" w:cs="Times New Roman"/>
                      <w:b/>
                      <w:bCs/>
                      <w:color w:val="auto"/>
                      <w:kern w:val="2"/>
                      <w:sz w:val="21"/>
                    </w:rPr>
                  </w:pPr>
                  <w:r>
                    <w:rPr>
                      <w:rFonts w:hint="eastAsia" w:ascii="Times New Roman" w:hAnsi="Times New Roman" w:eastAsia="宋体" w:cs="Times New Roman"/>
                      <w:b/>
                      <w:bCs/>
                      <w:color w:val="auto"/>
                      <w:kern w:val="2"/>
                      <w:sz w:val="21"/>
                      <w:lang w:val="en-US" w:eastAsia="zh-CN"/>
                    </w:rPr>
                    <w:t>无组织</w:t>
                  </w:r>
                  <w:r>
                    <w:rPr>
                      <w:rFonts w:hint="default" w:ascii="Times New Roman" w:hAnsi="Times New Roman" w:eastAsia="宋体" w:cs="Times New Roman"/>
                      <w:b/>
                      <w:bCs/>
                      <w:color w:val="auto"/>
                      <w:kern w:val="2"/>
                      <w:sz w:val="21"/>
                    </w:rPr>
                    <w:t>排放</w:t>
                  </w:r>
                </w:p>
                <w:p>
                  <w:pPr>
                    <w:pStyle w:val="28"/>
                    <w:keepNext w:val="0"/>
                    <w:keepLines w:val="0"/>
                    <w:widowControl/>
                    <w:suppressLineNumbers w:val="0"/>
                    <w:bidi w:val="0"/>
                    <w:spacing w:before="0" w:beforeAutospacing="0" w:after="0" w:afterAutospacing="0"/>
                    <w:ind w:left="0" w:right="0"/>
                    <w:rPr>
                      <w:rFonts w:hint="default" w:ascii="Times New Roman" w:hAnsi="Times New Roman" w:eastAsia="宋体" w:cs="Times New Roman"/>
                      <w:b/>
                      <w:bCs/>
                      <w:color w:val="auto"/>
                      <w:kern w:val="2"/>
                      <w:sz w:val="21"/>
                      <w:lang w:val="en-US" w:eastAsia="zh-CN"/>
                    </w:rPr>
                  </w:pPr>
                  <w:r>
                    <w:rPr>
                      <w:rFonts w:hint="default" w:ascii="Times New Roman" w:hAnsi="Times New Roman" w:eastAsia="宋体" w:cs="Times New Roman"/>
                      <w:b/>
                      <w:bCs/>
                      <w:color w:val="auto"/>
                      <w:kern w:val="2"/>
                      <w:sz w:val="21"/>
                    </w:rPr>
                    <w:t>浓度</w:t>
                  </w:r>
                  <w:r>
                    <w:rPr>
                      <w:rFonts w:hint="default" w:ascii="Times New Roman" w:hAnsi="Times New Roman" w:eastAsia="宋体" w:cs="Times New Roman"/>
                      <w:b/>
                      <w:bCs/>
                      <w:color w:val="auto"/>
                      <w:kern w:val="2"/>
                      <w:sz w:val="21"/>
                      <w:lang w:val="en-US" w:eastAsia="zh-CN"/>
                    </w:rPr>
                    <w:t>(</w:t>
                  </w:r>
                  <w:r>
                    <w:rPr>
                      <w:rFonts w:hint="default" w:ascii="Times New Roman" w:hAnsi="Times New Roman" w:eastAsia="宋体" w:cs="Times New Roman"/>
                      <w:b/>
                      <w:bCs/>
                      <w:color w:val="auto"/>
                      <w:kern w:val="2"/>
                      <w:sz w:val="21"/>
                    </w:rPr>
                    <w:t>mg/</w:t>
                  </w:r>
                  <w:r>
                    <w:rPr>
                      <w:rFonts w:hint="default" w:ascii="Times New Roman" w:hAnsi="Times New Roman" w:eastAsia="宋体" w:cs="Times New Roman"/>
                      <w:b/>
                      <w:bCs/>
                      <w:color w:val="auto"/>
                      <w:kern w:val="2"/>
                      <w:sz w:val="21"/>
                      <w:lang w:eastAsia="zh-CN"/>
                    </w:rPr>
                    <w:t>m³</w:t>
                  </w:r>
                  <w:r>
                    <w:rPr>
                      <w:rFonts w:hint="default" w:ascii="Times New Roman" w:hAnsi="Times New Roman" w:eastAsia="宋体" w:cs="Times New Roman"/>
                      <w:b/>
                      <w:bCs/>
                      <w:color w:val="auto"/>
                      <w:kern w:val="2"/>
                      <w:sz w:val="21"/>
                      <w:lang w:val="en-US" w:eastAsia="zh-CN"/>
                    </w:rPr>
                    <w:t>)</w:t>
                  </w:r>
                </w:p>
              </w:tc>
              <w:tc>
                <w:tcPr>
                  <w:tcW w:w="960"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firstLine="0" w:firstLineChars="0"/>
                    <w:rPr>
                      <w:rFonts w:hint="default"/>
                      <w:color w:val="auto"/>
                      <w:lang w:val="en-US" w:eastAsia="zh-CN"/>
                    </w:rPr>
                  </w:pPr>
                </w:p>
              </w:tc>
              <w:tc>
                <w:tcPr>
                  <w:tcW w:w="936"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firstLine="0" w:firstLineChars="0"/>
                    <w:rPr>
                      <w:rFonts w:hint="default"/>
                      <w:color w:val="auto"/>
                      <w:lang w:val="en-US" w:eastAsia="zh-CN"/>
                    </w:rPr>
                  </w:pPr>
                </w:p>
              </w:tc>
              <w:tc>
                <w:tcPr>
                  <w:tcW w:w="1053" w:type="dxa"/>
                  <w:tcBorders>
                    <w:tl2br w:val="nil"/>
                    <w:tr2bl w:val="nil"/>
                  </w:tcBorders>
                  <w:noWrap w:val="0"/>
                  <w:vAlign w:val="center"/>
                </w:tcPr>
                <w:p>
                  <w:pPr>
                    <w:pStyle w:val="28"/>
                    <w:keepNext w:val="0"/>
                    <w:keepLines w:val="0"/>
                    <w:suppressLineNumbers w:val="0"/>
                    <w:bidi w:val="0"/>
                    <w:spacing w:before="0" w:beforeAutospacing="0" w:after="0" w:afterAutospacing="0"/>
                    <w:ind w:left="0" w:right="0" w:firstLine="0" w:firstLineChars="0"/>
                    <w:rPr>
                      <w:rFonts w:hint="default"/>
                      <w:color w:val="auto"/>
                      <w:lang w:val="en-US" w:eastAsia="zh-CN"/>
                    </w:rPr>
                  </w:pPr>
                </w:p>
              </w:tc>
            </w:tr>
            <w:bookmarkEnd w:id="221"/>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58" w:type="dxa"/>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color w:val="auto"/>
                      <w:kern w:val="2"/>
                      <w:sz w:val="21"/>
                      <w:lang w:val="en-US" w:eastAsia="zh-CN"/>
                    </w:rPr>
                  </w:pPr>
                  <w:bookmarkStart w:id="223" w:name="OLE_LINK204" w:colFirst="5" w:colLast="5"/>
                  <w:r>
                    <w:rPr>
                      <w:rFonts w:hint="eastAsia" w:cs="Times New Roman"/>
                      <w:color w:val="auto"/>
                      <w:kern w:val="2"/>
                      <w:sz w:val="21"/>
                      <w:lang w:val="en-US" w:eastAsia="zh-CN"/>
                    </w:rPr>
                    <w:t>电解液泄漏</w:t>
                  </w:r>
                </w:p>
              </w:tc>
              <w:tc>
                <w:tcPr>
                  <w:tcW w:w="1540" w:type="dxa"/>
                  <w:gridSpan w:val="2"/>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color w:val="auto"/>
                      <w:kern w:val="2"/>
                      <w:sz w:val="21"/>
                      <w:lang w:val="en-US" w:eastAsia="zh-CN"/>
                    </w:rPr>
                  </w:pPr>
                  <w:r>
                    <w:rPr>
                      <w:rFonts w:hint="eastAsia" w:cs="Times New Roman"/>
                      <w:color w:val="auto"/>
                      <w:kern w:val="2"/>
                      <w:sz w:val="21"/>
                      <w:lang w:val="en-US" w:eastAsia="zh-CN"/>
                    </w:rPr>
                    <w:t>硫酸雾</w:t>
                  </w:r>
                </w:p>
              </w:tc>
              <w:tc>
                <w:tcPr>
                  <w:tcW w:w="4335" w:type="dxa"/>
                  <w:gridSpan w:val="6"/>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color w:val="auto"/>
                      <w:kern w:val="2"/>
                      <w:sz w:val="21"/>
                      <w:lang w:val="en-US" w:eastAsia="zh-CN"/>
                    </w:rPr>
                  </w:pPr>
                  <w:bookmarkStart w:id="224" w:name="OLE_LINK196"/>
                  <w:r>
                    <w:rPr>
                      <w:rFonts w:hint="default" w:ascii="Times New Roman" w:hAnsi="Times New Roman" w:cs="Times New Roman"/>
                      <w:color w:val="auto"/>
                      <w:kern w:val="2"/>
                      <w:sz w:val="21"/>
                      <w:lang w:val="en-US" w:eastAsia="zh-CN"/>
                    </w:rPr>
                    <w:t>无组织废气</w:t>
                  </w:r>
                  <w:bookmarkEnd w:id="224"/>
                </w:p>
              </w:tc>
              <w:tc>
                <w:tcPr>
                  <w:tcW w:w="1004" w:type="dxa"/>
                  <w:tcBorders>
                    <w:tl2br w:val="nil"/>
                    <w:tr2bl w:val="nil"/>
                  </w:tcBorders>
                  <w:shd w:val="clear" w:color="auto" w:fill="auto"/>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color w:val="auto"/>
                      <w:kern w:val="2"/>
                      <w:sz w:val="21"/>
                      <w:lang w:val="en-US" w:eastAsia="zh-CN"/>
                    </w:rPr>
                  </w:pPr>
                  <w:r>
                    <w:rPr>
                      <w:rFonts w:hint="eastAsia" w:cs="Times New Roman"/>
                      <w:color w:val="auto"/>
                      <w:kern w:val="2"/>
                      <w:sz w:val="21"/>
                      <w:lang w:val="en-US" w:eastAsia="zh-CN"/>
                    </w:rPr>
                    <w:t>0.0034</w:t>
                  </w:r>
                </w:p>
              </w:tc>
              <w:tc>
                <w:tcPr>
                  <w:tcW w:w="1101" w:type="dxa"/>
                  <w:tcBorders>
                    <w:tl2br w:val="nil"/>
                    <w:tr2bl w:val="nil"/>
                  </w:tcBorders>
                  <w:shd w:val="clear" w:color="auto" w:fill="auto"/>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color w:val="auto"/>
                      <w:kern w:val="2"/>
                      <w:sz w:val="21"/>
                      <w:lang w:val="en-US" w:eastAsia="zh-CN"/>
                    </w:rPr>
                  </w:pPr>
                  <w:r>
                    <w:rPr>
                      <w:rFonts w:hint="eastAsia" w:cs="Times New Roman"/>
                      <w:color w:val="auto"/>
                      <w:kern w:val="2"/>
                      <w:sz w:val="21"/>
                      <w:lang w:val="en-US" w:eastAsia="zh-CN"/>
                    </w:rPr>
                    <w:t>0.0113</w:t>
                  </w:r>
                </w:p>
              </w:tc>
              <w:tc>
                <w:tcPr>
                  <w:tcW w:w="990" w:type="dxa"/>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w:t>
                  </w:r>
                </w:p>
              </w:tc>
              <w:tc>
                <w:tcPr>
                  <w:tcW w:w="960" w:type="dxa"/>
                  <w:tcBorders>
                    <w:tl2br w:val="nil"/>
                    <w:tr2bl w:val="nil"/>
                  </w:tcBorders>
                  <w:shd w:val="clear" w:color="auto" w:fill="auto"/>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color w:val="auto"/>
                      <w:kern w:val="2"/>
                      <w:sz w:val="21"/>
                      <w:lang w:val="en-US" w:eastAsia="zh-CN"/>
                    </w:rPr>
                  </w:pPr>
                </w:p>
              </w:tc>
              <w:tc>
                <w:tcPr>
                  <w:tcW w:w="936" w:type="dxa"/>
                  <w:tcBorders>
                    <w:tl2br w:val="nil"/>
                    <w:tr2bl w:val="nil"/>
                  </w:tcBorders>
                  <w:shd w:val="clear" w:color="auto" w:fill="auto"/>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color w:val="auto"/>
                      <w:kern w:val="2"/>
                      <w:sz w:val="21"/>
                      <w:lang w:val="en-US" w:eastAsia="zh-CN"/>
                    </w:rPr>
                  </w:pPr>
                </w:p>
              </w:tc>
              <w:tc>
                <w:tcPr>
                  <w:tcW w:w="1053" w:type="dxa"/>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color w:val="auto"/>
                      <w:kern w:val="2"/>
                      <w:sz w:val="21"/>
                      <w:lang w:val="en-US" w:eastAsia="zh-CN"/>
                    </w:rPr>
                  </w:pPr>
                </w:p>
              </w:tc>
            </w:tr>
            <w:bookmarkEnd w:id="223"/>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58" w:type="dxa"/>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合计</w:t>
                  </w:r>
                </w:p>
              </w:tc>
              <w:tc>
                <w:tcPr>
                  <w:tcW w:w="1540" w:type="dxa"/>
                  <w:gridSpan w:val="2"/>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color w:val="auto"/>
                      <w:kern w:val="2"/>
                      <w:sz w:val="21"/>
                    </w:rPr>
                  </w:pPr>
                  <w:r>
                    <w:rPr>
                      <w:rFonts w:hint="eastAsia" w:cs="Times New Roman"/>
                      <w:color w:val="auto"/>
                      <w:kern w:val="2"/>
                      <w:sz w:val="21"/>
                      <w:lang w:val="en-US" w:eastAsia="zh-CN"/>
                    </w:rPr>
                    <w:t>硫酸雾</w:t>
                  </w:r>
                </w:p>
              </w:tc>
              <w:tc>
                <w:tcPr>
                  <w:tcW w:w="4335" w:type="dxa"/>
                  <w:gridSpan w:val="6"/>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color w:val="auto"/>
                      <w:kern w:val="2"/>
                      <w:sz w:val="21"/>
                      <w:lang w:val="en-US" w:eastAsia="zh-CN"/>
                    </w:rPr>
                  </w:pPr>
                  <w:bookmarkStart w:id="225" w:name="OLE_LINK112"/>
                  <w:bookmarkStart w:id="226" w:name="OLE_LINK203"/>
                  <w:r>
                    <w:rPr>
                      <w:rFonts w:hint="eastAsia" w:cs="Times New Roman"/>
                      <w:color w:val="auto"/>
                      <w:kern w:val="2"/>
                      <w:sz w:val="21"/>
                      <w:lang w:val="en-US" w:eastAsia="zh-CN"/>
                    </w:rPr>
                    <w:t>0.0117</w:t>
                  </w:r>
                  <w:bookmarkEnd w:id="225"/>
                  <w:r>
                    <w:rPr>
                      <w:rFonts w:hint="default" w:ascii="Times New Roman" w:hAnsi="Times New Roman" w:cs="Times New Roman"/>
                      <w:color w:val="auto"/>
                      <w:kern w:val="2"/>
                      <w:sz w:val="21"/>
                    </w:rPr>
                    <w:t>t/a</w:t>
                  </w:r>
                  <w:bookmarkEnd w:id="226"/>
                </w:p>
              </w:tc>
              <w:tc>
                <w:tcPr>
                  <w:tcW w:w="1004" w:type="dxa"/>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color w:val="auto"/>
                      <w:kern w:val="2"/>
                      <w:sz w:val="21"/>
                      <w:lang w:val="en-US" w:eastAsia="zh-CN"/>
                    </w:rPr>
                  </w:pPr>
                </w:p>
              </w:tc>
              <w:tc>
                <w:tcPr>
                  <w:tcW w:w="1101" w:type="dxa"/>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color w:val="auto"/>
                      <w:kern w:val="2"/>
                      <w:sz w:val="21"/>
                      <w:lang w:val="en-US" w:eastAsia="zh-CN"/>
                    </w:rPr>
                  </w:pPr>
                </w:p>
              </w:tc>
              <w:tc>
                <w:tcPr>
                  <w:tcW w:w="990" w:type="dxa"/>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color w:val="auto"/>
                      <w:kern w:val="2"/>
                      <w:sz w:val="21"/>
                      <w:lang w:val="en-US" w:eastAsia="zh-CN"/>
                    </w:rPr>
                  </w:pPr>
                </w:p>
              </w:tc>
              <w:tc>
                <w:tcPr>
                  <w:tcW w:w="960" w:type="dxa"/>
                  <w:tcBorders>
                    <w:tl2br w:val="nil"/>
                    <w:tr2bl w:val="nil"/>
                  </w:tcBorders>
                  <w:shd w:val="clear" w:color="auto" w:fill="auto"/>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color w:val="auto"/>
                      <w:kern w:val="2"/>
                      <w:sz w:val="21"/>
                      <w:lang w:val="en-US" w:eastAsia="zh-CN"/>
                    </w:rPr>
                  </w:pPr>
                </w:p>
              </w:tc>
              <w:tc>
                <w:tcPr>
                  <w:tcW w:w="936" w:type="dxa"/>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color w:val="auto"/>
                      <w:kern w:val="2"/>
                      <w:sz w:val="21"/>
                      <w:lang w:val="en-US" w:eastAsia="zh-CN"/>
                    </w:rPr>
                  </w:pPr>
                </w:p>
              </w:tc>
              <w:tc>
                <w:tcPr>
                  <w:tcW w:w="1053" w:type="dxa"/>
                  <w:tcBorders>
                    <w:tl2br w:val="nil"/>
                    <w:tr2bl w:val="nil"/>
                  </w:tcBorders>
                  <w:noWrap w:val="0"/>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color w:val="auto"/>
                      <w:kern w:val="2"/>
                      <w:sz w:val="21"/>
                      <w:lang w:val="en-US" w:eastAsia="zh-CN"/>
                    </w:rPr>
                  </w:pPr>
                </w:p>
              </w:tc>
            </w:tr>
          </w:tbl>
          <w:p>
            <w:pPr>
              <w:keepNext w:val="0"/>
              <w:keepLines w:val="0"/>
              <w:suppressLineNumbers w:val="0"/>
              <w:adjustRightInd w:val="0"/>
              <w:snapToGrid w:val="0"/>
              <w:spacing w:before="0" w:beforeAutospacing="0" w:after="0" w:afterAutospacing="0" w:line="440" w:lineRule="exact"/>
              <w:ind w:left="0" w:right="0"/>
              <w:textAlignment w:val="baseline"/>
              <w:rPr>
                <w:rFonts w:hint="eastAsia" w:hAnsiTheme="minorEastAsia" w:eastAsiaTheme="minorEastAsia"/>
                <w:b/>
                <w:color w:val="auto"/>
                <w:sz w:val="24"/>
                <w:highlight w:val="none"/>
              </w:rPr>
            </w:pPr>
          </w:p>
          <w:p>
            <w:pPr>
              <w:keepNext w:val="0"/>
              <w:keepLines w:val="0"/>
              <w:suppressLineNumbers w:val="0"/>
              <w:spacing w:before="0" w:beforeAutospacing="0" w:after="0" w:afterAutospacing="0"/>
              <w:ind w:left="0" w:right="0"/>
              <w:jc w:val="both"/>
              <w:rPr>
                <w:color w:val="auto"/>
              </w:rPr>
            </w:pPr>
          </w:p>
        </w:tc>
      </w:tr>
    </w:tbl>
    <w:p>
      <w:pPr>
        <w:rPr>
          <w:color w:val="auto"/>
        </w:rPr>
        <w:sectPr>
          <w:pgSz w:w="16838" w:h="11906" w:orient="landscape"/>
          <w:pgMar w:top="1531" w:right="1701" w:bottom="1531" w:left="1701" w:header="851" w:footer="1191" w:gutter="0"/>
          <w:pgBorders>
            <w:top w:val="none" w:sz="0" w:space="0"/>
            <w:left w:val="none" w:sz="0" w:space="0"/>
            <w:bottom w:val="none" w:sz="0" w:space="0"/>
            <w:right w:val="none" w:sz="0" w:space="0"/>
          </w:pgBorders>
          <w:pgNumType w:fmt="decimal"/>
          <w:cols w:space="720" w:num="1"/>
          <w:docGrid w:linePitch="312" w:charSpace="0"/>
        </w:sectPr>
      </w:pPr>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82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66" w:hRule="atLeast"/>
          <w:jc w:val="center"/>
        </w:trPr>
        <w:tc>
          <w:tcPr>
            <w:tcW w:w="723" w:type="dxa"/>
            <w:tcBorders>
              <w:bottom w:val="single" w:color="auto" w:sz="8" w:space="0"/>
            </w:tcBorders>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ascii="宋体" w:hAnsi="宋体" w:cs="宋体"/>
                <w:bCs/>
                <w:color w:val="auto"/>
                <w:szCs w:val="21"/>
              </w:rPr>
            </w:pPr>
          </w:p>
        </w:tc>
        <w:tc>
          <w:tcPr>
            <w:tcW w:w="8258" w:type="dxa"/>
            <w:tcBorders>
              <w:top w:val="single" w:color="auto" w:sz="8" w:space="0"/>
              <w:bottom w:val="single" w:color="auto" w:sz="8" w:space="0"/>
              <w:right w:val="single" w:color="auto" w:sz="8" w:space="0"/>
            </w:tcBorders>
            <w:vAlign w:val="center"/>
          </w:tcPr>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textAlignment w:val="auto"/>
              <w:rPr>
                <w:rFonts w:hint="eastAsia" w:ascii="Times New Roman" w:hAnsi="Times New Roman" w:eastAsia="宋体" w:cs="Times New Roman"/>
                <w:color w:val="auto"/>
                <w:sz w:val="24"/>
                <w:szCs w:val="24"/>
                <w:lang w:val="en-US" w:eastAsia="zh-CN"/>
              </w:rPr>
            </w:pPr>
            <w:r>
              <w:rPr>
                <w:rFonts w:hint="eastAsia" w:ascii="Times New Roman" w:cs="Times New Roman" w:hAnsiTheme="minorEastAsia" w:eastAsiaTheme="minorEastAsia"/>
                <w:color w:val="auto"/>
                <w:sz w:val="24"/>
                <w:szCs w:val="24"/>
                <w:lang w:val="en-US" w:eastAsia="zh-CN"/>
              </w:rPr>
              <w:t>5、非正常工况环境影</w:t>
            </w:r>
            <w:r>
              <w:rPr>
                <w:rFonts w:hint="eastAsia" w:ascii="Times New Roman" w:hAnsi="Times New Roman" w:eastAsia="宋体" w:cs="Times New Roman"/>
                <w:color w:val="auto"/>
                <w:sz w:val="24"/>
                <w:szCs w:val="24"/>
                <w:lang w:val="en-US" w:eastAsia="zh-CN"/>
              </w:rPr>
              <w:t>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color w:val="auto"/>
                <w:sz w:val="24"/>
                <w:szCs w:val="24"/>
              </w:rPr>
            </w:pPr>
            <w:r>
              <w:rPr>
                <w:color w:val="auto"/>
                <w:sz w:val="24"/>
                <w:szCs w:val="24"/>
              </w:rPr>
              <w:t>项目生产过程中产生的非正常排放主要是污染物排放控制措施达不到应有效率时引起的污染物超标排放，评价以最不利原则按照</w:t>
            </w:r>
            <w:r>
              <w:rPr>
                <w:rFonts w:hint="eastAsia"/>
                <w:color w:val="auto"/>
                <w:sz w:val="24"/>
                <w:szCs w:val="24"/>
              </w:rPr>
              <w:t>废气治理措施</w:t>
            </w:r>
            <w:r>
              <w:rPr>
                <w:color w:val="auto"/>
                <w:sz w:val="24"/>
                <w:szCs w:val="24"/>
              </w:rPr>
              <w:t>处理效率为0时的情况进行分析，非正常排放具体参数见下表。</w:t>
            </w:r>
          </w:p>
          <w:p>
            <w:pPr>
              <w:pStyle w:val="12"/>
              <w:keepNext w:val="0"/>
              <w:keepLines w:val="0"/>
              <w:suppressLineNumbers w:val="0"/>
              <w:bidi w:val="0"/>
              <w:spacing w:before="0" w:beforeAutospacing="0" w:after="0" w:afterAutospacing="0"/>
              <w:ind w:left="0" w:right="0"/>
              <w:rPr>
                <w:rFonts w:hint="default"/>
                <w:color w:val="auto"/>
              </w:rPr>
            </w:pPr>
            <w:r>
              <w:rPr>
                <w:rFonts w:hint="eastAsia"/>
                <w:color w:val="auto"/>
              </w:rPr>
              <w:t>表</w:t>
            </w:r>
            <w:r>
              <w:rPr>
                <w:rFonts w:hint="eastAsia"/>
                <w:color w:val="auto"/>
                <w:lang w:val="en-US" w:eastAsia="zh-CN"/>
              </w:rPr>
              <w:t xml:space="preserve"> 4-5    </w:t>
            </w:r>
            <w:r>
              <w:rPr>
                <w:rFonts w:hint="default"/>
                <w:color w:val="auto"/>
              </w:rPr>
              <w:t>非正常排放参数</w:t>
            </w:r>
            <w:r>
              <w:rPr>
                <w:rFonts w:hint="eastAsia"/>
                <w:color w:val="auto"/>
              </w:rPr>
              <w:t>一览表</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83"/>
              <w:gridCol w:w="1649"/>
              <w:gridCol w:w="977"/>
              <w:gridCol w:w="1084"/>
              <w:gridCol w:w="1278"/>
              <w:gridCol w:w="849"/>
              <w:gridCol w:w="122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984" w:type="dxa"/>
                  <w:tcBorders>
                    <w:tl2br w:val="nil"/>
                    <w:tr2bl w:val="nil"/>
                  </w:tcBorders>
                  <w:shd w:val="clear" w:color="auto" w:fill="auto"/>
                  <w:vAlign w:val="center"/>
                </w:tcPr>
                <w:p>
                  <w:pPr>
                    <w:pStyle w:val="28"/>
                    <w:keepNext w:val="0"/>
                    <w:keepLines w:val="0"/>
                    <w:widowControl/>
                    <w:suppressLineNumbers w:val="0"/>
                    <w:bidi w:val="0"/>
                    <w:spacing w:before="0" w:beforeAutospacing="0" w:after="0" w:afterAutospacing="0"/>
                    <w:ind w:left="0" w:right="0"/>
                    <w:rPr>
                      <w:b/>
                      <w:bCs/>
                      <w:color w:val="auto"/>
                      <w:kern w:val="2"/>
                      <w:sz w:val="21"/>
                    </w:rPr>
                  </w:pPr>
                  <w:r>
                    <w:rPr>
                      <w:rFonts w:hint="eastAsia"/>
                      <w:b/>
                      <w:bCs/>
                      <w:color w:val="auto"/>
                      <w:kern w:val="2"/>
                      <w:sz w:val="21"/>
                      <w:lang w:val="en-US" w:eastAsia="zh-CN"/>
                    </w:rPr>
                    <w:t>非正常</w:t>
                  </w:r>
                </w:p>
                <w:p>
                  <w:pPr>
                    <w:pStyle w:val="28"/>
                    <w:keepNext w:val="0"/>
                    <w:keepLines w:val="0"/>
                    <w:widowControl/>
                    <w:suppressLineNumbers w:val="0"/>
                    <w:bidi w:val="0"/>
                    <w:spacing w:before="0" w:beforeAutospacing="0" w:after="0" w:afterAutospacing="0"/>
                    <w:ind w:left="0" w:right="0"/>
                    <w:rPr>
                      <w:b/>
                      <w:bCs/>
                      <w:color w:val="auto"/>
                      <w:kern w:val="2"/>
                      <w:sz w:val="21"/>
                    </w:rPr>
                  </w:pPr>
                  <w:r>
                    <w:rPr>
                      <w:rFonts w:hint="eastAsia"/>
                      <w:b/>
                      <w:bCs/>
                      <w:color w:val="auto"/>
                      <w:kern w:val="2"/>
                      <w:sz w:val="21"/>
                      <w:lang w:val="en-US" w:eastAsia="zh-CN"/>
                    </w:rPr>
                    <w:t>排放源</w:t>
                  </w:r>
                </w:p>
              </w:tc>
              <w:tc>
                <w:tcPr>
                  <w:tcW w:w="1650" w:type="dxa"/>
                  <w:tcBorders>
                    <w:tl2br w:val="nil"/>
                    <w:tr2bl w:val="nil"/>
                  </w:tcBorders>
                  <w:shd w:val="clear" w:color="auto" w:fill="auto"/>
                  <w:vAlign w:val="center"/>
                </w:tcPr>
                <w:p>
                  <w:pPr>
                    <w:pStyle w:val="28"/>
                    <w:keepNext w:val="0"/>
                    <w:keepLines w:val="0"/>
                    <w:widowControl/>
                    <w:suppressLineNumbers w:val="0"/>
                    <w:bidi w:val="0"/>
                    <w:spacing w:before="0" w:beforeAutospacing="0" w:after="0" w:afterAutospacing="0"/>
                    <w:ind w:left="0" w:right="0"/>
                    <w:rPr>
                      <w:b/>
                      <w:bCs/>
                      <w:color w:val="auto"/>
                      <w:kern w:val="2"/>
                      <w:sz w:val="21"/>
                    </w:rPr>
                  </w:pPr>
                  <w:r>
                    <w:rPr>
                      <w:rFonts w:hint="eastAsia"/>
                      <w:b/>
                      <w:bCs/>
                      <w:color w:val="auto"/>
                      <w:kern w:val="2"/>
                      <w:sz w:val="21"/>
                      <w:lang w:val="en-US" w:eastAsia="zh-CN"/>
                    </w:rPr>
                    <w:t>非正常排放</w:t>
                  </w:r>
                </w:p>
                <w:p>
                  <w:pPr>
                    <w:pStyle w:val="28"/>
                    <w:keepNext w:val="0"/>
                    <w:keepLines w:val="0"/>
                    <w:widowControl/>
                    <w:suppressLineNumbers w:val="0"/>
                    <w:bidi w:val="0"/>
                    <w:spacing w:before="0" w:beforeAutospacing="0" w:after="0" w:afterAutospacing="0"/>
                    <w:ind w:left="0" w:right="0"/>
                    <w:rPr>
                      <w:b/>
                      <w:bCs/>
                      <w:color w:val="auto"/>
                      <w:kern w:val="2"/>
                      <w:sz w:val="21"/>
                    </w:rPr>
                  </w:pPr>
                  <w:r>
                    <w:rPr>
                      <w:rFonts w:hint="eastAsia"/>
                      <w:b/>
                      <w:bCs/>
                      <w:color w:val="auto"/>
                      <w:kern w:val="2"/>
                      <w:sz w:val="21"/>
                      <w:lang w:val="en-US" w:eastAsia="zh-CN"/>
                    </w:rPr>
                    <w:t>原因</w:t>
                  </w:r>
                </w:p>
              </w:tc>
              <w:tc>
                <w:tcPr>
                  <w:tcW w:w="977" w:type="dxa"/>
                  <w:tcBorders>
                    <w:tl2br w:val="nil"/>
                    <w:tr2bl w:val="nil"/>
                  </w:tcBorders>
                  <w:shd w:val="clear" w:color="auto" w:fill="auto"/>
                  <w:vAlign w:val="center"/>
                </w:tcPr>
                <w:p>
                  <w:pPr>
                    <w:pStyle w:val="28"/>
                    <w:keepNext w:val="0"/>
                    <w:keepLines w:val="0"/>
                    <w:widowControl/>
                    <w:suppressLineNumbers w:val="0"/>
                    <w:bidi w:val="0"/>
                    <w:spacing w:before="0" w:beforeAutospacing="0" w:after="0" w:afterAutospacing="0"/>
                    <w:ind w:left="0" w:right="0"/>
                    <w:rPr>
                      <w:b/>
                      <w:bCs/>
                      <w:color w:val="auto"/>
                      <w:kern w:val="2"/>
                      <w:sz w:val="21"/>
                    </w:rPr>
                  </w:pPr>
                  <w:r>
                    <w:rPr>
                      <w:rFonts w:hint="eastAsia"/>
                      <w:b/>
                      <w:bCs/>
                      <w:color w:val="auto"/>
                      <w:kern w:val="2"/>
                      <w:sz w:val="21"/>
                      <w:lang w:val="en-US" w:eastAsia="zh-CN"/>
                    </w:rPr>
                    <w:t>污染物</w:t>
                  </w:r>
                </w:p>
              </w:tc>
              <w:tc>
                <w:tcPr>
                  <w:tcW w:w="1084" w:type="dxa"/>
                  <w:tcBorders>
                    <w:tl2br w:val="nil"/>
                    <w:tr2bl w:val="nil"/>
                  </w:tcBorders>
                  <w:shd w:val="clear" w:color="auto" w:fill="auto"/>
                  <w:vAlign w:val="center"/>
                </w:tcPr>
                <w:p>
                  <w:pPr>
                    <w:pStyle w:val="28"/>
                    <w:keepNext w:val="0"/>
                    <w:keepLines w:val="0"/>
                    <w:widowControl/>
                    <w:suppressLineNumbers w:val="0"/>
                    <w:bidi w:val="0"/>
                    <w:spacing w:before="0" w:beforeAutospacing="0" w:after="0" w:afterAutospacing="0"/>
                    <w:ind w:left="0" w:right="0"/>
                    <w:rPr>
                      <w:b/>
                      <w:bCs/>
                      <w:color w:val="auto"/>
                      <w:kern w:val="2"/>
                      <w:sz w:val="21"/>
                    </w:rPr>
                  </w:pPr>
                  <w:r>
                    <w:rPr>
                      <w:rFonts w:hint="eastAsia"/>
                      <w:b/>
                      <w:bCs/>
                      <w:color w:val="auto"/>
                      <w:kern w:val="2"/>
                      <w:sz w:val="21"/>
                      <w:lang w:val="en-US" w:eastAsia="zh-CN"/>
                    </w:rPr>
                    <w:t>非正常排放量（</w:t>
                  </w:r>
                  <w:r>
                    <w:rPr>
                      <w:rFonts w:hint="default"/>
                      <w:b/>
                      <w:bCs/>
                      <w:color w:val="auto"/>
                      <w:kern w:val="2"/>
                      <w:sz w:val="21"/>
                      <w:lang w:val="en-US" w:eastAsia="zh-CN"/>
                    </w:rPr>
                    <w:t>kg/h</w:t>
                  </w:r>
                  <w:r>
                    <w:rPr>
                      <w:rFonts w:hint="eastAsia"/>
                      <w:b/>
                      <w:bCs/>
                      <w:color w:val="auto"/>
                      <w:kern w:val="2"/>
                      <w:sz w:val="21"/>
                      <w:lang w:val="en-US" w:eastAsia="zh-CN"/>
                    </w:rPr>
                    <w:t>）</w:t>
                  </w:r>
                </w:p>
              </w:tc>
              <w:tc>
                <w:tcPr>
                  <w:tcW w:w="1278" w:type="dxa"/>
                  <w:tcBorders>
                    <w:tl2br w:val="nil"/>
                    <w:tr2bl w:val="nil"/>
                  </w:tcBorders>
                  <w:shd w:val="clear" w:color="auto" w:fill="auto"/>
                  <w:vAlign w:val="center"/>
                </w:tcPr>
                <w:p>
                  <w:pPr>
                    <w:pStyle w:val="28"/>
                    <w:keepNext w:val="0"/>
                    <w:keepLines w:val="0"/>
                    <w:widowControl/>
                    <w:suppressLineNumbers w:val="0"/>
                    <w:bidi w:val="0"/>
                    <w:spacing w:before="0" w:beforeAutospacing="0" w:after="0" w:afterAutospacing="0"/>
                    <w:ind w:left="0" w:right="0"/>
                    <w:rPr>
                      <w:rFonts w:hint="eastAsia"/>
                      <w:b/>
                      <w:bCs/>
                      <w:color w:val="auto"/>
                      <w:kern w:val="2"/>
                      <w:sz w:val="21"/>
                      <w:lang w:val="en-US" w:eastAsia="zh-CN"/>
                    </w:rPr>
                  </w:pPr>
                  <w:r>
                    <w:rPr>
                      <w:rFonts w:hint="eastAsia"/>
                      <w:b/>
                      <w:bCs/>
                      <w:color w:val="auto"/>
                      <w:kern w:val="2"/>
                      <w:sz w:val="21"/>
                      <w:lang w:val="en-US" w:eastAsia="zh-CN"/>
                    </w:rPr>
                    <w:t>非正常排放浓度</w:t>
                  </w:r>
                </w:p>
                <w:p>
                  <w:pPr>
                    <w:pStyle w:val="28"/>
                    <w:keepNext w:val="0"/>
                    <w:keepLines w:val="0"/>
                    <w:widowControl/>
                    <w:suppressLineNumbers w:val="0"/>
                    <w:bidi w:val="0"/>
                    <w:spacing w:before="0" w:beforeAutospacing="0" w:after="0" w:afterAutospacing="0"/>
                    <w:ind w:left="0" w:right="0"/>
                    <w:rPr>
                      <w:b/>
                      <w:bCs/>
                      <w:color w:val="auto"/>
                      <w:kern w:val="2"/>
                      <w:sz w:val="21"/>
                    </w:rPr>
                  </w:pPr>
                  <w:r>
                    <w:rPr>
                      <w:rFonts w:hint="eastAsia"/>
                      <w:b/>
                      <w:bCs/>
                      <w:color w:val="auto"/>
                      <w:kern w:val="2"/>
                      <w:sz w:val="21"/>
                      <w:lang w:val="en-US" w:eastAsia="zh-CN"/>
                    </w:rPr>
                    <w:t>（</w:t>
                  </w:r>
                  <w:r>
                    <w:rPr>
                      <w:rFonts w:hint="default"/>
                      <w:b/>
                      <w:bCs/>
                      <w:color w:val="auto"/>
                      <w:kern w:val="2"/>
                      <w:sz w:val="21"/>
                      <w:lang w:val="en-US" w:eastAsia="zh-CN"/>
                    </w:rPr>
                    <w:t>mg/</w:t>
                  </w:r>
                  <w:r>
                    <w:rPr>
                      <w:rFonts w:hint="eastAsia"/>
                      <w:b/>
                      <w:bCs/>
                      <w:color w:val="auto"/>
                      <w:kern w:val="2"/>
                      <w:sz w:val="21"/>
                      <w:lang w:val="en-US" w:eastAsia="zh-CN"/>
                    </w:rPr>
                    <w:t>m³）</w:t>
                  </w:r>
                </w:p>
              </w:tc>
              <w:tc>
                <w:tcPr>
                  <w:tcW w:w="849" w:type="dxa"/>
                  <w:tcBorders>
                    <w:tl2br w:val="nil"/>
                    <w:tr2bl w:val="nil"/>
                  </w:tcBorders>
                  <w:shd w:val="clear" w:color="auto" w:fill="auto"/>
                  <w:vAlign w:val="center"/>
                </w:tcPr>
                <w:p>
                  <w:pPr>
                    <w:pStyle w:val="28"/>
                    <w:keepNext w:val="0"/>
                    <w:keepLines w:val="0"/>
                    <w:widowControl/>
                    <w:suppressLineNumbers w:val="0"/>
                    <w:bidi w:val="0"/>
                    <w:spacing w:before="0" w:beforeAutospacing="0" w:after="0" w:afterAutospacing="0"/>
                    <w:ind w:left="0" w:right="0"/>
                    <w:rPr>
                      <w:b/>
                      <w:bCs/>
                      <w:color w:val="auto"/>
                      <w:kern w:val="2"/>
                      <w:sz w:val="21"/>
                    </w:rPr>
                  </w:pPr>
                  <w:r>
                    <w:rPr>
                      <w:rFonts w:hint="eastAsia"/>
                      <w:b/>
                      <w:bCs/>
                      <w:color w:val="auto"/>
                      <w:kern w:val="2"/>
                      <w:sz w:val="21"/>
                      <w:lang w:val="en-US" w:eastAsia="zh-CN"/>
                    </w:rPr>
                    <w:t>单次持续时间</w:t>
                  </w:r>
                  <w:r>
                    <w:rPr>
                      <w:rFonts w:hint="default"/>
                      <w:b/>
                      <w:bCs/>
                      <w:color w:val="auto"/>
                      <w:kern w:val="2"/>
                      <w:sz w:val="21"/>
                      <w:lang w:val="en-US" w:eastAsia="zh-CN"/>
                    </w:rPr>
                    <w:t>/h</w:t>
                  </w:r>
                </w:p>
              </w:tc>
              <w:tc>
                <w:tcPr>
                  <w:tcW w:w="1221" w:type="dxa"/>
                  <w:tcBorders>
                    <w:tl2br w:val="nil"/>
                    <w:tr2bl w:val="nil"/>
                  </w:tcBorders>
                  <w:shd w:val="clear" w:color="auto" w:fill="auto"/>
                  <w:vAlign w:val="center"/>
                </w:tcPr>
                <w:p>
                  <w:pPr>
                    <w:pStyle w:val="28"/>
                    <w:keepNext w:val="0"/>
                    <w:keepLines w:val="0"/>
                    <w:widowControl/>
                    <w:suppressLineNumbers w:val="0"/>
                    <w:bidi w:val="0"/>
                    <w:spacing w:before="0" w:beforeAutospacing="0" w:after="0" w:afterAutospacing="0"/>
                    <w:ind w:left="0" w:right="0"/>
                    <w:rPr>
                      <w:b/>
                      <w:bCs/>
                      <w:color w:val="auto"/>
                      <w:kern w:val="2"/>
                      <w:sz w:val="21"/>
                    </w:rPr>
                  </w:pPr>
                  <w:r>
                    <w:rPr>
                      <w:rFonts w:hint="eastAsia"/>
                      <w:b/>
                      <w:bCs/>
                      <w:color w:val="auto"/>
                      <w:kern w:val="2"/>
                      <w:sz w:val="21"/>
                      <w:lang w:val="en-US" w:eastAsia="zh-CN"/>
                    </w:rPr>
                    <w:t>发生频次（年</w:t>
                  </w:r>
                  <w:r>
                    <w:rPr>
                      <w:rFonts w:hint="default"/>
                      <w:b/>
                      <w:bCs/>
                      <w:color w:val="auto"/>
                      <w:kern w:val="2"/>
                      <w:sz w:val="21"/>
                      <w:lang w:val="en-US" w:eastAsia="zh-CN"/>
                    </w:rPr>
                    <w:t>/</w:t>
                  </w:r>
                  <w:r>
                    <w:rPr>
                      <w:rFonts w:hint="eastAsia"/>
                      <w:b/>
                      <w:bCs/>
                      <w:color w:val="auto"/>
                      <w:kern w:val="2"/>
                      <w:sz w:val="21"/>
                      <w:lang w:val="en-US" w:eastAsia="zh-CN"/>
                    </w:rPr>
                    <w:t>次）</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984" w:type="dxa"/>
                  <w:tcBorders>
                    <w:tl2br w:val="nil"/>
                    <w:tr2bl w:val="nil"/>
                  </w:tcBorders>
                  <w:shd w:val="clear" w:color="auto" w:fill="auto"/>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lang w:val="en-US" w:eastAsia="zh-CN"/>
                    </w:rPr>
                  </w:pPr>
                  <w:r>
                    <w:rPr>
                      <w:rFonts w:hint="eastAsia"/>
                      <w:color w:val="auto"/>
                      <w:kern w:val="2"/>
                      <w:sz w:val="21"/>
                      <w:lang w:val="en-US" w:eastAsia="zh-CN"/>
                    </w:rPr>
                    <w:t>酸雾吸收塔</w:t>
                  </w:r>
                </w:p>
              </w:tc>
              <w:tc>
                <w:tcPr>
                  <w:tcW w:w="1650" w:type="dxa"/>
                  <w:tcBorders>
                    <w:tl2br w:val="nil"/>
                    <w:tr2bl w:val="nil"/>
                  </w:tcBorders>
                  <w:shd w:val="clear" w:color="auto" w:fill="auto"/>
                  <w:vAlign w:val="center"/>
                </w:tcPr>
                <w:p>
                  <w:pPr>
                    <w:pStyle w:val="28"/>
                    <w:keepNext w:val="0"/>
                    <w:keepLines w:val="0"/>
                    <w:widowControl/>
                    <w:suppressLineNumbers w:val="0"/>
                    <w:bidi w:val="0"/>
                    <w:spacing w:before="0" w:beforeAutospacing="0" w:after="0" w:afterAutospacing="0"/>
                    <w:ind w:left="0" w:right="0"/>
                    <w:rPr>
                      <w:color w:val="auto"/>
                      <w:kern w:val="2"/>
                      <w:sz w:val="21"/>
                    </w:rPr>
                  </w:pPr>
                  <w:r>
                    <w:rPr>
                      <w:color w:val="auto"/>
                      <w:kern w:val="2"/>
                      <w:sz w:val="21"/>
                    </w:rPr>
                    <w:t>污染物排放控制措施达不到应有效率，处理效率为0</w:t>
                  </w:r>
                </w:p>
              </w:tc>
              <w:tc>
                <w:tcPr>
                  <w:tcW w:w="977" w:type="dxa"/>
                  <w:tcBorders>
                    <w:tl2br w:val="nil"/>
                    <w:tr2bl w:val="nil"/>
                  </w:tcBorders>
                  <w:shd w:val="clear" w:color="auto" w:fill="auto"/>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lang w:val="en-US" w:eastAsia="zh-CN"/>
                    </w:rPr>
                  </w:pPr>
                  <w:r>
                    <w:rPr>
                      <w:rFonts w:hint="eastAsia"/>
                      <w:color w:val="auto"/>
                      <w:kern w:val="2"/>
                      <w:sz w:val="21"/>
                      <w:lang w:val="en-US" w:eastAsia="zh-CN"/>
                    </w:rPr>
                    <w:t>硫酸雾</w:t>
                  </w:r>
                </w:p>
              </w:tc>
              <w:tc>
                <w:tcPr>
                  <w:tcW w:w="1084" w:type="dxa"/>
                  <w:tcBorders>
                    <w:tl2br w:val="nil"/>
                    <w:tr2bl w:val="nil"/>
                  </w:tcBorders>
                  <w:shd w:val="clear" w:color="auto" w:fill="auto"/>
                  <w:vAlign w:val="center"/>
                </w:tcPr>
                <w:p>
                  <w:pPr>
                    <w:pStyle w:val="28"/>
                    <w:keepNext w:val="0"/>
                    <w:keepLines w:val="0"/>
                    <w:widowControl/>
                    <w:suppressLineNumbers w:val="0"/>
                    <w:bidi w:val="0"/>
                    <w:spacing w:before="0" w:beforeAutospacing="0" w:after="0" w:afterAutospacing="0"/>
                    <w:ind w:left="0" w:leftChars="0" w:right="0" w:rightChars="0" w:firstLine="0" w:firstLineChars="0"/>
                    <w:rPr>
                      <w:rFonts w:hint="default"/>
                      <w:color w:val="auto"/>
                      <w:kern w:val="2"/>
                      <w:sz w:val="21"/>
                      <w:lang w:val="en-US" w:eastAsia="zh-CN"/>
                    </w:rPr>
                  </w:pPr>
                  <w:r>
                    <w:rPr>
                      <w:rFonts w:hint="eastAsia" w:cs="Times New Roman"/>
                      <w:color w:val="auto"/>
                      <w:kern w:val="2"/>
                      <w:sz w:val="21"/>
                      <w:lang w:val="en-US" w:eastAsia="zh-CN"/>
                    </w:rPr>
                    <w:t>0.5557</w:t>
                  </w:r>
                </w:p>
              </w:tc>
              <w:tc>
                <w:tcPr>
                  <w:tcW w:w="1278" w:type="dxa"/>
                  <w:tcBorders>
                    <w:tl2br w:val="nil"/>
                    <w:tr2bl w:val="nil"/>
                  </w:tcBorders>
                  <w:shd w:val="clear" w:color="auto" w:fill="auto"/>
                  <w:vAlign w:val="center"/>
                </w:tcPr>
                <w:p>
                  <w:pPr>
                    <w:pStyle w:val="28"/>
                    <w:keepNext w:val="0"/>
                    <w:keepLines w:val="0"/>
                    <w:widowControl/>
                    <w:suppressLineNumbers w:val="0"/>
                    <w:bidi w:val="0"/>
                    <w:spacing w:before="0" w:beforeAutospacing="0" w:after="0" w:afterAutospacing="0"/>
                    <w:ind w:left="0" w:leftChars="0" w:right="0" w:rightChars="0" w:firstLine="0" w:firstLineChars="0"/>
                    <w:rPr>
                      <w:rFonts w:hint="default"/>
                      <w:color w:val="auto"/>
                      <w:kern w:val="2"/>
                      <w:sz w:val="21"/>
                      <w:lang w:val="en-US" w:eastAsia="zh-CN"/>
                    </w:rPr>
                  </w:pPr>
                  <w:r>
                    <w:rPr>
                      <w:rFonts w:hint="eastAsia" w:cs="Times New Roman"/>
                      <w:color w:val="auto"/>
                      <w:kern w:val="2"/>
                      <w:sz w:val="21"/>
                      <w:lang w:val="en-US" w:eastAsia="zh-CN"/>
                    </w:rPr>
                    <w:t>277.83</w:t>
                  </w:r>
                </w:p>
              </w:tc>
              <w:tc>
                <w:tcPr>
                  <w:tcW w:w="849" w:type="dxa"/>
                  <w:tcBorders>
                    <w:tl2br w:val="nil"/>
                    <w:tr2bl w:val="nil"/>
                  </w:tcBorders>
                  <w:shd w:val="clear" w:color="auto" w:fill="auto"/>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lang w:val="en-US" w:eastAsia="zh-CN"/>
                    </w:rPr>
                  </w:pPr>
                  <w:r>
                    <w:rPr>
                      <w:rFonts w:hint="eastAsia"/>
                      <w:color w:val="auto"/>
                      <w:kern w:val="2"/>
                      <w:sz w:val="21"/>
                      <w:lang w:val="en-US" w:eastAsia="zh-CN"/>
                    </w:rPr>
                    <w:t>1</w:t>
                  </w:r>
                </w:p>
              </w:tc>
              <w:tc>
                <w:tcPr>
                  <w:tcW w:w="1221" w:type="dxa"/>
                  <w:tcBorders>
                    <w:tl2br w:val="nil"/>
                    <w:tr2bl w:val="nil"/>
                  </w:tcBorders>
                  <w:shd w:val="clear" w:color="auto" w:fill="auto"/>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lang w:val="en-US" w:eastAsia="zh-CN"/>
                    </w:rPr>
                  </w:pPr>
                  <w:r>
                    <w:rPr>
                      <w:rFonts w:hint="default"/>
                      <w:color w:val="auto"/>
                      <w:kern w:val="2"/>
                      <w:sz w:val="21"/>
                      <w:lang w:val="en-US" w:eastAsia="zh-CN"/>
                    </w:rPr>
                    <w:t>1</w:t>
                  </w:r>
                </w:p>
              </w:tc>
            </w:tr>
          </w:tbl>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92" w:firstLineChars="200"/>
              <w:textAlignment w:val="auto"/>
              <w:rPr>
                <w:rFonts w:ascii="Times New Roman" w:hAnsi="Times New Roman" w:eastAsiaTheme="minorEastAsia"/>
                <w:color w:val="auto"/>
                <w:sz w:val="24"/>
                <w:szCs w:val="24"/>
              </w:rPr>
            </w:pPr>
            <w:r>
              <w:rPr>
                <w:b w:val="0"/>
                <w:color w:val="auto"/>
                <w:spacing w:val="3"/>
                <w:sz w:val="24"/>
                <w:szCs w:val="24"/>
              </w:rPr>
              <w:t>项目发现</w:t>
            </w:r>
            <w:r>
              <w:rPr>
                <w:b w:val="0"/>
                <w:snapToGrid w:val="0"/>
                <w:color w:val="auto"/>
                <w:sz w:val="24"/>
                <w:szCs w:val="24"/>
              </w:rPr>
              <w:t>废气治理装置</w:t>
            </w:r>
            <w:r>
              <w:rPr>
                <w:rFonts w:ascii="宋体" w:hAnsi="宋体" w:eastAsia="宋体" w:cs="Times New Roman"/>
                <w:b w:val="0"/>
                <w:snapToGrid w:val="0"/>
                <w:color w:val="auto"/>
                <w:sz w:val="24"/>
                <w:szCs w:val="24"/>
              </w:rPr>
              <w:t>出现故障应立即</w:t>
            </w:r>
            <w:r>
              <w:rPr>
                <w:rFonts w:hint="eastAsia" w:ascii="宋体" w:hAnsi="宋体" w:eastAsia="宋体" w:cs="Times New Roman"/>
                <w:b w:val="0"/>
                <w:snapToGrid w:val="0"/>
                <w:color w:val="auto"/>
                <w:sz w:val="24"/>
                <w:szCs w:val="24"/>
                <w:lang w:val="en-US" w:eastAsia="zh-CN"/>
              </w:rPr>
              <w:t>对</w:t>
            </w:r>
            <w:r>
              <w:rPr>
                <w:rFonts w:ascii="宋体" w:hAnsi="宋体" w:eastAsia="宋体" w:cs="Times New Roman"/>
                <w:b w:val="0"/>
                <w:snapToGrid w:val="0"/>
                <w:color w:val="auto"/>
                <w:sz w:val="24"/>
                <w:szCs w:val="24"/>
              </w:rPr>
              <w:t>破损电池</w:t>
            </w:r>
            <w:r>
              <w:rPr>
                <w:rFonts w:hint="eastAsia" w:ascii="宋体" w:hAnsi="宋体" w:eastAsia="宋体" w:cs="Times New Roman"/>
                <w:b w:val="0"/>
                <w:snapToGrid w:val="0"/>
                <w:color w:val="auto"/>
                <w:sz w:val="24"/>
                <w:szCs w:val="24"/>
                <w:lang w:val="en-US" w:eastAsia="zh-CN"/>
              </w:rPr>
              <w:t>储存</w:t>
            </w:r>
            <w:r>
              <w:rPr>
                <w:rFonts w:ascii="宋体" w:hAnsi="宋体" w:eastAsia="宋体" w:cs="Times New Roman"/>
                <w:b w:val="0"/>
                <w:snapToGrid w:val="0"/>
                <w:color w:val="auto"/>
                <w:sz w:val="24"/>
                <w:szCs w:val="24"/>
              </w:rPr>
              <w:t>区</w:t>
            </w:r>
            <w:r>
              <w:rPr>
                <w:rFonts w:hint="eastAsia" w:ascii="宋体" w:hAnsi="宋体" w:eastAsia="宋体" w:cs="Times New Roman"/>
                <w:b w:val="0"/>
                <w:snapToGrid w:val="0"/>
                <w:color w:val="auto"/>
                <w:sz w:val="24"/>
                <w:szCs w:val="24"/>
                <w:lang w:val="en-US" w:eastAsia="zh-CN"/>
              </w:rPr>
              <w:t>密闭，不再进行物料运输</w:t>
            </w:r>
            <w:r>
              <w:rPr>
                <w:rFonts w:ascii="宋体" w:hAnsi="宋体" w:eastAsia="宋体" w:cs="Times New Roman"/>
                <w:b w:val="0"/>
                <w:snapToGrid w:val="0"/>
                <w:color w:val="auto"/>
                <w:sz w:val="24"/>
                <w:szCs w:val="24"/>
              </w:rPr>
              <w:t>。</w:t>
            </w: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textAlignment w:val="auto"/>
              <w:rPr>
                <w:rFonts w:ascii="Times New Roman" w:hAnsi="Times New Roman" w:eastAsiaTheme="minorEastAsia"/>
                <w:color w:val="auto"/>
                <w:sz w:val="24"/>
                <w:szCs w:val="24"/>
              </w:rPr>
            </w:pPr>
            <w:r>
              <w:rPr>
                <w:rFonts w:hint="eastAsia" w:ascii="Times New Roman" w:hAnsiTheme="minorEastAsia" w:eastAsiaTheme="minorEastAsia"/>
                <w:color w:val="auto"/>
                <w:sz w:val="24"/>
                <w:szCs w:val="24"/>
                <w:lang w:val="en-US" w:eastAsia="zh-CN"/>
              </w:rPr>
              <w:t>6</w:t>
            </w:r>
            <w:r>
              <w:rPr>
                <w:rFonts w:ascii="Times New Roman" w:hAnsiTheme="minorEastAsia" w:eastAsiaTheme="minorEastAsia"/>
                <w:color w:val="auto"/>
                <w:sz w:val="24"/>
                <w:szCs w:val="24"/>
              </w:rPr>
              <w:t>、废气监测方案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eastAsiaTheme="minorEastAsia"/>
                <w:color w:val="auto"/>
                <w:sz w:val="24"/>
                <w:szCs w:val="24"/>
              </w:rPr>
            </w:pPr>
            <w:r>
              <w:rPr>
                <w:bCs/>
                <w:color w:val="auto"/>
                <w:sz w:val="24"/>
                <w:szCs w:val="24"/>
              </w:rPr>
              <w:t>根据</w:t>
            </w:r>
            <w:r>
              <w:rPr>
                <w:rFonts w:hint="default" w:ascii="Times New Roman" w:hAnsi="Times New Roman" w:cs="Times New Roman" w:eastAsiaTheme="minorEastAsia"/>
                <w:color w:val="auto"/>
                <w:sz w:val="24"/>
                <w:szCs w:val="24"/>
              </w:rPr>
              <w:t>《排污单位自行监测技术指南 工业固体废物和危险废物治理》（HJ1250</w:t>
            </w:r>
            <w:r>
              <w:rPr>
                <w:rFonts w:hint="default"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rPr>
              <w:t>2022）</w:t>
            </w:r>
            <w:r>
              <w:rPr>
                <w:bCs/>
                <w:color w:val="auto"/>
                <w:sz w:val="24"/>
                <w:szCs w:val="24"/>
              </w:rPr>
              <w:t>的规定，</w:t>
            </w:r>
            <w:r>
              <w:rPr>
                <w:rFonts w:hAnsiTheme="minorEastAsia" w:eastAsiaTheme="minorEastAsia"/>
                <w:color w:val="auto"/>
                <w:sz w:val="24"/>
                <w:szCs w:val="24"/>
              </w:rPr>
              <w:t>评价提出项目在运行阶段的污染源监测计划，具体监测计划见下表。</w:t>
            </w:r>
          </w:p>
          <w:p>
            <w:pPr>
              <w:pStyle w:val="12"/>
              <w:keepNext w:val="0"/>
              <w:keepLines w:val="0"/>
              <w:suppressLineNumbers w:val="0"/>
              <w:bidi w:val="0"/>
              <w:spacing w:before="0" w:beforeAutospacing="0" w:after="0" w:afterAutospacing="0"/>
              <w:ind w:left="0" w:right="0"/>
              <w:rPr>
                <w:rFonts w:hint="default"/>
                <w:color w:val="auto"/>
              </w:rPr>
            </w:pPr>
            <w:r>
              <w:rPr>
                <w:rFonts w:hint="default"/>
                <w:color w:val="auto"/>
              </w:rPr>
              <w:t>表</w:t>
            </w:r>
            <w:r>
              <w:rPr>
                <w:rFonts w:hint="eastAsia"/>
                <w:color w:val="auto"/>
                <w:lang w:val="en-US" w:eastAsia="zh-CN"/>
              </w:rPr>
              <w:t xml:space="preserve"> 4-6    </w:t>
            </w:r>
            <w:r>
              <w:rPr>
                <w:rFonts w:hint="default"/>
                <w:color w:val="auto"/>
              </w:rPr>
              <w:t>监测计划一览表</w:t>
            </w:r>
          </w:p>
          <w:tbl>
            <w:tblPr>
              <w:tblStyle w:val="22"/>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436"/>
              <w:gridCol w:w="2996"/>
              <w:gridCol w:w="260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2437" w:type="dxa"/>
                  <w:tcBorders>
                    <w:tl2br w:val="nil"/>
                    <w:tr2bl w:val="nil"/>
                  </w:tcBorders>
                  <w:shd w:val="clear" w:color="auto" w:fill="auto"/>
                  <w:noWrap w:val="0"/>
                  <w:vAlign w:val="center"/>
                </w:tcPr>
                <w:p>
                  <w:pPr>
                    <w:pStyle w:val="28"/>
                    <w:keepNext w:val="0"/>
                    <w:keepLines w:val="0"/>
                    <w:widowControl/>
                    <w:suppressLineNumbers w:val="0"/>
                    <w:bidi w:val="0"/>
                    <w:spacing w:before="0" w:beforeAutospacing="0" w:after="0" w:afterAutospacing="0"/>
                    <w:ind w:left="0" w:right="0"/>
                    <w:rPr>
                      <w:b/>
                      <w:bCs/>
                      <w:color w:val="auto"/>
                      <w:kern w:val="2"/>
                      <w:sz w:val="21"/>
                    </w:rPr>
                  </w:pPr>
                  <w:r>
                    <w:rPr>
                      <w:b/>
                      <w:bCs/>
                      <w:color w:val="auto"/>
                      <w:kern w:val="2"/>
                      <w:sz w:val="21"/>
                    </w:rPr>
                    <w:t>监测点位</w:t>
                  </w:r>
                </w:p>
              </w:tc>
              <w:tc>
                <w:tcPr>
                  <w:tcW w:w="2997" w:type="dxa"/>
                  <w:tcBorders>
                    <w:tl2br w:val="nil"/>
                    <w:tr2bl w:val="nil"/>
                  </w:tcBorders>
                  <w:shd w:val="clear" w:color="auto" w:fill="auto"/>
                  <w:noWrap w:val="0"/>
                  <w:vAlign w:val="center"/>
                </w:tcPr>
                <w:p>
                  <w:pPr>
                    <w:pStyle w:val="28"/>
                    <w:keepNext w:val="0"/>
                    <w:keepLines w:val="0"/>
                    <w:widowControl/>
                    <w:suppressLineNumbers w:val="0"/>
                    <w:bidi w:val="0"/>
                    <w:spacing w:before="0" w:beforeAutospacing="0" w:after="0" w:afterAutospacing="0"/>
                    <w:ind w:left="0" w:right="0"/>
                    <w:rPr>
                      <w:b/>
                      <w:bCs/>
                      <w:color w:val="auto"/>
                      <w:kern w:val="2"/>
                      <w:sz w:val="21"/>
                    </w:rPr>
                  </w:pPr>
                  <w:r>
                    <w:rPr>
                      <w:b/>
                      <w:bCs/>
                      <w:color w:val="auto"/>
                      <w:kern w:val="2"/>
                      <w:sz w:val="21"/>
                    </w:rPr>
                    <w:t>监测因子</w:t>
                  </w:r>
                </w:p>
              </w:tc>
              <w:tc>
                <w:tcPr>
                  <w:tcW w:w="2606" w:type="dxa"/>
                  <w:tcBorders>
                    <w:tl2br w:val="nil"/>
                    <w:tr2bl w:val="nil"/>
                  </w:tcBorders>
                  <w:shd w:val="clear" w:color="auto" w:fill="auto"/>
                  <w:noWrap w:val="0"/>
                  <w:vAlign w:val="center"/>
                </w:tcPr>
                <w:p>
                  <w:pPr>
                    <w:pStyle w:val="28"/>
                    <w:keepNext w:val="0"/>
                    <w:keepLines w:val="0"/>
                    <w:widowControl/>
                    <w:suppressLineNumbers w:val="0"/>
                    <w:bidi w:val="0"/>
                    <w:spacing w:before="0" w:beforeAutospacing="0" w:after="0" w:afterAutospacing="0"/>
                    <w:ind w:left="0" w:right="0"/>
                    <w:rPr>
                      <w:b/>
                      <w:bCs/>
                      <w:color w:val="auto"/>
                      <w:kern w:val="2"/>
                      <w:sz w:val="21"/>
                    </w:rPr>
                  </w:pPr>
                  <w:r>
                    <w:rPr>
                      <w:b/>
                      <w:bCs/>
                      <w:color w:val="auto"/>
                      <w:kern w:val="2"/>
                      <w:sz w:val="21"/>
                    </w:rPr>
                    <w:t>监测频次</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7" w:type="dxa"/>
                  <w:tcBorders>
                    <w:tl2br w:val="nil"/>
                    <w:tr2bl w:val="nil"/>
                  </w:tcBorders>
                  <w:shd w:val="clear" w:color="auto" w:fill="auto"/>
                  <w:noWrap w:val="0"/>
                  <w:vAlign w:val="center"/>
                </w:tcPr>
                <w:p>
                  <w:pPr>
                    <w:pStyle w:val="28"/>
                    <w:keepNext w:val="0"/>
                    <w:keepLines w:val="0"/>
                    <w:widowControl/>
                    <w:suppressLineNumbers w:val="0"/>
                    <w:bidi w:val="0"/>
                    <w:spacing w:before="0" w:beforeAutospacing="0" w:after="0" w:afterAutospacing="0"/>
                    <w:ind w:left="0" w:right="0"/>
                    <w:rPr>
                      <w:rFonts w:ascii="Times New Roman" w:hAnsi="Times New Roman" w:eastAsia="宋体"/>
                      <w:color w:val="auto"/>
                      <w:kern w:val="2"/>
                      <w:sz w:val="21"/>
                    </w:rPr>
                  </w:pPr>
                  <w:r>
                    <w:rPr>
                      <w:rFonts w:ascii="Times New Roman" w:hAnsi="Times New Roman" w:eastAsia="宋体"/>
                      <w:color w:val="auto"/>
                      <w:kern w:val="2"/>
                      <w:sz w:val="21"/>
                    </w:rPr>
                    <w:t>废气排放口</w:t>
                  </w:r>
                  <w:r>
                    <w:rPr>
                      <w:rFonts w:hint="default" w:ascii="Times New Roman" w:hAnsi="Times New Roman" w:eastAsia="宋体"/>
                      <w:color w:val="auto"/>
                      <w:kern w:val="2"/>
                      <w:sz w:val="21"/>
                    </w:rPr>
                    <w:t>DA001</w:t>
                  </w:r>
                </w:p>
              </w:tc>
              <w:tc>
                <w:tcPr>
                  <w:tcW w:w="2997" w:type="dxa"/>
                  <w:tcBorders>
                    <w:tl2br w:val="nil"/>
                    <w:tr2bl w:val="nil"/>
                  </w:tcBorders>
                  <w:shd w:val="clear" w:color="auto" w:fill="auto"/>
                  <w:noWrap w:val="0"/>
                  <w:vAlign w:val="center"/>
                </w:tcPr>
                <w:p>
                  <w:pPr>
                    <w:pStyle w:val="28"/>
                    <w:keepNext w:val="0"/>
                    <w:keepLines w:val="0"/>
                    <w:widowControl/>
                    <w:suppressLineNumbers w:val="0"/>
                    <w:bidi w:val="0"/>
                    <w:spacing w:before="0" w:beforeAutospacing="0" w:after="0" w:afterAutospacing="0"/>
                    <w:ind w:left="0" w:right="0"/>
                    <w:rPr>
                      <w:rFonts w:hint="eastAsia" w:ascii="Times New Roman" w:hAnsi="Times New Roman" w:eastAsia="宋体"/>
                      <w:color w:val="auto"/>
                      <w:kern w:val="2"/>
                      <w:sz w:val="21"/>
                      <w:lang w:eastAsia="zh-CN"/>
                    </w:rPr>
                  </w:pPr>
                  <w:bookmarkStart w:id="227" w:name="OLE_LINK46"/>
                  <w:r>
                    <w:rPr>
                      <w:rFonts w:hint="eastAsia" w:ascii="Times New Roman" w:hAnsi="Times New Roman" w:eastAsia="宋体"/>
                      <w:color w:val="auto"/>
                      <w:kern w:val="2"/>
                      <w:sz w:val="21"/>
                      <w:lang w:val="en-US" w:eastAsia="zh-CN"/>
                    </w:rPr>
                    <w:t>硫酸雾</w:t>
                  </w:r>
                  <w:bookmarkEnd w:id="227"/>
                </w:p>
              </w:tc>
              <w:tc>
                <w:tcPr>
                  <w:tcW w:w="2606" w:type="dxa"/>
                  <w:tcBorders>
                    <w:tl2br w:val="nil"/>
                    <w:tr2bl w:val="nil"/>
                  </w:tcBorders>
                  <w:shd w:val="clear" w:color="auto" w:fill="auto"/>
                  <w:noWrap w:val="0"/>
                  <w:vAlign w:val="center"/>
                </w:tcPr>
                <w:p>
                  <w:pPr>
                    <w:pStyle w:val="28"/>
                    <w:keepNext w:val="0"/>
                    <w:keepLines w:val="0"/>
                    <w:widowControl/>
                    <w:suppressLineNumbers w:val="0"/>
                    <w:bidi w:val="0"/>
                    <w:spacing w:before="0" w:beforeAutospacing="0" w:after="0" w:afterAutospacing="0"/>
                    <w:ind w:left="0" w:right="0"/>
                    <w:rPr>
                      <w:rFonts w:ascii="Times New Roman" w:hAnsi="Times New Roman" w:eastAsia="宋体"/>
                      <w:color w:val="auto"/>
                      <w:kern w:val="2"/>
                      <w:sz w:val="21"/>
                    </w:rPr>
                  </w:pPr>
                  <w:bookmarkStart w:id="228" w:name="OLE_LINK48"/>
                  <w:r>
                    <w:rPr>
                      <w:rFonts w:hint="default" w:ascii="Times New Roman" w:hAnsi="Times New Roman" w:eastAsia="宋体"/>
                      <w:color w:val="auto"/>
                      <w:kern w:val="2"/>
                      <w:sz w:val="21"/>
                    </w:rPr>
                    <w:t>1次/</w:t>
                  </w:r>
                  <w:r>
                    <w:rPr>
                      <w:rFonts w:hint="eastAsia" w:ascii="Times New Roman" w:hAnsi="Times New Roman" w:eastAsia="宋体"/>
                      <w:color w:val="auto"/>
                      <w:kern w:val="2"/>
                      <w:sz w:val="21"/>
                      <w:lang w:val="en-US" w:eastAsia="zh-CN"/>
                    </w:rPr>
                    <w:t>半</w:t>
                  </w:r>
                  <w:r>
                    <w:rPr>
                      <w:rFonts w:hint="default" w:ascii="Times New Roman" w:hAnsi="Times New Roman" w:eastAsia="宋体"/>
                      <w:color w:val="auto"/>
                      <w:kern w:val="2"/>
                      <w:sz w:val="21"/>
                    </w:rPr>
                    <w:t>年</w:t>
                  </w:r>
                  <w:bookmarkEnd w:id="228"/>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7" w:type="dxa"/>
                  <w:tcBorders>
                    <w:tl2br w:val="nil"/>
                    <w:tr2bl w:val="nil"/>
                  </w:tcBorders>
                  <w:shd w:val="clear" w:color="auto" w:fill="auto"/>
                  <w:noWrap w:val="0"/>
                  <w:vAlign w:val="center"/>
                </w:tcPr>
                <w:p>
                  <w:pPr>
                    <w:pStyle w:val="28"/>
                    <w:keepNext w:val="0"/>
                    <w:keepLines w:val="0"/>
                    <w:widowControl/>
                    <w:suppressLineNumbers w:val="0"/>
                    <w:bidi w:val="0"/>
                    <w:spacing w:before="0" w:beforeAutospacing="0" w:after="0" w:afterAutospacing="0"/>
                    <w:ind w:left="0" w:right="0"/>
                    <w:rPr>
                      <w:rFonts w:ascii="Times New Roman" w:hAnsi="Times New Roman" w:eastAsia="宋体"/>
                      <w:color w:val="auto"/>
                      <w:kern w:val="2"/>
                      <w:sz w:val="21"/>
                    </w:rPr>
                  </w:pPr>
                  <w:r>
                    <w:rPr>
                      <w:rFonts w:hint="eastAsia" w:ascii="Times New Roman" w:hAnsi="Times New Roman" w:eastAsia="宋体"/>
                      <w:color w:val="auto"/>
                      <w:kern w:val="2"/>
                      <w:sz w:val="21"/>
                    </w:rPr>
                    <w:t>厂界</w:t>
                  </w:r>
                </w:p>
              </w:tc>
              <w:tc>
                <w:tcPr>
                  <w:tcW w:w="2997" w:type="dxa"/>
                  <w:tcBorders>
                    <w:tl2br w:val="nil"/>
                    <w:tr2bl w:val="nil"/>
                  </w:tcBorders>
                  <w:shd w:val="clear" w:color="auto" w:fill="auto"/>
                  <w:noWrap w:val="0"/>
                  <w:vAlign w:val="center"/>
                </w:tcPr>
                <w:p>
                  <w:pPr>
                    <w:pStyle w:val="28"/>
                    <w:keepNext w:val="0"/>
                    <w:keepLines w:val="0"/>
                    <w:widowControl/>
                    <w:suppressLineNumbers w:val="0"/>
                    <w:bidi w:val="0"/>
                    <w:spacing w:before="0" w:beforeAutospacing="0" w:after="0" w:afterAutospacing="0"/>
                    <w:ind w:left="0" w:right="0"/>
                    <w:rPr>
                      <w:rFonts w:ascii="Times New Roman" w:hAnsi="Times New Roman" w:eastAsia="宋体"/>
                      <w:color w:val="auto"/>
                      <w:kern w:val="2"/>
                      <w:sz w:val="21"/>
                    </w:rPr>
                  </w:pPr>
                  <w:r>
                    <w:rPr>
                      <w:rFonts w:hint="eastAsia" w:ascii="Times New Roman" w:hAnsi="Times New Roman" w:eastAsia="宋体"/>
                      <w:color w:val="auto"/>
                      <w:kern w:val="2"/>
                      <w:sz w:val="21"/>
                      <w:lang w:val="en-US" w:eastAsia="zh-CN"/>
                    </w:rPr>
                    <w:t>硫酸雾</w:t>
                  </w:r>
                </w:p>
              </w:tc>
              <w:tc>
                <w:tcPr>
                  <w:tcW w:w="2606" w:type="dxa"/>
                  <w:tcBorders>
                    <w:tl2br w:val="nil"/>
                    <w:tr2bl w:val="nil"/>
                  </w:tcBorders>
                  <w:shd w:val="clear" w:color="auto" w:fill="auto"/>
                  <w:noWrap w:val="0"/>
                  <w:vAlign w:val="center"/>
                </w:tcPr>
                <w:p>
                  <w:pPr>
                    <w:pStyle w:val="28"/>
                    <w:keepNext w:val="0"/>
                    <w:keepLines w:val="0"/>
                    <w:widowControl/>
                    <w:suppressLineNumbers w:val="0"/>
                    <w:bidi w:val="0"/>
                    <w:spacing w:before="0" w:beforeAutospacing="0" w:after="0" w:afterAutospacing="0"/>
                    <w:ind w:left="0" w:right="0"/>
                    <w:rPr>
                      <w:rFonts w:ascii="Times New Roman" w:hAnsi="Times New Roman" w:eastAsia="宋体"/>
                      <w:color w:val="auto"/>
                      <w:kern w:val="2"/>
                      <w:sz w:val="21"/>
                    </w:rPr>
                  </w:pPr>
                  <w:r>
                    <w:rPr>
                      <w:rFonts w:hint="default" w:ascii="Times New Roman" w:hAnsi="Times New Roman" w:eastAsia="宋体"/>
                      <w:color w:val="auto"/>
                      <w:kern w:val="2"/>
                      <w:sz w:val="21"/>
                    </w:rPr>
                    <w:t>1次/</w:t>
                  </w:r>
                  <w:r>
                    <w:rPr>
                      <w:rFonts w:hint="eastAsia" w:ascii="Times New Roman" w:hAnsi="Times New Roman" w:eastAsia="宋体"/>
                      <w:color w:val="auto"/>
                      <w:kern w:val="2"/>
                      <w:sz w:val="21"/>
                      <w:lang w:val="en-US" w:eastAsia="zh-CN"/>
                    </w:rPr>
                    <w:t>半</w:t>
                  </w:r>
                  <w:r>
                    <w:rPr>
                      <w:rFonts w:hint="default" w:ascii="Times New Roman" w:hAnsi="Times New Roman" w:eastAsia="宋体"/>
                      <w:color w:val="auto"/>
                      <w:kern w:val="2"/>
                      <w:sz w:val="21"/>
                    </w:rPr>
                    <w:t>年</w:t>
                  </w:r>
                </w:p>
              </w:tc>
            </w:tr>
          </w:tbl>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jc w:val="both"/>
              <w:textAlignment w:val="auto"/>
              <w:rPr>
                <w:rFonts w:ascii="Times New Roman" w:hAnsi="Times New Roman"/>
                <w:color w:val="auto"/>
                <w:sz w:val="24"/>
                <w:szCs w:val="24"/>
              </w:rPr>
            </w:pPr>
            <w:r>
              <w:rPr>
                <w:rFonts w:hint="eastAsia" w:ascii="Times New Roman" w:hAnsi="Times New Roman"/>
                <w:color w:val="auto"/>
                <w:sz w:val="24"/>
                <w:szCs w:val="24"/>
                <w:lang w:val="en-US" w:eastAsia="zh-CN"/>
              </w:rPr>
              <w:t>7</w:t>
            </w:r>
            <w:r>
              <w:rPr>
                <w:rFonts w:hint="eastAsia" w:ascii="Times New Roman" w:hAnsi="Times New Roman"/>
                <w:color w:val="auto"/>
                <w:sz w:val="24"/>
                <w:szCs w:val="24"/>
              </w:rPr>
              <w:t>、大气环境影响分析</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40" w:lineRule="exact"/>
              <w:ind w:left="0" w:right="0" w:firstLine="480" w:firstLineChars="200"/>
              <w:jc w:val="both"/>
              <w:textAlignment w:val="auto"/>
              <w:rPr>
                <w:rFonts w:hint="default" w:ascii="Times New Roman" w:hAnsi="Times New Roman" w:cs="Times New Roman" w:eastAsiaTheme="minorEastAsia"/>
                <w:b w:val="0"/>
                <w:bCs w:val="0"/>
                <w:color w:val="auto"/>
                <w:sz w:val="24"/>
                <w:szCs w:val="24"/>
                <w:u w:val="none"/>
              </w:rPr>
            </w:pPr>
            <w:r>
              <w:rPr>
                <w:rFonts w:ascii="Times New Roman" w:hAnsi="Times New Roman" w:eastAsia="宋体" w:cs="Times New Roman"/>
                <w:b w:val="0"/>
                <w:bCs w:val="0"/>
                <w:color w:val="auto"/>
                <w:sz w:val="24"/>
                <w:szCs w:val="24"/>
                <w:u w:val="none"/>
                <w:lang w:eastAsia="zh-CN"/>
              </w:rPr>
              <w:t>项目所在区域属于空气环境质量</w:t>
            </w:r>
            <w:r>
              <w:rPr>
                <w:rFonts w:hint="eastAsia" w:ascii="Times New Roman" w:hAnsi="Times New Roman" w:eastAsia="宋体" w:cs="Times New Roman"/>
                <w:b w:val="0"/>
                <w:bCs w:val="0"/>
                <w:color w:val="auto"/>
                <w:sz w:val="24"/>
                <w:szCs w:val="24"/>
                <w:u w:val="none"/>
                <w:lang w:val="en-US" w:eastAsia="zh-CN"/>
              </w:rPr>
              <w:t>不</w:t>
            </w:r>
            <w:r>
              <w:rPr>
                <w:rFonts w:ascii="Times New Roman" w:hAnsi="Times New Roman" w:eastAsia="宋体" w:cs="Times New Roman"/>
                <w:b w:val="0"/>
                <w:bCs w:val="0"/>
                <w:color w:val="auto"/>
                <w:sz w:val="24"/>
                <w:szCs w:val="24"/>
                <w:u w:val="none"/>
                <w:lang w:eastAsia="zh-CN"/>
              </w:rPr>
              <w:t>达标区，超标污染物为</w:t>
            </w:r>
            <w:r>
              <w:rPr>
                <w:rFonts w:hint="default" w:ascii="Times New Roman" w:hAnsi="Times New Roman" w:eastAsia="宋体" w:cs="Times New Roman"/>
                <w:b w:val="0"/>
                <w:bCs w:val="0"/>
                <w:color w:val="auto"/>
                <w:sz w:val="24"/>
                <w:szCs w:val="24"/>
                <w:u w:val="none"/>
                <w:lang w:val="en-US" w:eastAsia="zh-CN"/>
              </w:rPr>
              <w:t>P</w:t>
            </w:r>
            <w:bookmarkStart w:id="229" w:name="OLE_LINK35"/>
            <w:r>
              <w:rPr>
                <w:rFonts w:hint="default" w:ascii="Times New Roman" w:hAnsi="Times New Roman" w:eastAsia="宋体" w:cs="Times New Roman"/>
                <w:b w:val="0"/>
                <w:bCs w:val="0"/>
                <w:color w:val="auto"/>
                <w:sz w:val="24"/>
                <w:szCs w:val="24"/>
                <w:u w:val="none"/>
                <w:lang w:val="en-US" w:eastAsia="zh-CN"/>
              </w:rPr>
              <w:t>M</w:t>
            </w:r>
            <w:bookmarkEnd w:id="229"/>
            <w:r>
              <w:rPr>
                <w:rFonts w:hint="default" w:ascii="Times New Roman" w:hAnsi="Times New Roman" w:eastAsia="宋体" w:cs="Times New Roman"/>
                <w:b w:val="0"/>
                <w:bCs w:val="0"/>
                <w:color w:val="auto"/>
                <w:sz w:val="24"/>
                <w:szCs w:val="24"/>
                <w:u w:val="none"/>
                <w:vertAlign w:val="subscript"/>
                <w:lang w:val="en-US" w:eastAsia="zh-CN"/>
              </w:rPr>
              <w:t>10</w:t>
            </w:r>
            <w:r>
              <w:rPr>
                <w:rFonts w:ascii="Times New Roman" w:hAnsi="Times New Roman" w:eastAsia="宋体" w:cs="Times New Roman"/>
                <w:b w:val="0"/>
                <w:bCs w:val="0"/>
                <w:color w:val="auto"/>
                <w:sz w:val="24"/>
                <w:szCs w:val="24"/>
                <w:u w:val="none"/>
                <w:lang w:eastAsia="zh-CN"/>
              </w:rPr>
              <w:t>、</w:t>
            </w:r>
            <w:r>
              <w:rPr>
                <w:rFonts w:hint="default" w:ascii="Times New Roman" w:hAnsi="Times New Roman" w:eastAsia="宋体" w:cs="Times New Roman"/>
                <w:b w:val="0"/>
                <w:bCs w:val="0"/>
                <w:color w:val="auto"/>
                <w:sz w:val="24"/>
                <w:szCs w:val="24"/>
                <w:u w:val="none"/>
                <w:lang w:val="en-US" w:eastAsia="zh-CN"/>
              </w:rPr>
              <w:t>PM</w:t>
            </w:r>
            <w:r>
              <w:rPr>
                <w:rFonts w:hint="eastAsia" w:ascii="Times New Roman" w:hAnsi="Times New Roman" w:eastAsia="宋体" w:cs="Times New Roman"/>
                <w:b w:val="0"/>
                <w:bCs w:val="0"/>
                <w:color w:val="auto"/>
                <w:sz w:val="24"/>
                <w:szCs w:val="24"/>
                <w:u w:val="none"/>
                <w:vertAlign w:val="subscript"/>
                <w:lang w:val="en-US" w:eastAsia="zh-CN"/>
              </w:rPr>
              <w:t>2</w:t>
            </w:r>
            <w:r>
              <w:rPr>
                <w:rFonts w:hint="default" w:ascii="Times New Roman" w:hAnsi="Times New Roman" w:eastAsia="宋体" w:cs="Times New Roman"/>
                <w:b w:val="0"/>
                <w:bCs w:val="0"/>
                <w:color w:val="auto"/>
                <w:sz w:val="24"/>
                <w:szCs w:val="24"/>
                <w:u w:val="none"/>
                <w:vertAlign w:val="subscript"/>
                <w:lang w:val="en-US" w:eastAsia="zh-CN"/>
              </w:rPr>
              <w:t>.5</w:t>
            </w:r>
            <w:r>
              <w:rPr>
                <w:rFonts w:ascii="Times New Roman" w:hAnsi="Times New Roman" w:eastAsia="宋体" w:cs="Times New Roman"/>
                <w:b w:val="0"/>
                <w:bCs w:val="0"/>
                <w:color w:val="auto"/>
                <w:sz w:val="24"/>
                <w:szCs w:val="24"/>
                <w:u w:val="none"/>
                <w:vertAlign w:val="baseline"/>
                <w:lang w:eastAsia="zh-CN"/>
              </w:rPr>
              <w:t>、</w:t>
            </w:r>
            <w:r>
              <w:rPr>
                <w:rFonts w:hint="default" w:ascii="Times New Roman" w:hAnsi="Times New Roman" w:eastAsia="宋体" w:cs="Times New Roman"/>
                <w:b w:val="0"/>
                <w:bCs w:val="0"/>
                <w:color w:val="auto"/>
                <w:sz w:val="24"/>
                <w:szCs w:val="24"/>
                <w:u w:val="none"/>
                <w:lang w:val="en-US" w:eastAsia="zh-CN"/>
              </w:rPr>
              <w:t>O</w:t>
            </w:r>
            <w:r>
              <w:rPr>
                <w:rFonts w:hint="default" w:ascii="Times New Roman" w:hAnsi="Times New Roman" w:eastAsia="宋体" w:cs="Times New Roman"/>
                <w:b w:val="0"/>
                <w:bCs w:val="0"/>
                <w:color w:val="auto"/>
                <w:sz w:val="24"/>
                <w:szCs w:val="24"/>
                <w:u w:val="none"/>
                <w:vertAlign w:val="subscript"/>
                <w:lang w:val="en-US" w:eastAsia="zh-CN"/>
              </w:rPr>
              <w:t>3</w:t>
            </w:r>
            <w:r>
              <w:rPr>
                <w:rFonts w:ascii="Times New Roman" w:hAnsi="Times New Roman" w:eastAsia="宋体" w:cs="Times New Roman"/>
                <w:b w:val="0"/>
                <w:bCs w:val="0"/>
                <w:color w:val="auto"/>
                <w:sz w:val="24"/>
                <w:szCs w:val="24"/>
                <w:u w:val="none"/>
                <w:lang w:eastAsia="zh-CN"/>
              </w:rPr>
              <w:t>，</w:t>
            </w:r>
            <w:r>
              <w:rPr>
                <w:rFonts w:hint="eastAsia" w:ascii="Times New Roman" w:hAnsi="Times New Roman" w:eastAsia="宋体" w:cs="Times New Roman"/>
                <w:b w:val="0"/>
                <w:bCs w:val="0"/>
                <w:color w:val="auto"/>
                <w:sz w:val="24"/>
                <w:szCs w:val="24"/>
                <w:u w:val="none"/>
                <w:lang w:eastAsia="zh-CN"/>
              </w:rPr>
              <w:t>项目产生的</w:t>
            </w:r>
            <w:r>
              <w:rPr>
                <w:rFonts w:hint="eastAsia" w:cs="Times New Roman"/>
                <w:b w:val="0"/>
                <w:bCs w:val="0"/>
                <w:color w:val="auto"/>
                <w:sz w:val="24"/>
                <w:szCs w:val="24"/>
                <w:u w:val="none"/>
                <w:lang w:val="en-US" w:eastAsia="zh-CN"/>
              </w:rPr>
              <w:t>硫酸雾</w:t>
            </w:r>
            <w:r>
              <w:rPr>
                <w:rFonts w:hint="eastAsia" w:ascii="Times New Roman" w:hAnsi="Times New Roman" w:eastAsia="宋体" w:cs="Times New Roman"/>
                <w:b w:val="0"/>
                <w:bCs w:val="0"/>
                <w:color w:val="auto"/>
                <w:sz w:val="24"/>
                <w:szCs w:val="24"/>
                <w:u w:val="none"/>
                <w:lang w:val="en-US" w:eastAsia="zh-CN"/>
              </w:rPr>
              <w:t>废气</w:t>
            </w:r>
            <w:r>
              <w:rPr>
                <w:rFonts w:hint="eastAsia" w:ascii="Times New Roman" w:hAnsi="Times New Roman" w:eastAsia="宋体" w:cs="Times New Roman"/>
                <w:b w:val="0"/>
                <w:bCs w:val="0"/>
                <w:color w:val="auto"/>
                <w:sz w:val="24"/>
                <w:szCs w:val="24"/>
                <w:u w:val="none"/>
                <w:lang w:eastAsia="zh-CN"/>
              </w:rPr>
              <w:t>通过削减区域污染源排放量进行替代。</w:t>
            </w:r>
            <w:r>
              <w:rPr>
                <w:rFonts w:hint="eastAsia" w:ascii="Times New Roman" w:hAnsi="Times New Roman" w:eastAsia="宋体" w:cs="Times New Roman"/>
                <w:b w:val="0"/>
                <w:bCs w:val="0"/>
                <w:color w:val="auto"/>
                <w:sz w:val="24"/>
                <w:szCs w:val="24"/>
                <w:highlight w:val="none"/>
                <w:u w:val="none"/>
                <w:lang w:eastAsia="zh-CN"/>
              </w:rPr>
              <w:t>项目厂区周边最近的大气环境敏感点为</w:t>
            </w:r>
            <w:r>
              <w:rPr>
                <w:rFonts w:hint="eastAsia" w:cs="Times New Roman"/>
                <w:b w:val="0"/>
                <w:bCs w:val="0"/>
                <w:color w:val="auto"/>
                <w:sz w:val="24"/>
                <w:szCs w:val="24"/>
                <w:highlight w:val="none"/>
                <w:u w:val="none"/>
                <w:lang w:val="en-US" w:eastAsia="zh-CN"/>
              </w:rPr>
              <w:t>厂房西南30</w:t>
            </w:r>
            <w:r>
              <w:rPr>
                <w:rFonts w:hint="eastAsia" w:ascii="Times New Roman" w:hAnsi="Times New Roman" w:eastAsia="宋体" w:cs="Times New Roman"/>
                <w:b w:val="0"/>
                <w:bCs w:val="0"/>
                <w:color w:val="auto"/>
                <w:sz w:val="24"/>
                <w:szCs w:val="24"/>
                <w:highlight w:val="none"/>
                <w:u w:val="none"/>
                <w:lang w:val="en-US" w:eastAsia="zh-CN"/>
              </w:rPr>
              <w:t>0m处</w:t>
            </w:r>
            <w:r>
              <w:rPr>
                <w:rFonts w:hint="eastAsia" w:ascii="Times New Roman" w:hAnsi="Times New Roman" w:eastAsia="宋体" w:cs="Times New Roman"/>
                <w:b w:val="0"/>
                <w:bCs w:val="0"/>
                <w:color w:val="auto"/>
                <w:sz w:val="24"/>
                <w:szCs w:val="24"/>
                <w:highlight w:val="none"/>
                <w:u w:val="none"/>
                <w:lang w:eastAsia="zh-CN"/>
              </w:rPr>
              <w:t>的</w:t>
            </w:r>
            <w:r>
              <w:rPr>
                <w:rFonts w:hint="eastAsia" w:cs="Times New Roman"/>
                <w:b w:val="0"/>
                <w:bCs w:val="0"/>
                <w:color w:val="auto"/>
                <w:sz w:val="24"/>
                <w:szCs w:val="24"/>
                <w:highlight w:val="none"/>
                <w:u w:val="none"/>
                <w:lang w:val="en-US" w:eastAsia="zh-CN"/>
              </w:rPr>
              <w:t>中召村</w:t>
            </w:r>
            <w:r>
              <w:rPr>
                <w:rFonts w:ascii="Times New Roman" w:hAnsi="Times New Roman" w:eastAsia="宋体" w:cs="Times New Roman"/>
                <w:b w:val="0"/>
                <w:bCs w:val="0"/>
                <w:color w:val="auto"/>
                <w:sz w:val="24"/>
                <w:szCs w:val="24"/>
                <w:highlight w:val="none"/>
                <w:u w:val="none"/>
                <w:lang w:eastAsia="zh-CN"/>
              </w:rPr>
              <w:t>。</w:t>
            </w:r>
            <w:r>
              <w:rPr>
                <w:rFonts w:hint="default" w:ascii="Times New Roman" w:hAnsi="Times New Roman" w:cs="Times New Roman" w:eastAsiaTheme="minorEastAsia"/>
                <w:b w:val="0"/>
                <w:bCs w:val="0"/>
                <w:color w:val="auto"/>
                <w:kern w:val="2"/>
                <w:sz w:val="24"/>
                <w:szCs w:val="24"/>
                <w:u w:val="none"/>
                <w:lang w:eastAsia="zh-CN" w:bidi="ar"/>
              </w:rPr>
              <w:t>项目大气污染物</w:t>
            </w:r>
            <w:r>
              <w:rPr>
                <w:rFonts w:hint="default" w:ascii="Times New Roman" w:hAnsi="Times New Roman" w:cs="Times New Roman" w:eastAsiaTheme="minorEastAsia"/>
                <w:b w:val="0"/>
                <w:bCs w:val="0"/>
                <w:color w:val="auto"/>
                <w:kern w:val="2"/>
                <w:sz w:val="24"/>
                <w:szCs w:val="24"/>
                <w:u w:val="none"/>
                <w:lang w:val="en-US" w:eastAsia="zh-CN" w:bidi="ar"/>
              </w:rPr>
              <w:t>硫酸雾</w:t>
            </w:r>
            <w:r>
              <w:rPr>
                <w:rFonts w:hint="default" w:ascii="Times New Roman" w:hAnsi="Times New Roman" w:cs="Times New Roman" w:eastAsiaTheme="minorEastAsia"/>
                <w:b w:val="0"/>
                <w:bCs w:val="0"/>
                <w:color w:val="auto"/>
                <w:kern w:val="2"/>
                <w:sz w:val="24"/>
                <w:szCs w:val="24"/>
                <w:u w:val="none"/>
                <w:lang w:eastAsia="zh-CN" w:bidi="ar"/>
              </w:rPr>
              <w:t>满足</w:t>
            </w:r>
            <w:r>
              <w:rPr>
                <w:rFonts w:hint="default" w:ascii="Times New Roman" w:hAnsi="Times New Roman" w:cs="Times New Roman" w:eastAsiaTheme="minorEastAsia"/>
                <w:color w:val="auto"/>
                <w:sz w:val="24"/>
                <w:szCs w:val="24"/>
              </w:rPr>
              <w:t>《大气污染物综合排放标准》（GB16297-1996）表2</w:t>
            </w:r>
            <w:r>
              <w:rPr>
                <w:rFonts w:hint="default" w:ascii="Times New Roman" w:hAnsi="Times New Roman" w:cs="Times New Roman" w:eastAsiaTheme="minorEastAsia"/>
                <w:color w:val="auto"/>
                <w:sz w:val="24"/>
                <w:szCs w:val="24"/>
                <w:lang w:eastAsia="zh-CN"/>
              </w:rPr>
              <w:t>（</w:t>
            </w:r>
            <w:bookmarkStart w:id="230" w:name="OLE_LINK110"/>
            <w:r>
              <w:rPr>
                <w:rFonts w:hint="default" w:ascii="Times New Roman" w:hAnsi="Times New Roman" w:cs="Times New Roman" w:eastAsiaTheme="minorEastAsia"/>
                <w:color w:val="auto"/>
                <w:sz w:val="24"/>
                <w:szCs w:val="24"/>
                <w:lang w:val="en-US" w:eastAsia="zh-CN"/>
              </w:rPr>
              <w:t>15m高排气筒：</w:t>
            </w:r>
            <w:r>
              <w:rPr>
                <w:rFonts w:hint="default" w:ascii="Times New Roman" w:hAnsi="Times New Roman" w:cs="Times New Roman" w:eastAsiaTheme="minorEastAsia"/>
                <w:color w:val="auto"/>
                <w:sz w:val="24"/>
                <w:szCs w:val="24"/>
              </w:rPr>
              <w:t>最高允许排放浓度45mg/</w:t>
            </w:r>
            <w:r>
              <w:rPr>
                <w:rFonts w:hint="eastAsia" w:cs="Times New Roman" w:eastAsiaTheme="minorEastAsia"/>
                <w:color w:val="auto"/>
                <w:sz w:val="24"/>
                <w:szCs w:val="24"/>
                <w:lang w:eastAsia="zh-CN"/>
              </w:rPr>
              <w:t>m³</w:t>
            </w:r>
            <w:r>
              <w:rPr>
                <w:rFonts w:hint="default" w:ascii="Times New Roman" w:hAnsi="Times New Roman" w:cs="Times New Roman" w:eastAsiaTheme="minorEastAsia"/>
                <w:color w:val="auto"/>
                <w:sz w:val="24"/>
                <w:szCs w:val="24"/>
                <w:vertAlign w:val="baseline"/>
                <w:lang w:eastAsia="zh-CN"/>
              </w:rPr>
              <w:t>、</w:t>
            </w:r>
            <w:r>
              <w:rPr>
                <w:rFonts w:hint="default" w:ascii="Times New Roman" w:hAnsi="Times New Roman" w:cs="Times New Roman" w:eastAsiaTheme="minorEastAsia"/>
                <w:color w:val="auto"/>
                <w:sz w:val="24"/>
                <w:szCs w:val="24"/>
              </w:rPr>
              <w:t>最高排放速率1.5kg/h</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周界外浓度最高点1.2mg/</w:t>
            </w:r>
            <w:r>
              <w:rPr>
                <w:rFonts w:hint="eastAsia" w:cs="Times New Roman" w:eastAsiaTheme="minorEastAsia"/>
                <w:color w:val="auto"/>
                <w:sz w:val="24"/>
                <w:szCs w:val="24"/>
                <w:lang w:eastAsia="zh-CN"/>
              </w:rPr>
              <w:t>m³</w:t>
            </w:r>
            <w:bookmarkEnd w:id="230"/>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u w:val="none"/>
              </w:rPr>
              <w:t>的</w:t>
            </w:r>
            <w:r>
              <w:rPr>
                <w:rFonts w:hint="default" w:ascii="Times New Roman" w:hAnsi="Times New Roman" w:cs="Times New Roman" w:eastAsiaTheme="minorEastAsia"/>
                <w:b w:val="0"/>
                <w:bCs w:val="0"/>
                <w:color w:val="auto"/>
                <w:kern w:val="2"/>
                <w:sz w:val="24"/>
                <w:szCs w:val="24"/>
                <w:u w:val="none"/>
                <w:lang w:eastAsia="zh-CN" w:bidi="ar"/>
              </w:rPr>
              <w:t>标准要求下，通过区域削减和污染物扩散，不会对周边环境造成明显影响。</w:t>
            </w: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color w:val="auto"/>
                <w:sz w:val="24"/>
                <w:szCs w:val="24"/>
              </w:rPr>
            </w:pPr>
            <w:r>
              <w:rPr>
                <w:rFonts w:hint="eastAsia" w:ascii="Times New Roman" w:hAnsi="Times New Roman" w:eastAsia="宋体" w:cs="宋体"/>
                <w:b w:val="0"/>
                <w:bCs w:val="0"/>
                <w:color w:val="auto"/>
                <w:kern w:val="2"/>
                <w:sz w:val="24"/>
                <w:szCs w:val="24"/>
                <w:u w:val="none"/>
                <w:lang w:val="en-US" w:eastAsia="zh-CN" w:bidi="ar"/>
              </w:rPr>
              <w:t>综上所述，评价认为项目建成运行过程中对周围大气环境影响可以接受。</w:t>
            </w: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color w:val="auto"/>
                <w:sz w:val="24"/>
                <w:szCs w:val="24"/>
              </w:rPr>
            </w:pPr>
            <w:r>
              <w:rPr>
                <w:color w:val="auto"/>
                <w:sz w:val="24"/>
                <w:szCs w:val="24"/>
              </w:rPr>
              <w:t>二、</w:t>
            </w:r>
            <w:bookmarkStart w:id="231" w:name="OLE_LINK150"/>
            <w:r>
              <w:rPr>
                <w:color w:val="auto"/>
                <w:sz w:val="24"/>
                <w:szCs w:val="24"/>
              </w:rPr>
              <w:t>水环境影响分析</w:t>
            </w:r>
            <w:bookmarkEnd w:id="231"/>
          </w:p>
          <w:p>
            <w:pPr>
              <w:keepNext w:val="0"/>
              <w:keepLines w:val="0"/>
              <w:suppressLineNumbers w:val="0"/>
              <w:bidi w:val="0"/>
              <w:spacing w:before="0" w:beforeAutospacing="0" w:after="0" w:afterAutospacing="0"/>
              <w:ind w:left="0" w:right="0"/>
              <w:rPr>
                <w:color w:val="auto"/>
              </w:rPr>
            </w:pPr>
            <w:r>
              <w:rPr>
                <w:color w:val="auto"/>
              </w:rPr>
              <w:t>本项目无生产废水，主要废水为生活污水。项目劳动定员人数</w:t>
            </w:r>
            <w:r>
              <w:rPr>
                <w:rFonts w:hint="eastAsia"/>
                <w:color w:val="auto"/>
                <w:lang w:val="en-US" w:eastAsia="zh-CN"/>
              </w:rPr>
              <w:t>10</w:t>
            </w:r>
            <w:r>
              <w:rPr>
                <w:color w:val="auto"/>
              </w:rPr>
              <w:t>人，年工作日300天，均不在厂区内食宿，单班制。项目员工用水量按每人30L计，项目用水量为</w:t>
            </w:r>
            <w:r>
              <w:rPr>
                <w:rFonts w:hint="eastAsia"/>
                <w:color w:val="auto"/>
                <w:lang w:val="en-US" w:eastAsia="zh-CN"/>
              </w:rPr>
              <w:t>0.3</w:t>
            </w:r>
            <w:r>
              <w:rPr>
                <w:rFonts w:hint="eastAsia"/>
                <w:color w:val="auto"/>
                <w:lang w:eastAsia="zh-CN"/>
              </w:rPr>
              <w:t>m³</w:t>
            </w:r>
            <w:r>
              <w:rPr>
                <w:color w:val="auto"/>
              </w:rPr>
              <w:t>/d（</w:t>
            </w:r>
            <w:r>
              <w:rPr>
                <w:rFonts w:hint="eastAsia"/>
                <w:color w:val="auto"/>
                <w:lang w:val="en-US" w:eastAsia="zh-CN"/>
              </w:rPr>
              <w:t>90</w:t>
            </w:r>
            <w:r>
              <w:rPr>
                <w:rFonts w:hint="eastAsia"/>
                <w:color w:val="auto"/>
                <w:lang w:eastAsia="zh-CN"/>
              </w:rPr>
              <w:t>m³</w:t>
            </w:r>
            <w:r>
              <w:rPr>
                <w:color w:val="auto"/>
              </w:rPr>
              <w:t>/a），产污系数按0.8计，</w:t>
            </w:r>
            <w:r>
              <w:rPr>
                <w:rFonts w:hint="eastAsia"/>
                <w:color w:val="auto"/>
              </w:rPr>
              <w:t>则</w:t>
            </w:r>
            <w:r>
              <w:rPr>
                <w:color w:val="auto"/>
              </w:rPr>
              <w:t>排放量为</w:t>
            </w:r>
            <w:r>
              <w:rPr>
                <w:rFonts w:hint="eastAsia"/>
                <w:color w:val="auto"/>
                <w:lang w:val="en-US" w:eastAsia="zh-CN"/>
              </w:rPr>
              <w:t>0.24</w:t>
            </w:r>
            <w:r>
              <w:rPr>
                <w:rFonts w:hint="eastAsia"/>
                <w:color w:val="auto"/>
                <w:lang w:eastAsia="zh-CN"/>
              </w:rPr>
              <w:t>m³</w:t>
            </w:r>
            <w:r>
              <w:rPr>
                <w:color w:val="auto"/>
              </w:rPr>
              <w:t>/d（</w:t>
            </w:r>
            <w:r>
              <w:rPr>
                <w:rFonts w:hint="eastAsia"/>
                <w:color w:val="auto"/>
                <w:lang w:val="en-US" w:eastAsia="zh-CN"/>
              </w:rPr>
              <w:t>72</w:t>
            </w:r>
            <w:r>
              <w:rPr>
                <w:rFonts w:hint="eastAsia"/>
                <w:color w:val="auto"/>
                <w:lang w:eastAsia="zh-CN"/>
              </w:rPr>
              <w:t>m³</w:t>
            </w:r>
            <w:r>
              <w:rPr>
                <w:color w:val="auto"/>
              </w:rPr>
              <w:t>/a）。</w:t>
            </w:r>
          </w:p>
          <w:p>
            <w:pPr>
              <w:keepNext w:val="0"/>
              <w:keepLines w:val="0"/>
              <w:suppressLineNumbers w:val="0"/>
              <w:bidi w:val="0"/>
              <w:spacing w:before="0" w:beforeAutospacing="0" w:after="0" w:afterAutospacing="0"/>
              <w:ind w:left="0" w:right="0"/>
              <w:rPr>
                <w:rFonts w:hint="default"/>
                <w:color w:val="auto"/>
                <w:lang w:eastAsia="zh-CN"/>
              </w:rPr>
            </w:pPr>
            <w:r>
              <w:rPr>
                <w:rFonts w:hint="eastAsia"/>
                <w:color w:val="auto"/>
              </w:rPr>
              <w:t>类比一般生活污水水质，废水各污染物浓度分别为COD350mg/L、SS300mg/L、</w:t>
            </w:r>
            <w:bookmarkStart w:id="232" w:name="OLE_LINK63"/>
            <w:r>
              <w:rPr>
                <w:rFonts w:hint="eastAsia"/>
                <w:color w:val="auto"/>
                <w:lang w:val="en-US" w:eastAsia="zh-CN"/>
              </w:rPr>
              <w:t>氨氮</w:t>
            </w:r>
            <w:bookmarkEnd w:id="232"/>
            <w:r>
              <w:rPr>
                <w:rFonts w:hint="eastAsia"/>
                <w:color w:val="auto"/>
              </w:rPr>
              <w:t>25mg/L、TP3mg/L、TN30mg/L，经化粪池处理后废水水质为COD250mg/L、SS180mg/L、</w:t>
            </w:r>
            <w:r>
              <w:rPr>
                <w:rFonts w:hint="eastAsia"/>
                <w:color w:val="auto"/>
                <w:lang w:val="en-US" w:eastAsia="zh-CN"/>
              </w:rPr>
              <w:t>氨氮25</w:t>
            </w:r>
            <w:r>
              <w:rPr>
                <w:rFonts w:hint="eastAsia"/>
                <w:color w:val="auto"/>
              </w:rPr>
              <w:t>mg/L、TP</w:t>
            </w:r>
            <w:r>
              <w:rPr>
                <w:rFonts w:hint="eastAsia"/>
                <w:color w:val="auto"/>
                <w:lang w:val="en-US" w:eastAsia="zh-CN"/>
              </w:rPr>
              <w:t>3</w:t>
            </w:r>
            <w:r>
              <w:rPr>
                <w:rFonts w:hint="eastAsia"/>
                <w:color w:val="auto"/>
              </w:rPr>
              <w:t>mg/L、TN30mg/L</w:t>
            </w:r>
            <w:r>
              <w:rPr>
                <w:rFonts w:hint="default"/>
                <w:color w:val="auto"/>
                <w:lang w:eastAsia="zh-CN"/>
              </w:rPr>
              <w:t>生活污水</w:t>
            </w:r>
            <w:r>
              <w:rPr>
                <w:rFonts w:hint="eastAsia"/>
                <w:color w:val="auto"/>
                <w:lang w:val="en-US" w:eastAsia="zh-CN"/>
              </w:rPr>
              <w:t>经</w:t>
            </w:r>
            <w:r>
              <w:rPr>
                <w:rFonts w:hint="default"/>
                <w:color w:val="auto"/>
                <w:lang w:eastAsia="zh-CN"/>
              </w:rPr>
              <w:t>化粪池处理后</w:t>
            </w:r>
            <w:r>
              <w:rPr>
                <w:rFonts w:hint="eastAsia"/>
                <w:color w:val="auto"/>
                <w:lang w:eastAsia="zh-CN"/>
              </w:rPr>
              <w:t>，</w:t>
            </w:r>
            <w:r>
              <w:rPr>
                <w:rFonts w:hint="eastAsia"/>
                <w:color w:val="auto"/>
                <w:lang w:val="en-US" w:eastAsia="zh-CN"/>
              </w:rPr>
              <w:t>定期清运，不外排。</w:t>
            </w:r>
          </w:p>
          <w:p>
            <w:pPr>
              <w:keepNext w:val="0"/>
              <w:keepLines w:val="0"/>
              <w:suppressLineNumbers w:val="0"/>
              <w:bidi w:val="0"/>
              <w:spacing w:before="0" w:beforeAutospacing="0" w:after="0" w:afterAutospacing="0"/>
              <w:ind w:left="0" w:right="0"/>
              <w:rPr>
                <w:rFonts w:hint="default"/>
                <w:color w:val="auto"/>
              </w:rPr>
            </w:pPr>
            <w:r>
              <w:rPr>
                <w:rFonts w:hint="default"/>
                <w:color w:val="auto"/>
              </w:rPr>
              <w:t>评价要求：化粪池池底、池壁要好水泥硬化、防渗防漏工作，避免污染地下水。生活污水经以上措施处理后，不会对项目周围地表水环境产生影响。</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rPr>
                <w:b/>
                <w:bCs/>
                <w:color w:val="auto"/>
              </w:rPr>
            </w:pPr>
            <w:r>
              <w:rPr>
                <w:rFonts w:hint="eastAsia"/>
                <w:b/>
                <w:bCs/>
                <w:color w:val="auto"/>
              </w:rPr>
              <w:t>三</w:t>
            </w:r>
            <w:r>
              <w:rPr>
                <w:b/>
                <w:bCs/>
                <w:color w:val="auto"/>
              </w:rPr>
              <w:t>、噪声影响分析</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rPr>
                <w:b/>
                <w:color w:val="auto"/>
                <w:kern w:val="0"/>
                <w:sz w:val="24"/>
              </w:rPr>
            </w:pPr>
            <w:r>
              <w:rPr>
                <w:rFonts w:hint="eastAsia"/>
                <w:b/>
                <w:color w:val="auto"/>
                <w:kern w:val="0"/>
                <w:sz w:val="24"/>
              </w:rPr>
              <w:t>（1）噪声预测</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rPr>
                <w:color w:val="auto"/>
                <w:kern w:val="0"/>
                <w:sz w:val="24"/>
              </w:rPr>
            </w:pPr>
            <w:r>
              <w:rPr>
                <w:color w:val="auto"/>
                <w:kern w:val="0"/>
                <w:sz w:val="24"/>
              </w:rPr>
              <w:t>本项目高噪声源主要为</w:t>
            </w:r>
            <w:r>
              <w:rPr>
                <w:rFonts w:hint="eastAsia"/>
                <w:color w:val="auto"/>
                <w:kern w:val="0"/>
                <w:sz w:val="24"/>
              </w:rPr>
              <w:t>生产过程中设备运行噪声</w:t>
            </w:r>
            <w:r>
              <w:rPr>
                <w:color w:val="auto"/>
                <w:kern w:val="0"/>
                <w:sz w:val="24"/>
              </w:rPr>
              <w:t>，经类比《环境噪声与振动控制工程技术导则》（HJ2034-2013）附录A常见环境噪声污染源及其声功率级，本项目主要生产设备声功率级</w:t>
            </w:r>
            <w:r>
              <w:rPr>
                <w:rFonts w:hint="eastAsia"/>
                <w:color w:val="auto"/>
                <w:kern w:val="0"/>
                <w:sz w:val="24"/>
                <w:lang w:val="en-US" w:eastAsia="zh-CN"/>
              </w:rPr>
              <w:t>为70</w:t>
            </w:r>
            <w:r>
              <w:rPr>
                <w:rFonts w:hint="eastAsia"/>
                <w:color w:val="auto"/>
                <w:kern w:val="0"/>
                <w:sz w:val="24"/>
              </w:rPr>
              <w:t>~8</w:t>
            </w:r>
            <w:r>
              <w:rPr>
                <w:rFonts w:hint="eastAsia"/>
                <w:color w:val="auto"/>
                <w:kern w:val="0"/>
                <w:sz w:val="24"/>
                <w:lang w:val="en-US" w:eastAsia="zh-CN"/>
              </w:rPr>
              <w:t>0</w:t>
            </w:r>
            <w:r>
              <w:rPr>
                <w:color w:val="auto"/>
                <w:kern w:val="0"/>
                <w:sz w:val="24"/>
              </w:rPr>
              <w:t>dB（A），其噪声源强拟采取隔声、减振、消声等降噪措施。根据《环境影响评价技术导则声环境》（HJ2.4-2021），工业声源应按照室内声源计算。</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rPr>
                <w:color w:val="auto"/>
                <w:kern w:val="0"/>
                <w:sz w:val="24"/>
              </w:rPr>
            </w:pPr>
            <w:r>
              <w:rPr>
                <w:color w:val="auto"/>
                <w:kern w:val="0"/>
                <w:sz w:val="24"/>
              </w:rPr>
              <w:t>声源位于室内，室内声源可采用等效室外声源声功率级法进行计算。设靠近开口处（或窗户）室内、室外某倍频带的声压级或A声级分别为Lp1和Lp2。</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rPr>
                <w:color w:val="auto"/>
                <w:kern w:val="0"/>
                <w:sz w:val="24"/>
              </w:rPr>
            </w:pPr>
            <w:r>
              <w:rPr>
                <w:color w:val="auto"/>
                <w:kern w:val="0"/>
                <w:sz w:val="24"/>
              </w:rPr>
              <w:t>计算某一室内声源靠近围护结构处产生的倍频带声压级或A声级公式如下：</w:t>
            </w:r>
          </w:p>
          <w:p>
            <w:pPr>
              <w:keepNext w:val="0"/>
              <w:keepLines w:val="0"/>
              <w:pageBreakBefore w:val="0"/>
              <w:widowControl w:val="0"/>
              <w:suppressLineNumbers w:val="0"/>
              <w:kinsoku/>
              <w:wordWrap/>
              <w:overflowPunct/>
              <w:topLinePunct w:val="0"/>
              <w:autoSpaceDE/>
              <w:autoSpaceDN/>
              <w:bidi w:val="0"/>
              <w:adjustRightInd/>
              <w:snapToGrid/>
              <w:spacing w:before="0" w:beforeLines="50" w:beforeAutospacing="0" w:after="0" w:afterAutospacing="0" w:line="460" w:lineRule="exact"/>
              <w:ind w:left="0" w:right="0" w:firstLine="0" w:firstLineChars="0"/>
              <w:jc w:val="center"/>
              <w:textAlignment w:val="auto"/>
              <w:rPr>
                <w:color w:val="auto"/>
                <w:kern w:val="0"/>
                <w:sz w:val="24"/>
              </w:rPr>
            </w:pPr>
            <w:r>
              <w:rPr>
                <w:color w:val="auto"/>
                <w:kern w:val="0"/>
                <w:sz w:val="24"/>
              </w:rPr>
              <w:drawing>
                <wp:inline distT="0" distB="0" distL="0" distR="0">
                  <wp:extent cx="2057400" cy="37592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1"/>
                          <a:srcRect/>
                          <a:stretch>
                            <a:fillRect/>
                          </a:stretch>
                        </pic:blipFill>
                        <pic:spPr>
                          <a:xfrm>
                            <a:off x="0" y="0"/>
                            <a:ext cx="2057400" cy="375920"/>
                          </a:xfrm>
                          <a:prstGeom prst="rect">
                            <a:avLst/>
                          </a:prstGeom>
                          <a:noFill/>
                          <a:ln w="9525">
                            <a:noFill/>
                            <a:miter lim="800000"/>
                            <a:headEnd/>
                            <a:tailEnd/>
                          </a:ln>
                        </pic:spPr>
                      </pic:pic>
                    </a:graphicData>
                  </a:graphic>
                </wp:inline>
              </w:drawing>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color w:val="auto"/>
                <w:kern w:val="0"/>
                <w:sz w:val="24"/>
                <w:highlight w:val="none"/>
              </w:rPr>
            </w:pPr>
            <w:r>
              <w:rPr>
                <w:color w:val="auto"/>
                <w:kern w:val="0"/>
                <w:sz w:val="24"/>
                <w:highlight w:val="none"/>
              </w:rPr>
              <w:t>式中：Lp1——靠近开口处（或窗户）室内某倍频带的声压级或A声级，dB；</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color w:val="auto"/>
                <w:kern w:val="0"/>
                <w:sz w:val="24"/>
                <w:highlight w:val="none"/>
              </w:rPr>
            </w:pPr>
            <w:r>
              <w:rPr>
                <w:color w:val="auto"/>
                <w:kern w:val="0"/>
                <w:sz w:val="24"/>
                <w:highlight w:val="none"/>
              </w:rPr>
              <w:t>Lw1—点声源声功率级（A计权或倍频带），dB；</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color w:val="auto"/>
                <w:kern w:val="0"/>
                <w:sz w:val="24"/>
                <w:highlight w:val="none"/>
              </w:rPr>
            </w:pPr>
            <w:r>
              <w:rPr>
                <w:color w:val="auto"/>
                <w:kern w:val="0"/>
                <w:sz w:val="24"/>
                <w:highlight w:val="none"/>
              </w:rPr>
              <w:t>Q—指向性因数；通常对无指向性声源，当声源放在房间中心时，Q=1；当放在一面墙的中心时，Q=2；当放在两面墙夹角处时，Q=4；当放在三面墙夹角处时，Q=8；本项目</w:t>
            </w:r>
            <w:r>
              <w:rPr>
                <w:rFonts w:hint="eastAsia"/>
                <w:color w:val="auto"/>
                <w:kern w:val="0"/>
                <w:sz w:val="24"/>
                <w:highlight w:val="none"/>
              </w:rPr>
              <w:t>Q值取</w:t>
            </w:r>
            <w:r>
              <w:rPr>
                <w:rFonts w:hint="eastAsia"/>
                <w:color w:val="auto"/>
                <w:kern w:val="0"/>
                <w:sz w:val="24"/>
                <w:highlight w:val="none"/>
                <w:lang w:val="en-US" w:eastAsia="zh-CN"/>
              </w:rPr>
              <w:t>4</w:t>
            </w:r>
            <w:r>
              <w:rPr>
                <w:rFonts w:hint="eastAsia"/>
                <w:color w:val="auto"/>
                <w:kern w:val="0"/>
                <w:sz w:val="24"/>
                <w:highlight w:val="none"/>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color w:val="auto"/>
                <w:kern w:val="0"/>
                <w:sz w:val="24"/>
                <w:highlight w:val="none"/>
              </w:rPr>
            </w:pPr>
            <w:r>
              <w:rPr>
                <w:color w:val="auto"/>
                <w:kern w:val="0"/>
                <w:sz w:val="24"/>
                <w:highlight w:val="none"/>
              </w:rPr>
              <w:t>R——房间常数；R=Sα/（1-α），S为房间内表面面积，</w:t>
            </w:r>
            <w:r>
              <w:rPr>
                <w:rFonts w:hint="eastAsia"/>
                <w:color w:val="auto"/>
                <w:kern w:val="0"/>
                <w:sz w:val="24"/>
                <w:highlight w:val="none"/>
                <w:lang w:eastAsia="zh-CN"/>
              </w:rPr>
              <w:t>m²</w:t>
            </w:r>
            <w:r>
              <w:rPr>
                <w:color w:val="auto"/>
                <w:kern w:val="0"/>
                <w:sz w:val="24"/>
                <w:highlight w:val="none"/>
              </w:rPr>
              <w:t>；α为平均吸声系数，取平均吸声系数0.</w:t>
            </w:r>
            <w:r>
              <w:rPr>
                <w:rFonts w:hint="eastAsia"/>
                <w:color w:val="auto"/>
                <w:kern w:val="0"/>
                <w:sz w:val="24"/>
                <w:highlight w:val="none"/>
              </w:rPr>
              <w:t>4</w:t>
            </w:r>
            <w:r>
              <w:rPr>
                <w:color w:val="auto"/>
                <w:kern w:val="0"/>
                <w:sz w:val="24"/>
                <w:highlight w:val="none"/>
              </w:rPr>
              <w:t>；车间内表面面积</w:t>
            </w:r>
            <w:r>
              <w:rPr>
                <w:rFonts w:hint="eastAsia"/>
                <w:color w:val="auto"/>
                <w:kern w:val="0"/>
                <w:sz w:val="24"/>
                <w:highlight w:val="none"/>
                <w:lang w:val="en-US" w:eastAsia="zh-CN"/>
              </w:rPr>
              <w:t>2280</w:t>
            </w:r>
            <w:r>
              <w:rPr>
                <w:rFonts w:hint="eastAsia"/>
                <w:color w:val="auto"/>
                <w:kern w:val="0"/>
                <w:sz w:val="24"/>
                <w:highlight w:val="none"/>
                <w:lang w:eastAsia="zh-CN"/>
              </w:rPr>
              <w:t>m²</w:t>
            </w:r>
            <w:r>
              <w:rPr>
                <w:color w:val="auto"/>
                <w:kern w:val="0"/>
                <w:sz w:val="24"/>
                <w:highlight w:val="none"/>
              </w:rPr>
              <w:t>，则R=</w:t>
            </w:r>
            <w:r>
              <w:rPr>
                <w:rFonts w:hint="eastAsia"/>
                <w:color w:val="auto"/>
                <w:kern w:val="0"/>
                <w:sz w:val="24"/>
                <w:highlight w:val="none"/>
                <w:lang w:val="en-US" w:eastAsia="zh-CN"/>
              </w:rPr>
              <w:t>1520</w:t>
            </w:r>
            <w:r>
              <w:rPr>
                <w:rFonts w:hint="eastAsia"/>
                <w:color w:val="auto"/>
                <w:kern w:val="0"/>
                <w:sz w:val="24"/>
                <w:highlight w:val="none"/>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color w:val="auto"/>
                <w:kern w:val="0"/>
                <w:sz w:val="24"/>
                <w:highlight w:val="none"/>
              </w:rPr>
            </w:pPr>
            <w:r>
              <w:rPr>
                <w:color w:val="auto"/>
                <w:kern w:val="0"/>
                <w:sz w:val="24"/>
                <w:highlight w:val="none"/>
              </w:rPr>
              <w:t>r——声源到靠近围护结构某点处的距离，m</w:t>
            </w:r>
          </w:p>
          <w:p>
            <w:pPr>
              <w:keepNext w:val="0"/>
              <w:keepLines w:val="0"/>
              <w:pageBreakBefore w:val="0"/>
              <w:widowControl w:val="0"/>
              <w:suppressLineNumbers w:val="0"/>
              <w:tabs>
                <w:tab w:val="left" w:pos="362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Ansi="宋体"/>
                <w:color w:val="auto"/>
                <w:sz w:val="24"/>
                <w:highlight w:val="none"/>
              </w:rPr>
            </w:pPr>
            <w:r>
              <w:rPr>
                <w:rFonts w:hAnsi="宋体"/>
                <w:color w:val="auto"/>
                <w:sz w:val="24"/>
                <w:highlight w:val="none"/>
              </w:rPr>
              <w:t>然后按下式计算出所有室内声源在围护结构处产生的i倍频带叠加声压级：</w:t>
            </w:r>
          </w:p>
          <w:p>
            <w:pPr>
              <w:keepNext w:val="0"/>
              <w:keepLines w:val="0"/>
              <w:pageBreakBefore w:val="0"/>
              <w:widowControl w:val="0"/>
              <w:suppressLineNumbers w:val="0"/>
              <w:kinsoku/>
              <w:wordWrap/>
              <w:overflowPunct/>
              <w:topLinePunct w:val="0"/>
              <w:autoSpaceDE/>
              <w:autoSpaceDN/>
              <w:bidi w:val="0"/>
              <w:adjustRightInd/>
              <w:snapToGrid/>
              <w:spacing w:before="625" w:beforeLines="200" w:beforeAutospacing="0" w:after="0" w:afterAutospacing="0" w:line="460" w:lineRule="exact"/>
              <w:ind w:left="0" w:right="0" w:firstLine="0" w:firstLineChars="0"/>
              <w:jc w:val="center"/>
              <w:textAlignment w:val="auto"/>
              <w:rPr>
                <w:rFonts w:hAnsi="宋体"/>
                <w:color w:val="auto"/>
                <w:sz w:val="24"/>
              </w:rPr>
            </w:pPr>
            <w:r>
              <w:rPr>
                <w:rFonts w:hAnsi="宋体"/>
                <w:color w:val="auto"/>
                <w:sz w:val="24"/>
              </w:rPr>
              <w:drawing>
                <wp:inline distT="0" distB="0" distL="0" distR="0">
                  <wp:extent cx="1798320" cy="472440"/>
                  <wp:effectExtent l="0" t="0" r="0" b="0"/>
                  <wp:docPr id="3" name="图片 1" descr="167334497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673344973300"/>
                          <pic:cNvPicPr>
                            <a:picLocks noChangeAspect="1" noChangeArrowheads="1"/>
                          </pic:cNvPicPr>
                        </pic:nvPicPr>
                        <pic:blipFill>
                          <a:blip r:embed="rId22"/>
                          <a:srcRect/>
                          <a:stretch>
                            <a:fillRect/>
                          </a:stretch>
                        </pic:blipFill>
                        <pic:spPr>
                          <a:xfrm>
                            <a:off x="0" y="0"/>
                            <a:ext cx="1798320" cy="472440"/>
                          </a:xfrm>
                          <a:prstGeom prst="rect">
                            <a:avLst/>
                          </a:prstGeom>
                          <a:noFill/>
                          <a:ln w="9525">
                            <a:noFill/>
                            <a:miter lim="800000"/>
                            <a:headEnd/>
                            <a:tailEnd/>
                          </a:ln>
                        </pic:spPr>
                      </pic:pic>
                    </a:graphicData>
                  </a:graphic>
                </wp:inline>
              </w:drawing>
            </w:r>
          </w:p>
          <w:p>
            <w:pPr>
              <w:keepNext w:val="0"/>
              <w:keepLines w:val="0"/>
              <w:pageBreakBefore w:val="0"/>
              <w:widowControl w:val="0"/>
              <w:suppressLineNumbers w:val="0"/>
              <w:tabs>
                <w:tab w:val="left" w:pos="362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Ansi="宋体"/>
                <w:color w:val="auto"/>
                <w:sz w:val="24"/>
              </w:rPr>
            </w:pPr>
            <w:r>
              <w:rPr>
                <w:rFonts w:hAnsi="宋体"/>
                <w:color w:val="auto"/>
                <w:sz w:val="24"/>
              </w:rPr>
              <w:t>式中：L</w:t>
            </w:r>
            <w:r>
              <w:rPr>
                <w:rFonts w:hAnsi="宋体"/>
                <w:color w:val="auto"/>
                <w:sz w:val="24"/>
                <w:vertAlign w:val="subscript"/>
              </w:rPr>
              <w:t>p1i</w:t>
            </w:r>
            <w:r>
              <w:rPr>
                <w:rFonts w:hAnsi="宋体"/>
                <w:color w:val="auto"/>
                <w:sz w:val="24"/>
              </w:rPr>
              <w:t>（T）</w:t>
            </w:r>
            <w:r>
              <w:rPr>
                <w:color w:val="auto"/>
                <w:kern w:val="0"/>
                <w:sz w:val="24"/>
              </w:rPr>
              <w:t>——</w:t>
            </w:r>
            <w:r>
              <w:rPr>
                <w:rFonts w:hAnsi="宋体"/>
                <w:color w:val="auto"/>
                <w:sz w:val="24"/>
              </w:rPr>
              <w:t>靠近围护结构处室内N个声源i倍频带的叠加声压级，dB；</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color w:val="auto"/>
                <w:kern w:val="0"/>
                <w:sz w:val="24"/>
              </w:rPr>
            </w:pPr>
            <w:r>
              <w:rPr>
                <w:color w:val="auto"/>
                <w:kern w:val="0"/>
                <w:sz w:val="24"/>
              </w:rPr>
              <w:t>Lp1ij——室内j声源i倍频带的声压级，dB；</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color w:val="auto"/>
                <w:kern w:val="0"/>
                <w:sz w:val="24"/>
              </w:rPr>
            </w:pPr>
            <w:r>
              <w:rPr>
                <w:color w:val="auto"/>
                <w:kern w:val="0"/>
                <w:sz w:val="24"/>
              </w:rPr>
              <w:t>N——室内声源总数。</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color w:val="auto"/>
                <w:kern w:val="0"/>
                <w:sz w:val="24"/>
              </w:rPr>
            </w:pPr>
            <w:r>
              <w:rPr>
                <w:color w:val="auto"/>
                <w:kern w:val="0"/>
                <w:sz w:val="24"/>
              </w:rPr>
              <w:t>在室内近似为扩散声场时，按下式计算出靠近室外围护结构处的声压级：</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center"/>
              <w:textAlignment w:val="auto"/>
              <w:rPr>
                <w:color w:val="auto"/>
                <w:kern w:val="0"/>
                <w:sz w:val="24"/>
              </w:rPr>
            </w:pPr>
            <w:r>
              <w:rPr>
                <w:color w:val="auto"/>
                <w:kern w:val="0"/>
                <w:sz w:val="24"/>
              </w:rPr>
              <w:t>Lp2i（T）=Lp1i（T）-（TLi+6）</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color w:val="auto"/>
                <w:kern w:val="0"/>
                <w:sz w:val="24"/>
              </w:rPr>
            </w:pPr>
            <w:r>
              <w:rPr>
                <w:color w:val="auto"/>
                <w:kern w:val="0"/>
                <w:sz w:val="24"/>
              </w:rPr>
              <w:t>式中：Lp2i（T）——靠近围护结构处室外N个声源i倍频带的叠加声压级，dB；</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color w:val="auto"/>
                <w:kern w:val="0"/>
                <w:sz w:val="24"/>
              </w:rPr>
            </w:pPr>
            <w:r>
              <w:rPr>
                <w:color w:val="auto"/>
                <w:kern w:val="0"/>
                <w:sz w:val="24"/>
              </w:rPr>
              <w:t>Lp1i（T）——靠近围护结构处室内N个声源i倍频带的叠加声压级，dB；</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color w:val="auto"/>
                <w:kern w:val="0"/>
                <w:sz w:val="24"/>
              </w:rPr>
            </w:pPr>
            <w:r>
              <w:rPr>
                <w:color w:val="auto"/>
                <w:kern w:val="0"/>
                <w:sz w:val="24"/>
              </w:rPr>
              <w:t>TLi——围护结构i倍频带的隔声量，dB；</w:t>
            </w:r>
          </w:p>
          <w:p>
            <w:pPr>
              <w:keepNext w:val="0"/>
              <w:keepLines w:val="0"/>
              <w:suppressLineNumbers w:val="0"/>
              <w:bidi w:val="0"/>
              <w:spacing w:before="0" w:beforeAutospacing="0" w:after="0" w:afterAutospacing="0"/>
              <w:ind w:left="0" w:right="0"/>
              <w:rPr>
                <w:color w:val="auto"/>
              </w:rPr>
            </w:pPr>
            <w:r>
              <w:rPr>
                <w:color w:val="auto"/>
              </w:rPr>
              <w:t>然后按下式将室外声源的声压级和透过面积换算成等效的室外声源，计算出中心位置位于透声面积（S）处的等效声源的倍频带声功率级：</w:t>
            </w:r>
          </w:p>
          <w:p>
            <w:pPr>
              <w:keepNext w:val="0"/>
              <w:keepLines w:val="0"/>
              <w:suppressLineNumbers w:val="0"/>
              <w:bidi w:val="0"/>
              <w:spacing w:before="0" w:beforeAutospacing="0" w:after="0" w:afterAutospacing="0"/>
              <w:ind w:left="0" w:right="0"/>
              <w:jc w:val="center"/>
              <w:rPr>
                <w:color w:val="auto"/>
              </w:rPr>
            </w:pPr>
            <w:r>
              <w:rPr>
                <w:color w:val="auto"/>
              </w:rPr>
              <w:t>Lw2=Lp2（T）+10lgS</w:t>
            </w:r>
          </w:p>
          <w:p>
            <w:pPr>
              <w:keepNext w:val="0"/>
              <w:keepLines w:val="0"/>
              <w:suppressLineNumbers w:val="0"/>
              <w:bidi w:val="0"/>
              <w:spacing w:before="0" w:beforeAutospacing="0" w:after="0" w:afterAutospacing="0"/>
              <w:ind w:left="0" w:right="0"/>
              <w:rPr>
                <w:color w:val="auto"/>
              </w:rPr>
            </w:pPr>
            <w:r>
              <w:rPr>
                <w:color w:val="auto"/>
              </w:rPr>
              <w:t>式中：Lw2——中心位置位于透声面积（S）处的等效声源的倍频带声功率级，dB；</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1200" w:firstLineChars="500"/>
              <w:textAlignment w:val="auto"/>
              <w:rPr>
                <w:color w:val="auto"/>
              </w:rPr>
            </w:pPr>
            <w:r>
              <w:rPr>
                <w:color w:val="auto"/>
              </w:rPr>
              <w:t>Lp2（T）——靠近围护结构处室外声源的声压级，dB；</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1200" w:firstLineChars="500"/>
              <w:textAlignment w:val="auto"/>
              <w:rPr>
                <w:color w:val="auto"/>
              </w:rPr>
            </w:pPr>
            <w:r>
              <w:rPr>
                <w:color w:val="auto"/>
              </w:rPr>
              <w:t>S——透声面积，m</w:t>
            </w:r>
            <w:r>
              <w:rPr>
                <w:color w:val="auto"/>
                <w:vertAlign w:val="superscript"/>
              </w:rPr>
              <w:t>2</w:t>
            </w:r>
            <w:r>
              <w:rPr>
                <w:color w:val="auto"/>
              </w:rPr>
              <w:t>。（车间S=</w:t>
            </w:r>
            <w:r>
              <w:rPr>
                <w:rFonts w:hint="eastAsia"/>
                <w:color w:val="auto"/>
                <w:lang w:val="en-US" w:eastAsia="zh-CN"/>
              </w:rPr>
              <w:t>15</w:t>
            </w:r>
            <w:r>
              <w:rPr>
                <w:color w:val="auto"/>
              </w:rPr>
              <w:t>）</w:t>
            </w:r>
          </w:p>
          <w:p>
            <w:pPr>
              <w:pStyle w:val="12"/>
              <w:keepNext w:val="0"/>
              <w:keepLines w:val="0"/>
              <w:suppressLineNumbers w:val="0"/>
              <w:bidi w:val="0"/>
              <w:spacing w:before="0" w:beforeAutospacing="0" w:after="0" w:afterAutospacing="0"/>
              <w:ind w:left="0" w:right="0"/>
              <w:rPr>
                <w:rFonts w:hint="default"/>
                <w:color w:val="auto"/>
              </w:rPr>
            </w:pPr>
          </w:p>
          <w:p>
            <w:pPr>
              <w:pStyle w:val="12"/>
              <w:keepNext w:val="0"/>
              <w:keepLines w:val="0"/>
              <w:suppressLineNumbers w:val="0"/>
              <w:bidi w:val="0"/>
              <w:spacing w:before="0" w:beforeAutospacing="0" w:after="0" w:afterAutospacing="0"/>
              <w:ind w:left="0" w:right="0"/>
              <w:rPr>
                <w:rFonts w:hint="default"/>
                <w:color w:val="auto"/>
              </w:rPr>
            </w:pPr>
          </w:p>
          <w:p>
            <w:pPr>
              <w:pStyle w:val="12"/>
              <w:keepNext w:val="0"/>
              <w:keepLines w:val="0"/>
              <w:suppressLineNumbers w:val="0"/>
              <w:bidi w:val="0"/>
              <w:spacing w:before="0" w:beforeAutospacing="0" w:after="0" w:afterAutospacing="0"/>
              <w:ind w:left="0" w:right="0"/>
              <w:rPr>
                <w:rFonts w:hint="default"/>
                <w:color w:val="auto"/>
              </w:rPr>
            </w:pPr>
          </w:p>
          <w:p>
            <w:pPr>
              <w:pStyle w:val="12"/>
              <w:keepNext w:val="0"/>
              <w:keepLines w:val="0"/>
              <w:suppressLineNumbers w:val="0"/>
              <w:bidi w:val="0"/>
              <w:spacing w:before="0" w:beforeAutospacing="0" w:after="0" w:afterAutospacing="0"/>
              <w:ind w:left="0" w:right="0"/>
              <w:rPr>
                <w:rFonts w:hint="default"/>
                <w:color w:val="auto"/>
              </w:rPr>
            </w:pPr>
            <w:r>
              <w:rPr>
                <w:rFonts w:hint="default"/>
                <w:color w:val="auto"/>
              </w:rPr>
              <w:t>表</w:t>
            </w:r>
            <w:r>
              <w:rPr>
                <w:rFonts w:hint="eastAsia"/>
                <w:color w:val="auto"/>
                <w:lang w:val="en-US" w:eastAsia="zh-CN"/>
              </w:rPr>
              <w:t xml:space="preserve"> 4-7    </w:t>
            </w:r>
            <w:r>
              <w:rPr>
                <w:rFonts w:hint="default"/>
                <w:color w:val="auto"/>
              </w:rPr>
              <w:t>本项目主要噪声源强调查清单</w:t>
            </w:r>
          </w:p>
          <w:tbl>
            <w:tblPr>
              <w:tblStyle w:val="22"/>
              <w:tblW w:w="4996"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67"/>
              <w:gridCol w:w="557"/>
              <w:gridCol w:w="561"/>
              <w:gridCol w:w="932"/>
              <w:gridCol w:w="747"/>
              <w:gridCol w:w="747"/>
              <w:gridCol w:w="747"/>
              <w:gridCol w:w="774"/>
              <w:gridCol w:w="747"/>
              <w:gridCol w:w="850"/>
              <w:gridCol w:w="80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3" w:type="pct"/>
                  <w:vMerge w:val="restart"/>
                  <w:tcBorders>
                    <w:tl2br w:val="nil"/>
                    <w:tr2bl w:val="nil"/>
                  </w:tcBorders>
                  <w:vAlign w:val="center"/>
                </w:tcPr>
                <w:p>
                  <w:pPr>
                    <w:pStyle w:val="28"/>
                    <w:keepNext w:val="0"/>
                    <w:keepLines w:val="0"/>
                    <w:widowControl/>
                    <w:suppressLineNumbers w:val="0"/>
                    <w:bidi w:val="0"/>
                    <w:spacing w:before="0" w:beforeAutospacing="0" w:after="0" w:afterAutospacing="0"/>
                    <w:ind w:left="0" w:right="0"/>
                    <w:rPr>
                      <w:b/>
                      <w:bCs/>
                      <w:color w:val="auto"/>
                      <w:kern w:val="2"/>
                      <w:sz w:val="21"/>
                      <w:szCs w:val="21"/>
                    </w:rPr>
                  </w:pPr>
                  <w:bookmarkStart w:id="233" w:name="OLE_LINK208"/>
                  <w:r>
                    <w:rPr>
                      <w:b/>
                      <w:bCs/>
                      <w:color w:val="auto"/>
                      <w:kern w:val="2"/>
                      <w:sz w:val="21"/>
                      <w:szCs w:val="21"/>
                    </w:rPr>
                    <w:t>序号</w:t>
                  </w:r>
                </w:p>
              </w:tc>
              <w:tc>
                <w:tcPr>
                  <w:tcW w:w="696" w:type="pct"/>
                  <w:gridSpan w:val="2"/>
                  <w:vMerge w:val="restart"/>
                  <w:tcBorders>
                    <w:tl2br w:val="nil"/>
                    <w:tr2bl w:val="nil"/>
                  </w:tcBorders>
                  <w:vAlign w:val="center"/>
                </w:tcPr>
                <w:p>
                  <w:pPr>
                    <w:pStyle w:val="28"/>
                    <w:keepNext w:val="0"/>
                    <w:keepLines w:val="0"/>
                    <w:widowControl/>
                    <w:suppressLineNumbers w:val="0"/>
                    <w:bidi w:val="0"/>
                    <w:spacing w:before="0" w:beforeAutospacing="0" w:after="0" w:afterAutospacing="0"/>
                    <w:ind w:left="0" w:right="0"/>
                    <w:rPr>
                      <w:b/>
                      <w:bCs/>
                      <w:color w:val="auto"/>
                      <w:kern w:val="2"/>
                      <w:sz w:val="21"/>
                      <w:szCs w:val="21"/>
                    </w:rPr>
                  </w:pPr>
                  <w:r>
                    <w:rPr>
                      <w:b/>
                      <w:bCs/>
                      <w:color w:val="auto"/>
                      <w:kern w:val="2"/>
                      <w:sz w:val="21"/>
                      <w:szCs w:val="21"/>
                    </w:rPr>
                    <w:t>声源</w:t>
                  </w:r>
                </w:p>
                <w:p>
                  <w:pPr>
                    <w:pStyle w:val="28"/>
                    <w:keepNext w:val="0"/>
                    <w:keepLines w:val="0"/>
                    <w:widowControl/>
                    <w:suppressLineNumbers w:val="0"/>
                    <w:bidi w:val="0"/>
                    <w:spacing w:before="0" w:beforeAutospacing="0" w:after="0" w:afterAutospacing="0"/>
                    <w:ind w:left="0" w:right="0"/>
                    <w:rPr>
                      <w:b/>
                      <w:bCs/>
                      <w:color w:val="auto"/>
                      <w:kern w:val="2"/>
                      <w:sz w:val="21"/>
                      <w:szCs w:val="21"/>
                    </w:rPr>
                  </w:pPr>
                  <w:r>
                    <w:rPr>
                      <w:b/>
                      <w:bCs/>
                      <w:color w:val="auto"/>
                      <w:kern w:val="2"/>
                      <w:sz w:val="21"/>
                      <w:szCs w:val="21"/>
                    </w:rPr>
                    <w:t>名称</w:t>
                  </w:r>
                </w:p>
              </w:tc>
              <w:tc>
                <w:tcPr>
                  <w:tcW w:w="579" w:type="pct"/>
                  <w:vMerge w:val="restart"/>
                  <w:tcBorders>
                    <w:tl2br w:val="nil"/>
                    <w:tr2bl w:val="nil"/>
                  </w:tcBorders>
                  <w:vAlign w:val="center"/>
                </w:tcPr>
                <w:p>
                  <w:pPr>
                    <w:pStyle w:val="28"/>
                    <w:keepNext w:val="0"/>
                    <w:keepLines w:val="0"/>
                    <w:widowControl/>
                    <w:suppressLineNumbers w:val="0"/>
                    <w:bidi w:val="0"/>
                    <w:spacing w:before="0" w:beforeAutospacing="0" w:after="0" w:afterAutospacing="0"/>
                    <w:ind w:left="0" w:right="0"/>
                    <w:rPr>
                      <w:b/>
                      <w:bCs/>
                      <w:color w:val="auto"/>
                      <w:kern w:val="2"/>
                      <w:sz w:val="21"/>
                      <w:szCs w:val="21"/>
                    </w:rPr>
                  </w:pPr>
                  <w:r>
                    <w:rPr>
                      <w:b/>
                      <w:bCs/>
                      <w:color w:val="auto"/>
                      <w:kern w:val="2"/>
                      <w:sz w:val="21"/>
                      <w:szCs w:val="21"/>
                    </w:rPr>
                    <w:t>声功率级/dB（A）</w:t>
                  </w:r>
                </w:p>
              </w:tc>
              <w:tc>
                <w:tcPr>
                  <w:tcW w:w="464" w:type="pct"/>
                  <w:vMerge w:val="restart"/>
                  <w:tcBorders>
                    <w:tl2br w:val="nil"/>
                    <w:tr2bl w:val="nil"/>
                  </w:tcBorders>
                  <w:vAlign w:val="center"/>
                </w:tcPr>
                <w:p>
                  <w:pPr>
                    <w:pStyle w:val="28"/>
                    <w:keepNext w:val="0"/>
                    <w:keepLines w:val="0"/>
                    <w:widowControl/>
                    <w:suppressLineNumbers w:val="0"/>
                    <w:bidi w:val="0"/>
                    <w:spacing w:before="0" w:beforeAutospacing="0" w:after="0" w:afterAutospacing="0"/>
                    <w:ind w:left="0" w:right="0"/>
                    <w:rPr>
                      <w:b/>
                      <w:bCs/>
                      <w:color w:val="auto"/>
                      <w:kern w:val="2"/>
                      <w:sz w:val="21"/>
                      <w:szCs w:val="21"/>
                    </w:rPr>
                  </w:pPr>
                  <w:r>
                    <w:rPr>
                      <w:b/>
                      <w:bCs/>
                      <w:color w:val="auto"/>
                      <w:kern w:val="2"/>
                      <w:sz w:val="21"/>
                      <w:szCs w:val="21"/>
                    </w:rPr>
                    <w:t>声源控制措施</w:t>
                  </w:r>
                </w:p>
              </w:tc>
              <w:tc>
                <w:tcPr>
                  <w:tcW w:w="1409" w:type="pct"/>
                  <w:gridSpan w:val="3"/>
                  <w:tcBorders>
                    <w:tl2br w:val="nil"/>
                    <w:tr2bl w:val="nil"/>
                  </w:tcBorders>
                  <w:vAlign w:val="center"/>
                </w:tcPr>
                <w:p>
                  <w:pPr>
                    <w:pStyle w:val="28"/>
                    <w:keepNext w:val="0"/>
                    <w:keepLines w:val="0"/>
                    <w:widowControl/>
                    <w:suppressLineNumbers w:val="0"/>
                    <w:bidi w:val="0"/>
                    <w:spacing w:before="0" w:beforeAutospacing="0" w:after="0" w:afterAutospacing="0"/>
                    <w:ind w:left="0" w:right="0"/>
                    <w:rPr>
                      <w:b/>
                      <w:bCs/>
                      <w:color w:val="auto"/>
                      <w:kern w:val="2"/>
                      <w:sz w:val="21"/>
                      <w:szCs w:val="21"/>
                    </w:rPr>
                  </w:pPr>
                  <w:r>
                    <w:rPr>
                      <w:b/>
                      <w:bCs/>
                      <w:color w:val="auto"/>
                      <w:kern w:val="2"/>
                      <w:sz w:val="21"/>
                      <w:szCs w:val="21"/>
                    </w:rPr>
                    <w:t>空间相对位置/m</w:t>
                  </w:r>
                </w:p>
              </w:tc>
              <w:tc>
                <w:tcPr>
                  <w:tcW w:w="464" w:type="pct"/>
                  <w:vMerge w:val="restart"/>
                  <w:tcBorders>
                    <w:tl2br w:val="nil"/>
                    <w:tr2bl w:val="nil"/>
                  </w:tcBorders>
                  <w:vAlign w:val="center"/>
                </w:tcPr>
                <w:p>
                  <w:pPr>
                    <w:pStyle w:val="28"/>
                    <w:keepNext w:val="0"/>
                    <w:keepLines w:val="0"/>
                    <w:widowControl/>
                    <w:suppressLineNumbers w:val="0"/>
                    <w:bidi w:val="0"/>
                    <w:spacing w:before="0" w:beforeAutospacing="0" w:after="0" w:afterAutospacing="0"/>
                    <w:ind w:left="0" w:right="0"/>
                    <w:rPr>
                      <w:b/>
                      <w:bCs/>
                      <w:color w:val="auto"/>
                      <w:kern w:val="2"/>
                      <w:sz w:val="21"/>
                      <w:szCs w:val="21"/>
                    </w:rPr>
                  </w:pPr>
                  <w:r>
                    <w:rPr>
                      <w:b/>
                      <w:bCs/>
                      <w:color w:val="auto"/>
                      <w:kern w:val="2"/>
                      <w:sz w:val="21"/>
                      <w:szCs w:val="21"/>
                    </w:rPr>
                    <w:t>距室内边界距离/m</w:t>
                  </w:r>
                </w:p>
              </w:tc>
              <w:tc>
                <w:tcPr>
                  <w:tcW w:w="528" w:type="pct"/>
                  <w:vMerge w:val="restart"/>
                  <w:tcBorders>
                    <w:tl2br w:val="nil"/>
                    <w:tr2bl w:val="nil"/>
                  </w:tcBorders>
                  <w:vAlign w:val="center"/>
                </w:tcPr>
                <w:p>
                  <w:pPr>
                    <w:pStyle w:val="28"/>
                    <w:keepNext w:val="0"/>
                    <w:keepLines w:val="0"/>
                    <w:widowControl/>
                    <w:suppressLineNumbers w:val="0"/>
                    <w:bidi w:val="0"/>
                    <w:spacing w:before="0" w:beforeAutospacing="0" w:after="0" w:afterAutospacing="0"/>
                    <w:ind w:left="0" w:right="0"/>
                    <w:rPr>
                      <w:b/>
                      <w:bCs/>
                      <w:color w:val="auto"/>
                      <w:kern w:val="2"/>
                      <w:sz w:val="21"/>
                      <w:szCs w:val="21"/>
                    </w:rPr>
                  </w:pPr>
                  <w:r>
                    <w:rPr>
                      <w:b/>
                      <w:bCs/>
                      <w:color w:val="auto"/>
                      <w:kern w:val="2"/>
                      <w:sz w:val="21"/>
                      <w:szCs w:val="21"/>
                    </w:rPr>
                    <w:t>室内边界声级/dB（A）</w:t>
                  </w:r>
                </w:p>
              </w:tc>
              <w:tc>
                <w:tcPr>
                  <w:tcW w:w="501" w:type="pct"/>
                  <w:vMerge w:val="restart"/>
                  <w:tcBorders>
                    <w:tl2br w:val="nil"/>
                    <w:tr2bl w:val="nil"/>
                  </w:tcBorders>
                  <w:vAlign w:val="center"/>
                </w:tcPr>
                <w:p>
                  <w:pPr>
                    <w:pStyle w:val="28"/>
                    <w:keepNext w:val="0"/>
                    <w:keepLines w:val="0"/>
                    <w:widowControl/>
                    <w:suppressLineNumbers w:val="0"/>
                    <w:bidi w:val="0"/>
                    <w:spacing w:before="0" w:beforeAutospacing="0" w:after="0" w:afterAutospacing="0"/>
                    <w:ind w:left="0" w:right="0"/>
                    <w:rPr>
                      <w:b/>
                      <w:bCs/>
                      <w:color w:val="auto"/>
                      <w:kern w:val="2"/>
                      <w:sz w:val="21"/>
                      <w:szCs w:val="21"/>
                    </w:rPr>
                  </w:pPr>
                  <w:r>
                    <w:rPr>
                      <w:rFonts w:hint="eastAsia"/>
                      <w:b/>
                      <w:bCs/>
                      <w:color w:val="auto"/>
                      <w:sz w:val="21"/>
                      <w:szCs w:val="21"/>
                      <w:lang w:val="en-US" w:eastAsia="zh-CN"/>
                    </w:rPr>
                    <w:t>室内边界叠加声级</w:t>
                  </w:r>
                  <w:r>
                    <w:rPr>
                      <w:rFonts w:hint="default"/>
                      <w:b/>
                      <w:bCs/>
                      <w:color w:val="auto"/>
                      <w:sz w:val="21"/>
                      <w:szCs w:val="21"/>
                      <w:lang w:val="en-US" w:eastAsia="zh-CN"/>
                    </w:rPr>
                    <w:t>/dB</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3" w:type="pct"/>
                  <w:vMerge w:val="continue"/>
                  <w:tcBorders>
                    <w:tl2br w:val="nil"/>
                    <w:tr2bl w:val="nil"/>
                  </w:tcBorders>
                  <w:vAlign w:val="center"/>
                </w:tcPr>
                <w:p>
                  <w:pPr>
                    <w:pStyle w:val="28"/>
                    <w:keepNext w:val="0"/>
                    <w:keepLines w:val="0"/>
                    <w:widowControl/>
                    <w:suppressLineNumbers w:val="0"/>
                    <w:bidi w:val="0"/>
                    <w:spacing w:before="0" w:beforeAutospacing="0" w:after="0" w:afterAutospacing="0"/>
                    <w:ind w:left="0" w:right="0"/>
                    <w:rPr>
                      <w:b/>
                      <w:bCs/>
                      <w:color w:val="auto"/>
                      <w:kern w:val="2"/>
                      <w:sz w:val="21"/>
                      <w:szCs w:val="21"/>
                    </w:rPr>
                  </w:pPr>
                </w:p>
              </w:tc>
              <w:tc>
                <w:tcPr>
                  <w:tcW w:w="696" w:type="pct"/>
                  <w:gridSpan w:val="2"/>
                  <w:vMerge w:val="continue"/>
                  <w:tcBorders>
                    <w:tl2br w:val="nil"/>
                    <w:tr2bl w:val="nil"/>
                  </w:tcBorders>
                  <w:vAlign w:val="center"/>
                </w:tcPr>
                <w:p>
                  <w:pPr>
                    <w:pStyle w:val="28"/>
                    <w:keepNext w:val="0"/>
                    <w:keepLines w:val="0"/>
                    <w:widowControl/>
                    <w:suppressLineNumbers w:val="0"/>
                    <w:bidi w:val="0"/>
                    <w:spacing w:before="0" w:beforeAutospacing="0" w:after="0" w:afterAutospacing="0"/>
                    <w:ind w:left="0" w:right="0"/>
                    <w:rPr>
                      <w:b/>
                      <w:bCs/>
                      <w:color w:val="auto"/>
                      <w:kern w:val="2"/>
                      <w:sz w:val="21"/>
                      <w:szCs w:val="21"/>
                    </w:rPr>
                  </w:pPr>
                </w:p>
              </w:tc>
              <w:tc>
                <w:tcPr>
                  <w:tcW w:w="579" w:type="pct"/>
                  <w:vMerge w:val="continue"/>
                  <w:tcBorders>
                    <w:tl2br w:val="nil"/>
                    <w:tr2bl w:val="nil"/>
                  </w:tcBorders>
                  <w:vAlign w:val="center"/>
                </w:tcPr>
                <w:p>
                  <w:pPr>
                    <w:pStyle w:val="28"/>
                    <w:keepNext w:val="0"/>
                    <w:keepLines w:val="0"/>
                    <w:widowControl/>
                    <w:suppressLineNumbers w:val="0"/>
                    <w:bidi w:val="0"/>
                    <w:spacing w:before="0" w:beforeAutospacing="0" w:after="0" w:afterAutospacing="0"/>
                    <w:ind w:left="0" w:right="0"/>
                    <w:rPr>
                      <w:b/>
                      <w:bCs/>
                      <w:color w:val="auto"/>
                      <w:kern w:val="2"/>
                      <w:sz w:val="21"/>
                      <w:szCs w:val="21"/>
                    </w:rPr>
                  </w:pPr>
                </w:p>
              </w:tc>
              <w:tc>
                <w:tcPr>
                  <w:tcW w:w="464" w:type="pct"/>
                  <w:vMerge w:val="continue"/>
                  <w:tcBorders>
                    <w:tl2br w:val="nil"/>
                    <w:tr2bl w:val="nil"/>
                  </w:tcBorders>
                  <w:vAlign w:val="center"/>
                </w:tcPr>
                <w:p>
                  <w:pPr>
                    <w:pStyle w:val="28"/>
                    <w:keepNext w:val="0"/>
                    <w:keepLines w:val="0"/>
                    <w:widowControl/>
                    <w:suppressLineNumbers w:val="0"/>
                    <w:bidi w:val="0"/>
                    <w:spacing w:before="0" w:beforeAutospacing="0" w:after="0" w:afterAutospacing="0"/>
                    <w:ind w:left="0" w:right="0"/>
                    <w:rPr>
                      <w:b/>
                      <w:bCs/>
                      <w:color w:val="auto"/>
                      <w:kern w:val="2"/>
                      <w:sz w:val="21"/>
                      <w:szCs w:val="21"/>
                    </w:rPr>
                  </w:pPr>
                </w:p>
              </w:tc>
              <w:tc>
                <w:tcPr>
                  <w:tcW w:w="464"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b/>
                      <w:bCs/>
                      <w:color w:val="auto"/>
                      <w:kern w:val="2"/>
                      <w:sz w:val="21"/>
                      <w:szCs w:val="21"/>
                    </w:rPr>
                  </w:pPr>
                  <w:r>
                    <w:rPr>
                      <w:b/>
                      <w:bCs/>
                      <w:color w:val="auto"/>
                      <w:kern w:val="2"/>
                      <w:sz w:val="21"/>
                      <w:szCs w:val="21"/>
                    </w:rPr>
                    <w:t>X</w:t>
                  </w:r>
                </w:p>
              </w:tc>
              <w:tc>
                <w:tcPr>
                  <w:tcW w:w="464"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b/>
                      <w:bCs/>
                      <w:color w:val="auto"/>
                      <w:kern w:val="2"/>
                      <w:sz w:val="21"/>
                      <w:szCs w:val="21"/>
                    </w:rPr>
                  </w:pPr>
                  <w:r>
                    <w:rPr>
                      <w:b/>
                      <w:bCs/>
                      <w:color w:val="auto"/>
                      <w:kern w:val="2"/>
                      <w:sz w:val="21"/>
                      <w:szCs w:val="21"/>
                    </w:rPr>
                    <w:t>Y</w:t>
                  </w:r>
                </w:p>
              </w:tc>
              <w:tc>
                <w:tcPr>
                  <w:tcW w:w="480"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b/>
                      <w:bCs/>
                      <w:color w:val="auto"/>
                      <w:kern w:val="2"/>
                      <w:sz w:val="21"/>
                      <w:szCs w:val="21"/>
                    </w:rPr>
                  </w:pPr>
                  <w:r>
                    <w:rPr>
                      <w:b/>
                      <w:bCs/>
                      <w:color w:val="auto"/>
                      <w:kern w:val="2"/>
                      <w:sz w:val="21"/>
                      <w:szCs w:val="21"/>
                    </w:rPr>
                    <w:t>Z</w:t>
                  </w:r>
                </w:p>
              </w:tc>
              <w:tc>
                <w:tcPr>
                  <w:tcW w:w="464" w:type="pct"/>
                  <w:vMerge w:val="continue"/>
                  <w:tcBorders>
                    <w:tl2br w:val="nil"/>
                    <w:tr2bl w:val="nil"/>
                  </w:tcBorders>
                  <w:vAlign w:val="center"/>
                </w:tcPr>
                <w:p>
                  <w:pPr>
                    <w:pStyle w:val="28"/>
                    <w:keepNext w:val="0"/>
                    <w:keepLines w:val="0"/>
                    <w:widowControl/>
                    <w:suppressLineNumbers w:val="0"/>
                    <w:bidi w:val="0"/>
                    <w:spacing w:before="0" w:beforeAutospacing="0" w:after="0" w:afterAutospacing="0"/>
                    <w:ind w:left="0" w:right="0"/>
                    <w:rPr>
                      <w:b/>
                      <w:bCs/>
                      <w:color w:val="auto"/>
                      <w:kern w:val="2"/>
                      <w:sz w:val="21"/>
                      <w:szCs w:val="21"/>
                    </w:rPr>
                  </w:pPr>
                </w:p>
              </w:tc>
              <w:tc>
                <w:tcPr>
                  <w:tcW w:w="528" w:type="pct"/>
                  <w:vMerge w:val="continue"/>
                  <w:tcBorders>
                    <w:tl2br w:val="nil"/>
                    <w:tr2bl w:val="nil"/>
                  </w:tcBorders>
                  <w:vAlign w:val="center"/>
                </w:tcPr>
                <w:p>
                  <w:pPr>
                    <w:pStyle w:val="28"/>
                    <w:keepNext w:val="0"/>
                    <w:keepLines w:val="0"/>
                    <w:widowControl/>
                    <w:suppressLineNumbers w:val="0"/>
                    <w:bidi w:val="0"/>
                    <w:spacing w:before="0" w:beforeAutospacing="0" w:after="0" w:afterAutospacing="0"/>
                    <w:ind w:left="0" w:right="0"/>
                    <w:rPr>
                      <w:b/>
                      <w:bCs/>
                      <w:color w:val="auto"/>
                      <w:kern w:val="2"/>
                      <w:sz w:val="21"/>
                      <w:szCs w:val="21"/>
                    </w:rPr>
                  </w:pPr>
                </w:p>
              </w:tc>
              <w:tc>
                <w:tcPr>
                  <w:tcW w:w="501" w:type="pct"/>
                  <w:vMerge w:val="continue"/>
                  <w:tcBorders>
                    <w:tl2br w:val="nil"/>
                    <w:tr2bl w:val="nil"/>
                  </w:tcBorders>
                  <w:vAlign w:val="center"/>
                </w:tcPr>
                <w:p>
                  <w:pPr>
                    <w:pStyle w:val="28"/>
                    <w:keepNext w:val="0"/>
                    <w:keepLines w:val="0"/>
                    <w:widowControl/>
                    <w:suppressLineNumbers w:val="0"/>
                    <w:bidi w:val="0"/>
                    <w:spacing w:before="0" w:beforeAutospacing="0" w:after="0" w:afterAutospacing="0"/>
                    <w:ind w:left="0" w:right="0"/>
                    <w:rPr>
                      <w:b/>
                      <w:bCs/>
                      <w:color w:val="auto"/>
                      <w:kern w:val="2"/>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3"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szCs w:val="21"/>
                    </w:rPr>
                  </w:pPr>
                  <w:bookmarkStart w:id="234" w:name="OLE_LINK96" w:colFirst="5" w:colLast="7"/>
                  <w:bookmarkStart w:id="235" w:name="OLE_LINK97" w:colFirst="3" w:colLast="3"/>
                  <w:r>
                    <w:rPr>
                      <w:rFonts w:hint="eastAsia"/>
                      <w:color w:val="auto"/>
                      <w:kern w:val="2"/>
                      <w:sz w:val="21"/>
                      <w:szCs w:val="21"/>
                    </w:rPr>
                    <w:t>1</w:t>
                  </w:r>
                </w:p>
              </w:tc>
              <w:tc>
                <w:tcPr>
                  <w:tcW w:w="347" w:type="pct"/>
                  <w:vMerge w:val="restart"/>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szCs w:val="21"/>
                    </w:rPr>
                  </w:pPr>
                  <w:bookmarkStart w:id="236" w:name="OLE_LINK98"/>
                  <w:r>
                    <w:rPr>
                      <w:rFonts w:hint="default" w:ascii="Times New Roman" w:hAnsi="Times New Roman" w:cs="Times New Roman"/>
                      <w:color w:val="auto"/>
                      <w:kern w:val="2"/>
                      <w:sz w:val="21"/>
                      <w:szCs w:val="21"/>
                    </w:rPr>
                    <w:t>废气处理</w:t>
                  </w:r>
                  <w:bookmarkEnd w:id="236"/>
                </w:p>
              </w:tc>
              <w:tc>
                <w:tcPr>
                  <w:tcW w:w="349"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default" w:ascii="Times New Roman" w:hAnsi="Times New Roman" w:cs="Times New Roman"/>
                      <w:color w:val="auto"/>
                      <w:kern w:val="2"/>
                      <w:sz w:val="21"/>
                      <w:szCs w:val="21"/>
                    </w:rPr>
                  </w:pPr>
                  <w:r>
                    <w:rPr>
                      <w:rFonts w:hint="eastAsia"/>
                      <w:color w:val="auto"/>
                      <w:kern w:val="2"/>
                      <w:sz w:val="21"/>
                      <w:szCs w:val="21"/>
                      <w:lang w:val="en-US" w:eastAsia="zh-CN"/>
                    </w:rPr>
                    <w:t>喷淋泵</w:t>
                  </w:r>
                </w:p>
              </w:tc>
              <w:tc>
                <w:tcPr>
                  <w:tcW w:w="579"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szCs w:val="21"/>
                      <w:lang w:val="en-US" w:eastAsia="zh-CN"/>
                    </w:rPr>
                  </w:pPr>
                  <w:r>
                    <w:rPr>
                      <w:rFonts w:hint="eastAsia"/>
                      <w:color w:val="auto"/>
                      <w:kern w:val="2"/>
                      <w:sz w:val="21"/>
                      <w:szCs w:val="21"/>
                      <w:lang w:val="en-US" w:eastAsia="zh-CN"/>
                    </w:rPr>
                    <w:t>70</w:t>
                  </w:r>
                </w:p>
              </w:tc>
              <w:tc>
                <w:tcPr>
                  <w:tcW w:w="464" w:type="pct"/>
                  <w:vMerge w:val="restart"/>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szCs w:val="21"/>
                      <w:lang w:val="en-US" w:eastAsia="zh-CN"/>
                    </w:rPr>
                  </w:pPr>
                  <w:r>
                    <w:rPr>
                      <w:rFonts w:hint="eastAsia"/>
                      <w:color w:val="auto"/>
                      <w:kern w:val="2"/>
                      <w:sz w:val="21"/>
                      <w:szCs w:val="21"/>
                      <w:lang w:val="en-US" w:eastAsia="zh-CN"/>
                    </w:rPr>
                    <w:t>基础减振</w:t>
                  </w:r>
                </w:p>
              </w:tc>
              <w:tc>
                <w:tcPr>
                  <w:tcW w:w="747"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szCs w:val="21"/>
                      <w:lang w:val="en-US" w:eastAsia="zh-CN"/>
                    </w:rPr>
                  </w:pPr>
                  <w:r>
                    <w:rPr>
                      <w:rFonts w:hint="default"/>
                      <w:color w:val="auto"/>
                      <w:kern w:val="2"/>
                      <w:sz w:val="21"/>
                      <w:szCs w:val="21"/>
                      <w:lang w:val="en-US" w:eastAsia="zh-CN"/>
                    </w:rPr>
                    <w:t>19</w:t>
                  </w:r>
                </w:p>
              </w:tc>
              <w:tc>
                <w:tcPr>
                  <w:tcW w:w="747"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szCs w:val="21"/>
                      <w:lang w:val="en-US" w:eastAsia="zh-CN"/>
                    </w:rPr>
                  </w:pPr>
                  <w:r>
                    <w:rPr>
                      <w:rFonts w:hint="default"/>
                      <w:color w:val="auto"/>
                      <w:kern w:val="2"/>
                      <w:sz w:val="21"/>
                      <w:szCs w:val="21"/>
                      <w:lang w:val="en-US" w:eastAsia="zh-CN"/>
                    </w:rPr>
                    <w:t>5</w:t>
                  </w:r>
                </w:p>
              </w:tc>
              <w:tc>
                <w:tcPr>
                  <w:tcW w:w="774"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szCs w:val="21"/>
                      <w:lang w:val="en-US" w:eastAsia="zh-CN"/>
                    </w:rPr>
                  </w:pPr>
                  <w:r>
                    <w:rPr>
                      <w:rFonts w:hint="default"/>
                      <w:color w:val="auto"/>
                      <w:kern w:val="2"/>
                      <w:sz w:val="21"/>
                      <w:szCs w:val="21"/>
                      <w:lang w:val="en-US" w:eastAsia="zh-CN"/>
                    </w:rPr>
                    <w:t>1</w:t>
                  </w:r>
                </w:p>
              </w:tc>
              <w:tc>
                <w:tcPr>
                  <w:tcW w:w="747"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szCs w:val="21"/>
                      <w:lang w:val="en-US" w:eastAsia="zh-CN"/>
                    </w:rPr>
                  </w:pPr>
                  <w:r>
                    <w:rPr>
                      <w:rFonts w:hint="default"/>
                      <w:color w:val="auto"/>
                      <w:kern w:val="2"/>
                      <w:sz w:val="21"/>
                      <w:szCs w:val="21"/>
                      <w:lang w:val="en-US" w:eastAsia="zh-CN"/>
                    </w:rPr>
                    <w:t>19</w:t>
                  </w:r>
                </w:p>
              </w:tc>
              <w:tc>
                <w:tcPr>
                  <w:tcW w:w="850"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szCs w:val="21"/>
                      <w:lang w:val="en-US" w:eastAsia="zh-CN"/>
                    </w:rPr>
                  </w:pPr>
                  <w:r>
                    <w:rPr>
                      <w:rFonts w:hint="default"/>
                      <w:color w:val="auto"/>
                      <w:kern w:val="2"/>
                      <w:sz w:val="21"/>
                      <w:szCs w:val="21"/>
                      <w:lang w:val="en-US" w:eastAsia="zh-CN"/>
                    </w:rPr>
                    <w:t xml:space="preserve">45.46 </w:t>
                  </w:r>
                </w:p>
              </w:tc>
              <w:tc>
                <w:tcPr>
                  <w:tcW w:w="501" w:type="pct"/>
                  <w:vMerge w:val="restart"/>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szCs w:val="21"/>
                      <w:lang w:val="en-US" w:eastAsia="zh-CN"/>
                    </w:rPr>
                  </w:pPr>
                  <w:bookmarkStart w:id="237" w:name="OLE_LINK244"/>
                  <w:r>
                    <w:rPr>
                      <w:rFonts w:hint="eastAsia"/>
                      <w:color w:val="auto"/>
                      <w:kern w:val="2"/>
                      <w:sz w:val="21"/>
                      <w:szCs w:val="21"/>
                      <w:lang w:val="en-US" w:eastAsia="zh-CN"/>
                    </w:rPr>
                    <w:t>55.87</w:t>
                  </w:r>
                  <w:bookmarkEnd w:id="237"/>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3"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szCs w:val="21"/>
                      <w:lang w:eastAsia="zh-CN"/>
                    </w:rPr>
                  </w:pPr>
                  <w:r>
                    <w:rPr>
                      <w:rFonts w:hint="eastAsia"/>
                      <w:color w:val="auto"/>
                      <w:kern w:val="2"/>
                      <w:sz w:val="21"/>
                      <w:szCs w:val="21"/>
                      <w:lang w:val="en-US" w:eastAsia="zh-CN"/>
                    </w:rPr>
                    <w:t>2</w:t>
                  </w:r>
                </w:p>
              </w:tc>
              <w:tc>
                <w:tcPr>
                  <w:tcW w:w="347" w:type="pct"/>
                  <w:vMerge w:val="continue"/>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szCs w:val="21"/>
                      <w:lang w:val="en-US"/>
                    </w:rPr>
                  </w:pPr>
                </w:p>
              </w:tc>
              <w:tc>
                <w:tcPr>
                  <w:tcW w:w="349"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szCs w:val="21"/>
                      <w:lang w:val="en-US" w:eastAsia="zh-CN"/>
                    </w:rPr>
                  </w:pPr>
                  <w:r>
                    <w:rPr>
                      <w:rFonts w:hint="eastAsia"/>
                      <w:color w:val="auto"/>
                      <w:kern w:val="2"/>
                      <w:sz w:val="21"/>
                      <w:szCs w:val="21"/>
                      <w:lang w:val="en-US" w:eastAsia="zh-CN"/>
                    </w:rPr>
                    <w:t>风机</w:t>
                  </w:r>
                </w:p>
              </w:tc>
              <w:tc>
                <w:tcPr>
                  <w:tcW w:w="579"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eastAsia" w:eastAsia="宋体"/>
                      <w:color w:val="auto"/>
                      <w:kern w:val="2"/>
                      <w:sz w:val="21"/>
                      <w:szCs w:val="21"/>
                      <w:lang w:eastAsia="zh-CN"/>
                    </w:rPr>
                  </w:pPr>
                  <w:r>
                    <w:rPr>
                      <w:rFonts w:hint="eastAsia"/>
                      <w:color w:val="auto"/>
                      <w:kern w:val="2"/>
                      <w:sz w:val="21"/>
                      <w:szCs w:val="21"/>
                    </w:rPr>
                    <w:t>8</w:t>
                  </w:r>
                  <w:r>
                    <w:rPr>
                      <w:rFonts w:hint="eastAsia"/>
                      <w:color w:val="auto"/>
                      <w:kern w:val="2"/>
                      <w:sz w:val="21"/>
                      <w:szCs w:val="21"/>
                      <w:lang w:val="en-US" w:eastAsia="zh-CN"/>
                    </w:rPr>
                    <w:t>0</w:t>
                  </w:r>
                </w:p>
              </w:tc>
              <w:tc>
                <w:tcPr>
                  <w:tcW w:w="464" w:type="pct"/>
                  <w:vMerge w:val="continue"/>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szCs w:val="21"/>
                    </w:rPr>
                  </w:pPr>
                </w:p>
              </w:tc>
              <w:tc>
                <w:tcPr>
                  <w:tcW w:w="747"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szCs w:val="21"/>
                      <w:lang w:val="en-US" w:eastAsia="zh-CN"/>
                    </w:rPr>
                  </w:pPr>
                  <w:r>
                    <w:rPr>
                      <w:rFonts w:hint="default"/>
                      <w:color w:val="auto"/>
                      <w:kern w:val="2"/>
                      <w:sz w:val="21"/>
                      <w:szCs w:val="21"/>
                      <w:lang w:val="en-US" w:eastAsia="zh-CN"/>
                    </w:rPr>
                    <w:t>19</w:t>
                  </w:r>
                </w:p>
              </w:tc>
              <w:tc>
                <w:tcPr>
                  <w:tcW w:w="747"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szCs w:val="21"/>
                      <w:lang w:val="en-US" w:eastAsia="zh-CN"/>
                    </w:rPr>
                  </w:pPr>
                  <w:r>
                    <w:rPr>
                      <w:rFonts w:hint="default"/>
                      <w:color w:val="auto"/>
                      <w:kern w:val="2"/>
                      <w:sz w:val="21"/>
                      <w:szCs w:val="21"/>
                      <w:lang w:val="en-US" w:eastAsia="zh-CN"/>
                    </w:rPr>
                    <w:t>4</w:t>
                  </w:r>
                </w:p>
              </w:tc>
              <w:tc>
                <w:tcPr>
                  <w:tcW w:w="774"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szCs w:val="21"/>
                      <w:lang w:val="en-US" w:eastAsia="zh-CN"/>
                    </w:rPr>
                  </w:pPr>
                  <w:r>
                    <w:rPr>
                      <w:rFonts w:hint="default"/>
                      <w:color w:val="auto"/>
                      <w:kern w:val="2"/>
                      <w:sz w:val="21"/>
                      <w:szCs w:val="21"/>
                      <w:lang w:val="en-US" w:eastAsia="zh-CN"/>
                    </w:rPr>
                    <w:t>1</w:t>
                  </w:r>
                </w:p>
              </w:tc>
              <w:tc>
                <w:tcPr>
                  <w:tcW w:w="747"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eastAsia"/>
                      <w:color w:val="auto"/>
                      <w:kern w:val="2"/>
                      <w:sz w:val="21"/>
                      <w:szCs w:val="21"/>
                      <w:lang w:val="en-US" w:eastAsia="zh-CN"/>
                    </w:rPr>
                  </w:pPr>
                  <w:r>
                    <w:rPr>
                      <w:rFonts w:hint="default"/>
                      <w:color w:val="auto"/>
                      <w:kern w:val="2"/>
                      <w:sz w:val="21"/>
                      <w:szCs w:val="21"/>
                      <w:lang w:val="en-US" w:eastAsia="zh-CN"/>
                    </w:rPr>
                    <w:t>19</w:t>
                  </w:r>
                </w:p>
              </w:tc>
              <w:tc>
                <w:tcPr>
                  <w:tcW w:w="850"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default"/>
                      <w:color w:val="auto"/>
                      <w:kern w:val="2"/>
                      <w:sz w:val="21"/>
                      <w:szCs w:val="21"/>
                      <w:lang w:val="en-US" w:eastAsia="zh-CN"/>
                    </w:rPr>
                  </w:pPr>
                  <w:r>
                    <w:rPr>
                      <w:rFonts w:hint="default"/>
                      <w:color w:val="auto"/>
                      <w:kern w:val="2"/>
                      <w:sz w:val="21"/>
                      <w:szCs w:val="21"/>
                      <w:lang w:val="en-US" w:eastAsia="zh-CN"/>
                    </w:rPr>
                    <w:t xml:space="preserve">55.46 </w:t>
                  </w:r>
                </w:p>
              </w:tc>
              <w:tc>
                <w:tcPr>
                  <w:tcW w:w="501" w:type="pct"/>
                  <w:vMerge w:val="continue"/>
                  <w:tcBorders>
                    <w:tl2br w:val="nil"/>
                    <w:tr2bl w:val="nil"/>
                  </w:tcBorders>
                  <w:vAlign w:val="center"/>
                </w:tcPr>
                <w:p>
                  <w:pPr>
                    <w:pStyle w:val="28"/>
                    <w:keepNext w:val="0"/>
                    <w:keepLines w:val="0"/>
                    <w:widowControl/>
                    <w:suppressLineNumbers w:val="0"/>
                    <w:bidi w:val="0"/>
                    <w:spacing w:before="0" w:beforeAutospacing="0" w:after="0" w:afterAutospacing="0"/>
                    <w:ind w:left="0" w:right="0"/>
                    <w:rPr>
                      <w:rFonts w:hint="eastAsia" w:ascii="Times New Roman" w:hAnsi="Times New Roman" w:eastAsia="宋体"/>
                      <w:color w:val="auto"/>
                      <w:kern w:val="2"/>
                      <w:sz w:val="21"/>
                      <w:szCs w:val="21"/>
                      <w:lang w:val="en-US" w:eastAsia="zh-CN"/>
                    </w:rPr>
                  </w:pPr>
                </w:p>
              </w:tc>
            </w:tr>
            <w:bookmarkEnd w:id="233"/>
            <w:bookmarkEnd w:id="234"/>
            <w:bookmarkEnd w:id="235"/>
          </w:tbl>
          <w:p>
            <w:pPr>
              <w:keepNext w:val="0"/>
              <w:keepLines w:val="0"/>
              <w:suppressLineNumbers w:val="0"/>
              <w:bidi w:val="0"/>
              <w:spacing w:before="0" w:beforeAutospacing="0" w:after="0" w:afterAutospacing="0"/>
              <w:ind w:left="0" w:right="0"/>
              <w:rPr>
                <w:rFonts w:hint="default"/>
                <w:color w:val="auto"/>
              </w:rPr>
            </w:pPr>
            <w:r>
              <w:rPr>
                <w:rFonts w:hint="default"/>
                <w:color w:val="auto"/>
              </w:rPr>
              <w:t>本项目主要噪声源的叠加声级及治理情况见下表。</w:t>
            </w:r>
          </w:p>
          <w:p>
            <w:pPr>
              <w:pStyle w:val="12"/>
              <w:keepNext w:val="0"/>
              <w:keepLines w:val="0"/>
              <w:suppressLineNumbers w:val="0"/>
              <w:bidi w:val="0"/>
              <w:spacing w:before="0" w:beforeAutospacing="0" w:after="0" w:afterAutospacing="0"/>
              <w:ind w:left="0" w:right="0"/>
              <w:rPr>
                <w:rFonts w:hint="eastAsia"/>
                <w:color w:val="auto"/>
                <w:lang w:eastAsia="zh-CN"/>
              </w:rPr>
            </w:pPr>
            <w:r>
              <w:rPr>
                <w:color w:val="auto"/>
              </w:rPr>
              <w:t>表</w:t>
            </w:r>
            <w:r>
              <w:rPr>
                <w:rFonts w:hint="eastAsia"/>
                <w:color w:val="auto"/>
                <w:lang w:val="en-US" w:eastAsia="zh-CN"/>
              </w:rPr>
              <w:t>4</w:t>
            </w:r>
            <w:r>
              <w:rPr>
                <w:rFonts w:hint="eastAsia"/>
                <w:color w:val="auto"/>
                <w:lang w:eastAsia="zh-CN"/>
              </w:rPr>
              <w:t>-</w:t>
            </w:r>
            <w:r>
              <w:rPr>
                <w:rFonts w:hint="eastAsia"/>
                <w:color w:val="auto"/>
                <w:lang w:val="en-US" w:eastAsia="zh-CN"/>
              </w:rPr>
              <w:t xml:space="preserve">8    </w:t>
            </w:r>
            <w:r>
              <w:rPr>
                <w:rFonts w:hint="eastAsia"/>
                <w:color w:val="auto"/>
                <w:lang w:eastAsia="zh-CN"/>
              </w:rPr>
              <w:t>本项目主要设备叠加声级及治理情况</w:t>
            </w:r>
          </w:p>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5"/>
              <w:gridCol w:w="1854"/>
              <w:gridCol w:w="1243"/>
              <w:gridCol w:w="1648"/>
              <w:gridCol w:w="226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pct"/>
                  <w:noWrap w:val="0"/>
                  <w:vAlign w:val="center"/>
                </w:tcPr>
                <w:p>
                  <w:pPr>
                    <w:pStyle w:val="28"/>
                    <w:keepNext w:val="0"/>
                    <w:keepLines w:val="0"/>
                    <w:suppressLineNumbers w:val="0"/>
                    <w:bidi w:val="0"/>
                    <w:spacing w:before="0" w:beforeAutospacing="0" w:after="0" w:afterAutospacing="0"/>
                    <w:ind w:left="0" w:right="0"/>
                    <w:rPr>
                      <w:rFonts w:hint="default"/>
                      <w:b/>
                      <w:bCs/>
                      <w:color w:val="auto"/>
                    </w:rPr>
                  </w:pPr>
                  <w:r>
                    <w:rPr>
                      <w:rFonts w:hint="eastAsia"/>
                      <w:b/>
                      <w:bCs/>
                      <w:color w:val="auto"/>
                      <w:lang w:val="en-US" w:eastAsia="zh-CN"/>
                    </w:rPr>
                    <w:t>声源</w:t>
                  </w:r>
                </w:p>
              </w:tc>
              <w:tc>
                <w:tcPr>
                  <w:tcW w:w="1157" w:type="pct"/>
                  <w:noWrap w:val="0"/>
                  <w:vAlign w:val="center"/>
                </w:tcPr>
                <w:p>
                  <w:pPr>
                    <w:pStyle w:val="28"/>
                    <w:keepNext w:val="0"/>
                    <w:keepLines w:val="0"/>
                    <w:suppressLineNumbers w:val="0"/>
                    <w:bidi w:val="0"/>
                    <w:spacing w:before="0" w:beforeAutospacing="0" w:after="0" w:afterAutospacing="0"/>
                    <w:ind w:left="0" w:right="0"/>
                    <w:rPr>
                      <w:rFonts w:hint="eastAsia"/>
                      <w:b/>
                      <w:bCs/>
                      <w:color w:val="auto"/>
                      <w:lang w:val="en-US" w:eastAsia="zh-CN"/>
                    </w:rPr>
                  </w:pPr>
                  <w:r>
                    <w:rPr>
                      <w:rFonts w:hint="eastAsia"/>
                      <w:b/>
                      <w:bCs/>
                      <w:color w:val="auto"/>
                      <w:lang w:val="en-US" w:eastAsia="zh-CN"/>
                    </w:rPr>
                    <w:t>室内边界叠加声级</w:t>
                  </w:r>
                </w:p>
                <w:p>
                  <w:pPr>
                    <w:pStyle w:val="28"/>
                    <w:keepNext w:val="0"/>
                    <w:keepLines w:val="0"/>
                    <w:suppressLineNumbers w:val="0"/>
                    <w:bidi w:val="0"/>
                    <w:spacing w:before="0" w:beforeAutospacing="0" w:after="0" w:afterAutospacing="0"/>
                    <w:ind w:left="0" w:right="0"/>
                    <w:rPr>
                      <w:rFonts w:hint="default"/>
                      <w:b/>
                      <w:bCs/>
                      <w:color w:val="auto"/>
                      <w:lang w:val="en-US" w:eastAsia="zh-CN"/>
                    </w:rPr>
                  </w:pPr>
                  <w:r>
                    <w:rPr>
                      <w:rFonts w:hint="default"/>
                      <w:b/>
                      <w:bCs/>
                      <w:color w:val="auto"/>
                      <w:lang w:val="en-US" w:eastAsia="zh-CN"/>
                    </w:rPr>
                    <w:t>/dB</w:t>
                  </w:r>
                  <w:r>
                    <w:rPr>
                      <w:rFonts w:hint="eastAsia"/>
                      <w:b/>
                      <w:bCs/>
                      <w:color w:val="auto"/>
                      <w:lang w:val="en-US" w:eastAsia="zh-CN"/>
                    </w:rPr>
                    <w:t>（</w:t>
                  </w:r>
                  <w:r>
                    <w:rPr>
                      <w:rFonts w:hint="default"/>
                      <w:b/>
                      <w:bCs/>
                      <w:color w:val="auto"/>
                      <w:lang w:val="en-US" w:eastAsia="zh-CN"/>
                    </w:rPr>
                    <w:t>A</w:t>
                  </w:r>
                  <w:r>
                    <w:rPr>
                      <w:rFonts w:hint="eastAsia"/>
                      <w:b/>
                      <w:bCs/>
                      <w:color w:val="auto"/>
                      <w:lang w:val="en-US" w:eastAsia="zh-CN"/>
                    </w:rPr>
                    <w:t>）</w:t>
                  </w:r>
                </w:p>
              </w:tc>
              <w:tc>
                <w:tcPr>
                  <w:tcW w:w="756" w:type="pct"/>
                  <w:noWrap w:val="0"/>
                  <w:vAlign w:val="center"/>
                </w:tcPr>
                <w:p>
                  <w:pPr>
                    <w:pStyle w:val="28"/>
                    <w:keepNext w:val="0"/>
                    <w:keepLines w:val="0"/>
                    <w:suppressLineNumbers w:val="0"/>
                    <w:bidi w:val="0"/>
                    <w:spacing w:before="0" w:beforeAutospacing="0" w:after="0" w:afterAutospacing="0"/>
                    <w:ind w:left="0" w:right="0"/>
                    <w:rPr>
                      <w:rFonts w:hint="eastAsia"/>
                      <w:b/>
                      <w:bCs/>
                      <w:color w:val="auto"/>
                    </w:rPr>
                  </w:pPr>
                  <w:r>
                    <w:rPr>
                      <w:rFonts w:hint="eastAsia"/>
                      <w:b/>
                      <w:bCs/>
                      <w:color w:val="auto"/>
                      <w:lang w:val="en-US" w:eastAsia="zh-CN"/>
                    </w:rPr>
                    <w:t>运行时段</w:t>
                  </w:r>
                </w:p>
              </w:tc>
              <w:tc>
                <w:tcPr>
                  <w:tcW w:w="1029" w:type="pct"/>
                  <w:noWrap w:val="0"/>
                  <w:vAlign w:val="center"/>
                </w:tcPr>
                <w:p>
                  <w:pPr>
                    <w:pStyle w:val="28"/>
                    <w:keepNext w:val="0"/>
                    <w:keepLines w:val="0"/>
                    <w:suppressLineNumbers w:val="0"/>
                    <w:bidi w:val="0"/>
                    <w:spacing w:before="0" w:beforeAutospacing="0" w:after="0" w:afterAutospacing="0"/>
                    <w:ind w:left="0" w:right="0"/>
                    <w:rPr>
                      <w:rFonts w:hint="eastAsia"/>
                      <w:b/>
                      <w:bCs/>
                      <w:color w:val="auto"/>
                      <w:lang w:val="en-US" w:eastAsia="zh-CN"/>
                    </w:rPr>
                  </w:pPr>
                  <w:r>
                    <w:rPr>
                      <w:rFonts w:hint="eastAsia"/>
                      <w:b/>
                      <w:bCs/>
                      <w:color w:val="auto"/>
                      <w:lang w:val="en-US" w:eastAsia="zh-CN"/>
                    </w:rPr>
                    <w:t>建筑物插入损失</w:t>
                  </w:r>
                </w:p>
                <w:p>
                  <w:pPr>
                    <w:pStyle w:val="28"/>
                    <w:keepNext w:val="0"/>
                    <w:keepLines w:val="0"/>
                    <w:suppressLineNumbers w:val="0"/>
                    <w:bidi w:val="0"/>
                    <w:spacing w:before="0" w:beforeAutospacing="0" w:after="0" w:afterAutospacing="0"/>
                    <w:ind w:left="0" w:right="0"/>
                    <w:rPr>
                      <w:rFonts w:hint="default"/>
                      <w:b/>
                      <w:bCs/>
                      <w:color w:val="auto"/>
                    </w:rPr>
                  </w:pPr>
                  <w:r>
                    <w:rPr>
                      <w:rFonts w:hint="default"/>
                      <w:b/>
                      <w:bCs/>
                      <w:color w:val="auto"/>
                      <w:lang w:val="en-US" w:eastAsia="zh-CN"/>
                    </w:rPr>
                    <w:t>/dB</w:t>
                  </w:r>
                  <w:r>
                    <w:rPr>
                      <w:rFonts w:hint="eastAsia"/>
                      <w:b/>
                      <w:bCs/>
                      <w:color w:val="auto"/>
                      <w:lang w:val="en-US" w:eastAsia="zh-CN"/>
                    </w:rPr>
                    <w:t>（</w:t>
                  </w:r>
                  <w:r>
                    <w:rPr>
                      <w:rFonts w:hint="default"/>
                      <w:b/>
                      <w:bCs/>
                      <w:color w:val="auto"/>
                      <w:lang w:val="en-US" w:eastAsia="zh-CN"/>
                    </w:rPr>
                    <w:t>A</w:t>
                  </w:r>
                  <w:r>
                    <w:rPr>
                      <w:rFonts w:hint="eastAsia"/>
                      <w:b/>
                      <w:bCs/>
                      <w:color w:val="auto"/>
                      <w:lang w:val="en-US" w:eastAsia="zh-CN"/>
                    </w:rPr>
                    <w:t>）</w:t>
                  </w:r>
                </w:p>
              </w:tc>
              <w:tc>
                <w:tcPr>
                  <w:tcW w:w="1414" w:type="pct"/>
                  <w:noWrap w:val="0"/>
                  <w:vAlign w:val="center"/>
                </w:tcPr>
                <w:p>
                  <w:pPr>
                    <w:pStyle w:val="28"/>
                    <w:keepNext w:val="0"/>
                    <w:keepLines w:val="0"/>
                    <w:suppressLineNumbers w:val="0"/>
                    <w:bidi w:val="0"/>
                    <w:spacing w:before="0" w:beforeAutospacing="0" w:after="0" w:afterAutospacing="0"/>
                    <w:ind w:left="0" w:right="0"/>
                    <w:rPr>
                      <w:rFonts w:hint="eastAsia"/>
                      <w:b/>
                      <w:bCs/>
                      <w:color w:val="auto"/>
                      <w:lang w:val="en-US" w:eastAsia="zh-CN"/>
                    </w:rPr>
                  </w:pPr>
                  <w:r>
                    <w:rPr>
                      <w:rFonts w:hint="eastAsia"/>
                      <w:b/>
                      <w:bCs/>
                      <w:color w:val="auto"/>
                      <w:lang w:val="en-US" w:eastAsia="zh-CN"/>
                    </w:rPr>
                    <w:t>建筑物外噪声声功率级</w:t>
                  </w:r>
                </w:p>
                <w:p>
                  <w:pPr>
                    <w:pStyle w:val="28"/>
                    <w:keepNext w:val="0"/>
                    <w:keepLines w:val="0"/>
                    <w:suppressLineNumbers w:val="0"/>
                    <w:bidi w:val="0"/>
                    <w:spacing w:before="0" w:beforeAutospacing="0" w:after="0" w:afterAutospacing="0"/>
                    <w:ind w:left="0" w:right="0"/>
                    <w:rPr>
                      <w:rFonts w:hint="default"/>
                      <w:b/>
                      <w:bCs/>
                      <w:color w:val="auto"/>
                    </w:rPr>
                  </w:pPr>
                  <w:r>
                    <w:rPr>
                      <w:rFonts w:hint="default"/>
                      <w:b/>
                      <w:bCs/>
                      <w:color w:val="auto"/>
                      <w:lang w:val="en-US" w:eastAsia="zh-CN"/>
                    </w:rPr>
                    <w:t>/dB</w:t>
                  </w:r>
                  <w:r>
                    <w:rPr>
                      <w:rFonts w:hint="eastAsia"/>
                      <w:b/>
                      <w:bCs/>
                      <w:color w:val="auto"/>
                      <w:lang w:val="en-US" w:eastAsia="zh-CN"/>
                    </w:rPr>
                    <w:t>（</w:t>
                  </w:r>
                  <w:r>
                    <w:rPr>
                      <w:rFonts w:hint="default"/>
                      <w:b/>
                      <w:bCs/>
                      <w:color w:val="auto"/>
                      <w:lang w:val="en-US" w:eastAsia="zh-CN"/>
                    </w:rPr>
                    <w:t>A</w:t>
                  </w:r>
                  <w:r>
                    <w:rPr>
                      <w:rFonts w:hint="eastAsia"/>
                      <w:b/>
                      <w:bCs/>
                      <w:color w:val="auto"/>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pct"/>
                  <w:noWrap w:val="0"/>
                  <w:vAlign w:val="center"/>
                </w:tcPr>
                <w:p>
                  <w:pPr>
                    <w:pStyle w:val="28"/>
                    <w:keepNext w:val="0"/>
                    <w:keepLines w:val="0"/>
                    <w:suppressLineNumbers w:val="0"/>
                    <w:bidi w:val="0"/>
                    <w:spacing w:before="0" w:beforeAutospacing="0" w:after="0" w:afterAutospacing="0"/>
                    <w:ind w:left="0" w:right="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废气</w:t>
                  </w:r>
                </w:p>
                <w:p>
                  <w:pPr>
                    <w:pStyle w:val="28"/>
                    <w:keepNext w:val="0"/>
                    <w:keepLines w:val="0"/>
                    <w:suppressLineNumbers w:val="0"/>
                    <w:bidi w:val="0"/>
                    <w:spacing w:before="0" w:beforeAutospacing="0" w:after="0" w:afterAutospacing="0"/>
                    <w:ind w:left="0" w:right="0"/>
                    <w:rPr>
                      <w:rFonts w:hint="default" w:ascii="Times New Roman" w:hAnsi="Times New Roman" w:eastAsia="宋体"/>
                      <w:color w:val="auto"/>
                      <w:lang w:val="en-US" w:eastAsia="zh-CN"/>
                    </w:rPr>
                  </w:pPr>
                  <w:r>
                    <w:rPr>
                      <w:rFonts w:hint="default" w:ascii="Times New Roman" w:hAnsi="Times New Roman" w:cs="Times New Roman"/>
                      <w:color w:val="auto"/>
                      <w:kern w:val="2"/>
                      <w:sz w:val="21"/>
                      <w:szCs w:val="21"/>
                    </w:rPr>
                    <w:t>处理</w:t>
                  </w:r>
                </w:p>
              </w:tc>
              <w:tc>
                <w:tcPr>
                  <w:tcW w:w="1157" w:type="pct"/>
                  <w:noWrap w:val="0"/>
                  <w:vAlign w:val="center"/>
                </w:tcPr>
                <w:p>
                  <w:pPr>
                    <w:pStyle w:val="28"/>
                    <w:keepNext w:val="0"/>
                    <w:keepLines w:val="0"/>
                    <w:suppressLineNumbers w:val="0"/>
                    <w:bidi w:val="0"/>
                    <w:spacing w:before="0" w:beforeAutospacing="0" w:after="0" w:afterAutospacing="0"/>
                    <w:ind w:left="0" w:right="0"/>
                    <w:rPr>
                      <w:rFonts w:hint="default" w:ascii="Times New Roman" w:hAnsi="Times New Roman" w:eastAsia="宋体"/>
                      <w:color w:val="auto"/>
                      <w:lang w:val="en-US" w:eastAsia="zh-CN"/>
                    </w:rPr>
                  </w:pPr>
                  <w:r>
                    <w:rPr>
                      <w:rFonts w:hint="eastAsia"/>
                      <w:color w:val="auto"/>
                      <w:kern w:val="2"/>
                      <w:sz w:val="21"/>
                      <w:szCs w:val="21"/>
                      <w:lang w:val="en-US" w:eastAsia="zh-CN"/>
                    </w:rPr>
                    <w:t>55.87</w:t>
                  </w:r>
                </w:p>
              </w:tc>
              <w:tc>
                <w:tcPr>
                  <w:tcW w:w="756" w:type="pct"/>
                  <w:noWrap w:val="0"/>
                  <w:vAlign w:val="center"/>
                </w:tcPr>
                <w:p>
                  <w:pPr>
                    <w:pStyle w:val="28"/>
                    <w:keepNext w:val="0"/>
                    <w:keepLines w:val="0"/>
                    <w:suppressLineNumbers w:val="0"/>
                    <w:bidi w:val="0"/>
                    <w:spacing w:before="0" w:beforeAutospacing="0" w:after="0" w:afterAutospacing="0"/>
                    <w:ind w:left="0" w:right="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08:00-12:00</w:t>
                  </w:r>
                </w:p>
                <w:p>
                  <w:pPr>
                    <w:pStyle w:val="28"/>
                    <w:keepNext w:val="0"/>
                    <w:keepLines w:val="0"/>
                    <w:suppressLineNumbers w:val="0"/>
                    <w:bidi w:val="0"/>
                    <w:spacing w:before="0" w:beforeAutospacing="0" w:after="0" w:afterAutospacing="0"/>
                    <w:ind w:left="0" w:right="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14:00-18:00</w:t>
                  </w:r>
                </w:p>
              </w:tc>
              <w:tc>
                <w:tcPr>
                  <w:tcW w:w="1648" w:type="dxa"/>
                  <w:noWrap w:val="0"/>
                  <w:vAlign w:val="center"/>
                </w:tcPr>
                <w:p>
                  <w:pPr>
                    <w:pStyle w:val="28"/>
                    <w:keepNext w:val="0"/>
                    <w:keepLines w:val="0"/>
                    <w:suppressLineNumbers w:val="0"/>
                    <w:bidi w:val="0"/>
                    <w:spacing w:before="0" w:beforeAutospacing="0" w:after="0" w:afterAutospacing="0"/>
                    <w:ind w:left="0" w:right="0"/>
                    <w:rPr>
                      <w:rFonts w:hint="default" w:ascii="Times New Roman" w:hAnsi="Times New Roman" w:eastAsia="宋体"/>
                      <w:color w:val="auto"/>
                      <w:lang w:val="en-US" w:eastAsia="zh-CN"/>
                    </w:rPr>
                  </w:pPr>
                  <w:r>
                    <w:rPr>
                      <w:rFonts w:hint="eastAsia"/>
                      <w:color w:val="auto"/>
                      <w:lang w:val="en-US" w:eastAsia="zh-CN"/>
                    </w:rPr>
                    <w:t>16</w:t>
                  </w:r>
                </w:p>
              </w:tc>
              <w:tc>
                <w:tcPr>
                  <w:tcW w:w="2269" w:type="dxa"/>
                  <w:noWrap w:val="0"/>
                  <w:vAlign w:val="center"/>
                </w:tcPr>
                <w:p>
                  <w:pPr>
                    <w:pStyle w:val="28"/>
                    <w:keepNext w:val="0"/>
                    <w:keepLines w:val="0"/>
                    <w:suppressLineNumbers w:val="0"/>
                    <w:bidi w:val="0"/>
                    <w:spacing w:before="0" w:beforeAutospacing="0" w:after="0" w:afterAutospacing="0"/>
                    <w:ind w:left="0" w:right="0"/>
                    <w:rPr>
                      <w:rFonts w:hint="default" w:ascii="Times New Roman" w:hAnsi="Times New Roman" w:eastAsia="宋体"/>
                      <w:color w:val="auto"/>
                      <w:lang w:val="en-US" w:eastAsia="zh-CN"/>
                    </w:rPr>
                  </w:pPr>
                  <w:r>
                    <w:rPr>
                      <w:rFonts w:hint="eastAsia"/>
                      <w:color w:val="auto"/>
                      <w:lang w:val="en-US" w:eastAsia="zh-CN"/>
                    </w:rPr>
                    <w:t>51.63</w:t>
                  </w:r>
                </w:p>
              </w:tc>
            </w:tr>
          </w:tbl>
          <w:p>
            <w:pPr>
              <w:keepNext w:val="0"/>
              <w:keepLines w:val="0"/>
              <w:pageBreakBefore w:val="0"/>
              <w:widowControl w:val="0"/>
              <w:suppressLineNumbers w:val="0"/>
              <w:tabs>
                <w:tab w:val="left" w:pos="3620"/>
              </w:tabs>
              <w:kinsoku/>
              <w:wordWrap/>
              <w:overflowPunct/>
              <w:topLinePunct w:val="0"/>
              <w:autoSpaceDE/>
              <w:autoSpaceDN/>
              <w:bidi w:val="0"/>
              <w:adjustRightInd w:val="0"/>
              <w:snapToGrid w:val="0"/>
              <w:spacing w:before="0" w:beforeAutospacing="0" w:after="0" w:afterAutospacing="0" w:line="440" w:lineRule="exact"/>
              <w:ind w:left="0" w:right="0" w:firstLine="480" w:firstLineChars="200"/>
              <w:rPr>
                <w:rFonts w:hAnsi="宋体"/>
                <w:color w:val="auto"/>
                <w:sz w:val="24"/>
              </w:rPr>
            </w:pPr>
            <w:r>
              <w:rPr>
                <w:rFonts w:hint="eastAsia" w:hAnsi="宋体"/>
                <w:color w:val="auto"/>
                <w:sz w:val="24"/>
              </w:rPr>
              <w:t>再根据等效声源与各厂界的距离计算出，厂界处声压级。假设</w:t>
            </w:r>
            <w:r>
              <w:rPr>
                <w:rFonts w:hAnsi="宋体"/>
                <w:color w:val="auto"/>
                <w:sz w:val="24"/>
              </w:rPr>
              <w:t>声源处于半自由声场，则预测点处声压级计算公式如下：</w:t>
            </w:r>
          </w:p>
          <w:p>
            <w:pPr>
              <w:keepNext w:val="0"/>
              <w:keepLines w:val="0"/>
              <w:pageBreakBefore w:val="0"/>
              <w:widowControl w:val="0"/>
              <w:suppressLineNumbers w:val="0"/>
              <w:tabs>
                <w:tab w:val="left" w:pos="3620"/>
              </w:tabs>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center"/>
              <w:rPr>
                <w:rFonts w:hAnsi="宋体"/>
                <w:color w:val="auto"/>
                <w:sz w:val="24"/>
              </w:rPr>
            </w:pPr>
            <w:r>
              <w:rPr>
                <w:rFonts w:hAnsi="宋体"/>
                <w:color w:val="auto"/>
                <w:sz w:val="24"/>
              </w:rPr>
              <w:t>Lp（r）=Lw-20lgr-8</w:t>
            </w:r>
          </w:p>
          <w:p>
            <w:pPr>
              <w:keepNext w:val="0"/>
              <w:keepLines w:val="0"/>
              <w:pageBreakBefore w:val="0"/>
              <w:widowControl w:val="0"/>
              <w:suppressLineNumbers w:val="0"/>
              <w:tabs>
                <w:tab w:val="left" w:pos="3620"/>
              </w:tabs>
              <w:kinsoku/>
              <w:wordWrap/>
              <w:overflowPunct/>
              <w:topLinePunct w:val="0"/>
              <w:autoSpaceDE/>
              <w:autoSpaceDN/>
              <w:bidi w:val="0"/>
              <w:adjustRightInd w:val="0"/>
              <w:snapToGrid w:val="0"/>
              <w:spacing w:before="0" w:beforeAutospacing="0" w:after="0" w:afterAutospacing="0" w:line="440" w:lineRule="exact"/>
              <w:ind w:left="0" w:right="0" w:firstLine="480" w:firstLineChars="200"/>
              <w:rPr>
                <w:rFonts w:hAnsi="宋体"/>
                <w:color w:val="auto"/>
                <w:sz w:val="24"/>
              </w:rPr>
            </w:pPr>
            <w:r>
              <w:rPr>
                <w:rFonts w:hAnsi="宋体"/>
                <w:color w:val="auto"/>
                <w:sz w:val="24"/>
              </w:rPr>
              <w:t>式中：Lp（r）——预测点处声压级，dB；</w:t>
            </w:r>
          </w:p>
          <w:p>
            <w:pPr>
              <w:keepNext w:val="0"/>
              <w:keepLines w:val="0"/>
              <w:pageBreakBefore w:val="0"/>
              <w:widowControl w:val="0"/>
              <w:suppressLineNumbers w:val="0"/>
              <w:tabs>
                <w:tab w:val="left" w:pos="3620"/>
              </w:tabs>
              <w:kinsoku/>
              <w:wordWrap/>
              <w:overflowPunct/>
              <w:topLinePunct w:val="0"/>
              <w:autoSpaceDE/>
              <w:autoSpaceDN/>
              <w:bidi w:val="0"/>
              <w:adjustRightInd w:val="0"/>
              <w:snapToGrid w:val="0"/>
              <w:spacing w:before="0" w:beforeAutospacing="0" w:after="0" w:afterAutospacing="0" w:line="440" w:lineRule="exact"/>
              <w:ind w:left="0" w:right="0" w:firstLine="480" w:firstLineChars="200"/>
              <w:rPr>
                <w:rFonts w:hAnsi="宋体"/>
                <w:color w:val="auto"/>
                <w:sz w:val="24"/>
              </w:rPr>
            </w:pPr>
            <w:r>
              <w:rPr>
                <w:rFonts w:hAnsi="宋体"/>
                <w:color w:val="auto"/>
                <w:sz w:val="24"/>
              </w:rPr>
              <w:t xml:space="preserve">      Lw——由点声源产生的倍频带声功率级，dB；</w:t>
            </w:r>
          </w:p>
          <w:p>
            <w:pPr>
              <w:keepNext w:val="0"/>
              <w:keepLines w:val="0"/>
              <w:pageBreakBefore w:val="0"/>
              <w:widowControl w:val="0"/>
              <w:suppressLineNumbers w:val="0"/>
              <w:tabs>
                <w:tab w:val="left" w:pos="3620"/>
              </w:tabs>
              <w:kinsoku/>
              <w:wordWrap/>
              <w:overflowPunct/>
              <w:topLinePunct w:val="0"/>
              <w:autoSpaceDE/>
              <w:autoSpaceDN/>
              <w:bidi w:val="0"/>
              <w:adjustRightInd w:val="0"/>
              <w:snapToGrid w:val="0"/>
              <w:spacing w:before="0" w:beforeAutospacing="0" w:after="0" w:afterAutospacing="0" w:line="440" w:lineRule="exact"/>
              <w:ind w:left="0" w:right="0" w:firstLine="480" w:firstLineChars="200"/>
              <w:rPr>
                <w:rFonts w:hAnsi="宋体"/>
                <w:color w:val="auto"/>
                <w:sz w:val="24"/>
              </w:rPr>
            </w:pPr>
            <w:r>
              <w:rPr>
                <w:rFonts w:hAnsi="宋体"/>
                <w:color w:val="auto"/>
                <w:sz w:val="24"/>
              </w:rPr>
              <w:t xml:space="preserve">      r——预测点距声源的距离，m。</w:t>
            </w:r>
          </w:p>
          <w:p>
            <w:pPr>
              <w:pStyle w:val="12"/>
              <w:keepNext w:val="0"/>
              <w:keepLines w:val="0"/>
              <w:suppressLineNumbers w:val="0"/>
              <w:bidi w:val="0"/>
              <w:spacing w:before="0" w:beforeAutospacing="0" w:after="0" w:afterAutospacing="0"/>
              <w:ind w:left="0" w:right="0"/>
              <w:rPr>
                <w:rFonts w:hint="default"/>
                <w:color w:val="auto"/>
              </w:rPr>
            </w:pPr>
            <w:r>
              <w:rPr>
                <w:rFonts w:hint="default"/>
                <w:color w:val="auto"/>
              </w:rPr>
              <w:t>表</w:t>
            </w:r>
            <w:r>
              <w:rPr>
                <w:rFonts w:hint="eastAsia"/>
                <w:color w:val="auto"/>
                <w:lang w:val="en-US" w:eastAsia="zh-CN"/>
              </w:rPr>
              <w:t xml:space="preserve"> 4-9    </w:t>
            </w:r>
            <w:r>
              <w:rPr>
                <w:rFonts w:hint="default"/>
                <w:color w:val="auto"/>
              </w:rPr>
              <w:t>各厂界噪声预测值</w:t>
            </w:r>
            <w:r>
              <w:rPr>
                <w:rFonts w:hint="eastAsia"/>
                <w:color w:val="auto"/>
                <w:lang w:val="en-US" w:eastAsia="zh-CN"/>
              </w:rPr>
              <w:t xml:space="preserve">    </w:t>
            </w:r>
            <w:r>
              <w:rPr>
                <w:rFonts w:hint="default"/>
                <w:color w:val="auto"/>
              </w:rPr>
              <w:t>单位：dB(A)</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39"/>
              <w:gridCol w:w="1369"/>
              <w:gridCol w:w="1371"/>
              <w:gridCol w:w="1368"/>
              <w:gridCol w:w="119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2"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b/>
                      <w:bCs/>
                      <w:color w:val="auto"/>
                      <w:kern w:val="2"/>
                      <w:sz w:val="21"/>
                    </w:rPr>
                  </w:pPr>
                  <w:r>
                    <w:rPr>
                      <w:b/>
                      <w:bCs/>
                      <w:color w:val="auto"/>
                      <w:kern w:val="2"/>
                      <w:sz w:val="21"/>
                    </w:rPr>
                    <w:t>预测点</w:t>
                  </w:r>
                </w:p>
              </w:tc>
              <w:tc>
                <w:tcPr>
                  <w:tcW w:w="851"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b/>
                      <w:bCs/>
                      <w:color w:val="auto"/>
                      <w:kern w:val="2"/>
                      <w:sz w:val="21"/>
                    </w:rPr>
                  </w:pPr>
                  <w:r>
                    <w:rPr>
                      <w:b/>
                      <w:bCs/>
                      <w:color w:val="auto"/>
                      <w:kern w:val="2"/>
                      <w:sz w:val="21"/>
                    </w:rPr>
                    <w:t>北厂界</w:t>
                  </w:r>
                </w:p>
              </w:tc>
              <w:tc>
                <w:tcPr>
                  <w:tcW w:w="852"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b/>
                      <w:bCs/>
                      <w:color w:val="auto"/>
                      <w:kern w:val="2"/>
                      <w:sz w:val="21"/>
                    </w:rPr>
                  </w:pPr>
                  <w:r>
                    <w:rPr>
                      <w:b/>
                      <w:bCs/>
                      <w:color w:val="auto"/>
                      <w:kern w:val="2"/>
                      <w:sz w:val="21"/>
                    </w:rPr>
                    <w:t>南厂界</w:t>
                  </w:r>
                </w:p>
              </w:tc>
              <w:tc>
                <w:tcPr>
                  <w:tcW w:w="850"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b/>
                      <w:bCs/>
                      <w:color w:val="auto"/>
                      <w:kern w:val="2"/>
                      <w:sz w:val="21"/>
                    </w:rPr>
                  </w:pPr>
                  <w:r>
                    <w:rPr>
                      <w:b/>
                      <w:bCs/>
                      <w:color w:val="auto"/>
                      <w:kern w:val="2"/>
                      <w:sz w:val="21"/>
                    </w:rPr>
                    <w:t>西厂界</w:t>
                  </w:r>
                </w:p>
              </w:tc>
              <w:tc>
                <w:tcPr>
                  <w:tcW w:w="742" w:type="pct"/>
                  <w:tcBorders>
                    <w:tl2br w:val="nil"/>
                    <w:tr2bl w:val="nil"/>
                  </w:tcBorders>
                  <w:vAlign w:val="center"/>
                </w:tcPr>
                <w:p>
                  <w:pPr>
                    <w:pStyle w:val="28"/>
                    <w:keepNext w:val="0"/>
                    <w:keepLines w:val="0"/>
                    <w:widowControl/>
                    <w:suppressLineNumbers w:val="0"/>
                    <w:bidi w:val="0"/>
                    <w:spacing w:before="0" w:beforeAutospacing="0" w:after="0" w:afterAutospacing="0"/>
                    <w:ind w:left="0" w:right="0"/>
                    <w:rPr>
                      <w:b/>
                      <w:bCs/>
                      <w:color w:val="auto"/>
                      <w:kern w:val="2"/>
                      <w:sz w:val="21"/>
                    </w:rPr>
                  </w:pPr>
                  <w:r>
                    <w:rPr>
                      <w:b/>
                      <w:bCs/>
                      <w:color w:val="auto"/>
                      <w:kern w:val="2"/>
                      <w:sz w:val="21"/>
                    </w:rPr>
                    <w:t>东厂界</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2" w:type="pct"/>
                  <w:tcBorders>
                    <w:tl2br w:val="nil"/>
                    <w:tr2bl w:val="nil"/>
                  </w:tcBorders>
                  <w:vAlign w:val="center"/>
                </w:tcPr>
                <w:p>
                  <w:pPr>
                    <w:pStyle w:val="28"/>
                    <w:keepNext w:val="0"/>
                    <w:keepLines w:val="0"/>
                    <w:suppressLineNumbers w:val="0"/>
                    <w:bidi w:val="0"/>
                    <w:spacing w:before="0" w:beforeAutospacing="0" w:after="0" w:afterAutospacing="0"/>
                    <w:ind w:left="0" w:right="0"/>
                    <w:rPr>
                      <w:color w:val="auto"/>
                    </w:rPr>
                  </w:pPr>
                  <w:r>
                    <w:rPr>
                      <w:color w:val="auto"/>
                    </w:rPr>
                    <w:t>与厂界距离（m）</w:t>
                  </w:r>
                </w:p>
              </w:tc>
              <w:tc>
                <w:tcPr>
                  <w:tcW w:w="851"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6</w:t>
                  </w:r>
                </w:p>
              </w:tc>
              <w:tc>
                <w:tcPr>
                  <w:tcW w:w="852"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31</w:t>
                  </w:r>
                </w:p>
              </w:tc>
              <w:tc>
                <w:tcPr>
                  <w:tcW w:w="850"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w:t>
                  </w:r>
                </w:p>
              </w:tc>
              <w:tc>
                <w:tcPr>
                  <w:tcW w:w="742"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21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2" w:type="pct"/>
                  <w:tcBorders>
                    <w:tl2br w:val="nil"/>
                    <w:tr2bl w:val="nil"/>
                  </w:tcBorders>
                  <w:vAlign w:val="center"/>
                </w:tcPr>
                <w:p>
                  <w:pPr>
                    <w:pStyle w:val="28"/>
                    <w:keepNext w:val="0"/>
                    <w:keepLines w:val="0"/>
                    <w:suppressLineNumbers w:val="0"/>
                    <w:bidi w:val="0"/>
                    <w:spacing w:before="0" w:beforeAutospacing="0" w:after="0" w:afterAutospacing="0"/>
                    <w:ind w:left="0" w:right="0"/>
                    <w:rPr>
                      <w:color w:val="auto"/>
                    </w:rPr>
                  </w:pPr>
                  <w:r>
                    <w:rPr>
                      <w:color w:val="auto"/>
                    </w:rPr>
                    <w:t>预测值</w:t>
                  </w:r>
                </w:p>
              </w:tc>
              <w:tc>
                <w:tcPr>
                  <w:tcW w:w="851"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35.85</w:t>
                  </w:r>
                </w:p>
              </w:tc>
              <w:tc>
                <w:tcPr>
                  <w:tcW w:w="852"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28.72</w:t>
                  </w:r>
                </w:p>
              </w:tc>
              <w:tc>
                <w:tcPr>
                  <w:tcW w:w="850"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43.63</w:t>
                  </w:r>
                </w:p>
              </w:tc>
              <w:tc>
                <w:tcPr>
                  <w:tcW w:w="742" w:type="pct"/>
                  <w:tcBorders>
                    <w:tl2br w:val="nil"/>
                    <w:tr2bl w:val="nil"/>
                  </w:tcBorders>
                  <w:vAlign w:val="center"/>
                </w:tcPr>
                <w:p>
                  <w:pPr>
                    <w:pStyle w:val="28"/>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30.41</w:t>
                  </w:r>
                </w:p>
              </w:tc>
            </w:tr>
          </w:tbl>
          <w:p>
            <w:pPr>
              <w:keepNext w:val="0"/>
              <w:keepLines w:val="0"/>
              <w:pageBreakBefore w:val="0"/>
              <w:widowControl w:val="0"/>
              <w:suppressLineNumbers w:val="0"/>
              <w:tabs>
                <w:tab w:val="left" w:pos="3620"/>
              </w:tabs>
              <w:kinsoku/>
              <w:wordWrap/>
              <w:overflowPunct/>
              <w:topLinePunct w:val="0"/>
              <w:bidi w:val="0"/>
              <w:adjustRightInd w:val="0"/>
              <w:snapToGrid w:val="0"/>
              <w:spacing w:before="0" w:beforeAutospacing="0" w:after="0" w:afterAutospacing="0" w:line="360" w:lineRule="auto"/>
              <w:ind w:left="0" w:right="0" w:firstLine="480" w:firstLineChars="200"/>
              <w:textAlignment w:val="auto"/>
              <w:rPr>
                <w:color w:val="auto"/>
                <w:sz w:val="24"/>
              </w:rPr>
            </w:pPr>
            <w:r>
              <w:rPr>
                <w:rFonts w:hAnsi="宋体"/>
                <w:color w:val="auto"/>
                <w:sz w:val="24"/>
              </w:rPr>
              <w:t>由上表可知，经过车间密闭、距离衰减等措施后，项目厂区四周噪声值均满足《工业企业厂界环境噪声排放标准》（</w:t>
            </w:r>
            <w:r>
              <w:rPr>
                <w:color w:val="auto"/>
                <w:sz w:val="24"/>
              </w:rPr>
              <w:t>GB12348-2008</w:t>
            </w:r>
            <w:r>
              <w:rPr>
                <w:rFonts w:hAnsi="宋体"/>
                <w:color w:val="auto"/>
                <w:sz w:val="24"/>
              </w:rPr>
              <w:t>）</w:t>
            </w:r>
            <w:r>
              <w:rPr>
                <w:rFonts w:hint="eastAsia" w:hAnsi="宋体"/>
                <w:color w:val="auto"/>
                <w:sz w:val="24"/>
                <w:lang w:val="en-US" w:eastAsia="zh-CN"/>
              </w:rPr>
              <w:t>2</w:t>
            </w:r>
            <w:r>
              <w:rPr>
                <w:rFonts w:hAnsi="宋体"/>
                <w:color w:val="auto"/>
                <w:sz w:val="24"/>
              </w:rPr>
              <w:t>类标准要求。</w:t>
            </w:r>
          </w:p>
          <w:p>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color w:val="auto"/>
                <w:sz w:val="24"/>
              </w:rPr>
            </w:pPr>
            <w:r>
              <w:rPr>
                <w:rFonts w:hAnsi="宋体"/>
                <w:color w:val="auto"/>
                <w:sz w:val="24"/>
              </w:rPr>
              <w:t>为进一步减少项目设备噪声对周围环境的影响，要求建设单位做到以下几点：</w:t>
            </w:r>
          </w:p>
          <w:p>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color w:val="auto"/>
                <w:sz w:val="24"/>
              </w:rPr>
            </w:pPr>
            <w:r>
              <w:rPr>
                <w:rFonts w:ascii="宋体" w:hAnsi="宋体"/>
                <w:color w:val="auto"/>
                <w:sz w:val="24"/>
              </w:rPr>
              <w:t>①</w:t>
            </w:r>
            <w:r>
              <w:rPr>
                <w:rFonts w:hAnsi="宋体"/>
                <w:color w:val="auto"/>
                <w:sz w:val="24"/>
              </w:rPr>
              <w:t>选用低噪声设备，高噪声设备必须安装在加有减振垫的隔振基础上，同时设备之间保持间距，避免噪声共振影响。</w:t>
            </w:r>
          </w:p>
          <w:p>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firstLine="480" w:firstLineChars="200"/>
              <w:textAlignment w:val="auto"/>
              <w:rPr>
                <w:color w:val="auto"/>
                <w:sz w:val="24"/>
              </w:rPr>
            </w:pPr>
            <w:r>
              <w:rPr>
                <w:rFonts w:ascii="宋体" w:hAnsi="宋体"/>
                <w:color w:val="auto"/>
                <w:sz w:val="24"/>
              </w:rPr>
              <w:t>②</w:t>
            </w:r>
            <w:r>
              <w:rPr>
                <w:rFonts w:hAnsi="宋体"/>
                <w:color w:val="auto"/>
                <w:sz w:val="24"/>
              </w:rPr>
              <w:t>加强设备的维护，本项目的各类噪声设备在正常运转情况下，采取降噪措施经距离衰减后，不会对评价区域声环境质量产生明显影响</w:t>
            </w:r>
            <w:r>
              <w:rPr>
                <w:rFonts w:hint="eastAsia" w:hAnsi="宋体"/>
                <w:color w:val="auto"/>
                <w:sz w:val="24"/>
              </w:rPr>
              <w:t>。</w:t>
            </w:r>
            <w:r>
              <w:rPr>
                <w:rFonts w:hAnsi="宋体"/>
                <w:color w:val="auto"/>
                <w:sz w:val="24"/>
              </w:rPr>
              <w:t>因此，经采取上述防治措施后，营运期噪声对周围环境影响</w:t>
            </w:r>
            <w:r>
              <w:rPr>
                <w:rFonts w:hint="eastAsia" w:hAnsi="宋体"/>
                <w:color w:val="auto"/>
                <w:sz w:val="24"/>
                <w:lang w:val="en-US" w:eastAsia="zh-CN"/>
              </w:rPr>
              <w:t>可接受</w:t>
            </w:r>
            <w:r>
              <w:rPr>
                <w:rFonts w:hAnsi="宋体"/>
                <w:color w:val="auto"/>
                <w:sz w:val="24"/>
              </w:rPr>
              <w:t>。</w:t>
            </w:r>
          </w:p>
          <w:p>
            <w:pPr>
              <w:keepNext w:val="0"/>
              <w:keepLines w:val="0"/>
              <w:pageBreakBefore w:val="0"/>
              <w:widowControl w:val="0"/>
              <w:suppressLineNumbers w:val="0"/>
              <w:tabs>
                <w:tab w:val="left" w:pos="3084"/>
              </w:tabs>
              <w:kinsoku/>
              <w:wordWrap/>
              <w:overflowPunct/>
              <w:topLinePunct w:val="0"/>
              <w:bidi w:val="0"/>
              <w:spacing w:before="0" w:beforeAutospacing="0" w:after="0" w:afterAutospacing="0" w:line="360" w:lineRule="auto"/>
              <w:ind w:left="0" w:right="0" w:firstLine="482" w:firstLineChars="200"/>
              <w:textAlignment w:val="auto"/>
              <w:rPr>
                <w:b/>
                <w:color w:val="auto"/>
                <w:sz w:val="24"/>
              </w:rPr>
            </w:pPr>
            <w:r>
              <w:rPr>
                <w:rFonts w:hint="eastAsia"/>
                <w:b/>
                <w:color w:val="auto"/>
                <w:sz w:val="24"/>
              </w:rPr>
              <w:t>（2）</w:t>
            </w:r>
            <w:r>
              <w:rPr>
                <w:b/>
                <w:color w:val="auto"/>
                <w:sz w:val="24"/>
              </w:rPr>
              <w:t>噪声监测方案</w:t>
            </w:r>
            <w:r>
              <w:rPr>
                <w:b/>
                <w:color w:val="auto"/>
                <w:sz w:val="24"/>
              </w:rPr>
              <w:tab/>
            </w:r>
          </w:p>
          <w:p>
            <w:pPr>
              <w:keepNext w:val="0"/>
              <w:keepLines w:val="0"/>
              <w:pageBreakBefore w:val="0"/>
              <w:widowControl w:val="0"/>
              <w:suppressLineNumbers w:val="0"/>
              <w:tabs>
                <w:tab w:val="left" w:pos="3620"/>
              </w:tabs>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Ansi="宋体"/>
                <w:color w:val="auto"/>
                <w:sz w:val="24"/>
              </w:rPr>
            </w:pPr>
            <w:r>
              <w:rPr>
                <w:rFonts w:hAnsi="宋体"/>
                <w:color w:val="auto"/>
                <w:sz w:val="24"/>
              </w:rPr>
              <w:t>根据</w:t>
            </w:r>
            <w:r>
              <w:rPr>
                <w:rFonts w:hint="eastAsia" w:hAnsi="宋体"/>
                <w:color w:val="auto"/>
                <w:sz w:val="24"/>
              </w:rPr>
              <w:t>《排污许可证申请与核发技术规范 工业噪声》</w:t>
            </w:r>
            <w:r>
              <w:rPr>
                <w:rFonts w:hint="eastAsia"/>
                <w:color w:val="auto"/>
                <w:sz w:val="24"/>
              </w:rPr>
              <w:t>（</w:t>
            </w:r>
            <w:r>
              <w:rPr>
                <w:color w:val="auto"/>
                <w:sz w:val="24"/>
              </w:rPr>
              <w:t>HJ1301—2023</w:t>
            </w:r>
            <w:r>
              <w:rPr>
                <w:rFonts w:hint="eastAsia"/>
                <w:color w:val="auto"/>
                <w:sz w:val="24"/>
              </w:rPr>
              <w:t>）</w:t>
            </w:r>
            <w:r>
              <w:rPr>
                <w:rFonts w:hAnsi="宋体"/>
                <w:color w:val="auto"/>
                <w:sz w:val="24"/>
              </w:rPr>
              <w:t>，本项目噪声监测要求见下表。</w:t>
            </w:r>
          </w:p>
          <w:p>
            <w:pPr>
              <w:pStyle w:val="12"/>
              <w:keepNext w:val="0"/>
              <w:keepLines w:val="0"/>
              <w:suppressLineNumbers w:val="0"/>
              <w:bidi w:val="0"/>
              <w:spacing w:before="0" w:beforeAutospacing="0" w:after="0" w:afterAutospacing="0"/>
              <w:ind w:left="0" w:right="0"/>
              <w:rPr>
                <w:rFonts w:hint="default"/>
                <w:color w:val="auto"/>
              </w:rPr>
            </w:pPr>
            <w:r>
              <w:rPr>
                <w:rFonts w:hint="default"/>
                <w:color w:val="auto"/>
              </w:rPr>
              <w:t>表</w:t>
            </w:r>
            <w:r>
              <w:rPr>
                <w:rFonts w:hint="eastAsia"/>
                <w:color w:val="auto"/>
                <w:lang w:val="en-US" w:eastAsia="zh-CN"/>
              </w:rPr>
              <w:t xml:space="preserve"> 4-10    </w:t>
            </w:r>
            <w:r>
              <w:rPr>
                <w:rFonts w:hint="default"/>
                <w:color w:val="auto"/>
              </w:rPr>
              <w:t>噪声监测方案</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3"/>
              <w:gridCol w:w="1739"/>
              <w:gridCol w:w="1884"/>
              <w:gridCol w:w="1593"/>
              <w:gridCol w:w="186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2" w:type="dxa"/>
                  <w:tcBorders>
                    <w:tl2br w:val="nil"/>
                    <w:tr2bl w:val="nil"/>
                  </w:tcBorders>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b/>
                      <w:bCs/>
                      <w:color w:val="auto"/>
                      <w:kern w:val="2"/>
                      <w:sz w:val="21"/>
                      <w:lang w:val="en-GB"/>
                    </w:rPr>
                  </w:pPr>
                  <w:r>
                    <w:rPr>
                      <w:b/>
                      <w:bCs/>
                      <w:color w:val="auto"/>
                      <w:kern w:val="2"/>
                      <w:sz w:val="21"/>
                      <w:lang w:val="en-GB"/>
                    </w:rPr>
                    <w:t>污染物</w:t>
                  </w:r>
                </w:p>
              </w:tc>
              <w:tc>
                <w:tcPr>
                  <w:tcW w:w="1701" w:type="dxa"/>
                  <w:tcBorders>
                    <w:tl2br w:val="nil"/>
                    <w:tr2bl w:val="nil"/>
                  </w:tcBorders>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b/>
                      <w:bCs/>
                      <w:color w:val="auto"/>
                      <w:kern w:val="2"/>
                      <w:sz w:val="21"/>
                      <w:lang w:val="en-GB"/>
                    </w:rPr>
                  </w:pPr>
                  <w:r>
                    <w:rPr>
                      <w:b/>
                      <w:bCs/>
                      <w:color w:val="auto"/>
                      <w:kern w:val="2"/>
                      <w:sz w:val="21"/>
                      <w:lang w:val="en-GB"/>
                    </w:rPr>
                    <w:t>监测点位</w:t>
                  </w:r>
                </w:p>
              </w:tc>
              <w:tc>
                <w:tcPr>
                  <w:tcW w:w="1843" w:type="dxa"/>
                  <w:tcBorders>
                    <w:tl2br w:val="nil"/>
                    <w:tr2bl w:val="nil"/>
                  </w:tcBorders>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b/>
                      <w:bCs/>
                      <w:color w:val="auto"/>
                      <w:kern w:val="2"/>
                      <w:sz w:val="21"/>
                      <w:lang w:val="en-GB"/>
                    </w:rPr>
                  </w:pPr>
                  <w:r>
                    <w:rPr>
                      <w:rFonts w:hint="eastAsia"/>
                      <w:b/>
                      <w:bCs/>
                      <w:color w:val="auto"/>
                      <w:kern w:val="2"/>
                      <w:sz w:val="21"/>
                      <w:lang w:val="en-GB"/>
                    </w:rPr>
                    <w:t>监测指标</w:t>
                  </w:r>
                </w:p>
              </w:tc>
              <w:tc>
                <w:tcPr>
                  <w:tcW w:w="1559" w:type="dxa"/>
                  <w:tcBorders>
                    <w:tl2br w:val="nil"/>
                    <w:tr2bl w:val="nil"/>
                  </w:tcBorders>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b/>
                      <w:bCs/>
                      <w:color w:val="auto"/>
                      <w:kern w:val="2"/>
                      <w:sz w:val="21"/>
                      <w:lang w:val="en-GB"/>
                    </w:rPr>
                  </w:pPr>
                  <w:r>
                    <w:rPr>
                      <w:rFonts w:hint="eastAsia"/>
                      <w:b/>
                      <w:bCs/>
                      <w:color w:val="auto"/>
                      <w:kern w:val="2"/>
                      <w:sz w:val="21"/>
                      <w:lang w:val="en-GB"/>
                    </w:rPr>
                    <w:t>监测频率</w:t>
                  </w:r>
                </w:p>
              </w:tc>
              <w:tc>
                <w:tcPr>
                  <w:tcW w:w="1822"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b/>
                      <w:bCs/>
                      <w:color w:val="auto"/>
                      <w:kern w:val="2"/>
                      <w:sz w:val="21"/>
                      <w:lang w:val="en-GB"/>
                    </w:rPr>
                  </w:pPr>
                  <w:r>
                    <w:rPr>
                      <w:rFonts w:hint="eastAsia"/>
                      <w:b/>
                      <w:bCs/>
                      <w:color w:val="auto"/>
                      <w:kern w:val="2"/>
                      <w:sz w:val="21"/>
                      <w:lang w:val="en-GB"/>
                    </w:rPr>
                    <w:t>实施单位</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2" w:type="dxa"/>
                  <w:tcBorders>
                    <w:tl2br w:val="nil"/>
                    <w:tr2bl w:val="nil"/>
                  </w:tcBorders>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color w:val="auto"/>
                      <w:kern w:val="2"/>
                      <w:sz w:val="21"/>
                      <w:lang w:val="en-GB"/>
                    </w:rPr>
                  </w:pPr>
                  <w:r>
                    <w:rPr>
                      <w:color w:val="auto"/>
                      <w:kern w:val="2"/>
                      <w:sz w:val="21"/>
                      <w:lang w:val="en-GB"/>
                    </w:rPr>
                    <w:t>噪声</w:t>
                  </w:r>
                </w:p>
              </w:tc>
              <w:tc>
                <w:tcPr>
                  <w:tcW w:w="1701" w:type="dxa"/>
                  <w:tcBorders>
                    <w:tl2br w:val="nil"/>
                    <w:tr2bl w:val="nil"/>
                  </w:tcBorders>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color w:val="auto"/>
                      <w:kern w:val="2"/>
                      <w:sz w:val="21"/>
                      <w:lang w:val="en-GB"/>
                    </w:rPr>
                  </w:pPr>
                  <w:r>
                    <w:rPr>
                      <w:color w:val="auto"/>
                      <w:kern w:val="2"/>
                      <w:sz w:val="21"/>
                      <w:lang w:val="en-GB"/>
                    </w:rPr>
                    <w:t>厂界四周外1米</w:t>
                  </w:r>
                </w:p>
              </w:tc>
              <w:tc>
                <w:tcPr>
                  <w:tcW w:w="1843" w:type="dxa"/>
                  <w:tcBorders>
                    <w:tl2br w:val="nil"/>
                    <w:tr2bl w:val="nil"/>
                  </w:tcBorders>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color w:val="auto"/>
                      <w:kern w:val="2"/>
                      <w:sz w:val="21"/>
                      <w:lang w:val="en-GB"/>
                    </w:rPr>
                  </w:pPr>
                  <w:r>
                    <w:rPr>
                      <w:color w:val="auto"/>
                      <w:kern w:val="2"/>
                      <w:sz w:val="21"/>
                      <w:lang w:val="en-GB"/>
                    </w:rPr>
                    <w:t>等效连续A声级</w:t>
                  </w:r>
                </w:p>
              </w:tc>
              <w:tc>
                <w:tcPr>
                  <w:tcW w:w="1559" w:type="dxa"/>
                  <w:tcBorders>
                    <w:tl2br w:val="nil"/>
                    <w:tr2bl w:val="nil"/>
                  </w:tcBorders>
                  <w:tcMar>
                    <w:top w:w="0" w:type="dxa"/>
                    <w:left w:w="28" w:type="dxa"/>
                    <w:bottom w:w="0" w:type="dxa"/>
                    <w:right w:w="28" w:type="dxa"/>
                  </w:tcMar>
                  <w:vAlign w:val="center"/>
                </w:tcPr>
                <w:p>
                  <w:pPr>
                    <w:pStyle w:val="28"/>
                    <w:keepNext w:val="0"/>
                    <w:keepLines w:val="0"/>
                    <w:widowControl/>
                    <w:suppressLineNumbers w:val="0"/>
                    <w:bidi w:val="0"/>
                    <w:spacing w:before="0" w:beforeAutospacing="0" w:after="0" w:afterAutospacing="0"/>
                    <w:ind w:left="0" w:right="0"/>
                    <w:rPr>
                      <w:color w:val="auto"/>
                      <w:kern w:val="2"/>
                      <w:sz w:val="21"/>
                      <w:lang w:val="en-GB"/>
                    </w:rPr>
                  </w:pPr>
                  <w:r>
                    <w:rPr>
                      <w:color w:val="auto"/>
                      <w:kern w:val="2"/>
                      <w:sz w:val="21"/>
                      <w:lang w:val="en-GB"/>
                    </w:rPr>
                    <w:t>每季度一次</w:t>
                  </w:r>
                </w:p>
              </w:tc>
              <w:tc>
                <w:tcPr>
                  <w:tcW w:w="1822" w:type="dxa"/>
                  <w:tcBorders>
                    <w:tl2br w:val="nil"/>
                    <w:tr2bl w:val="nil"/>
                  </w:tcBorders>
                  <w:vAlign w:val="center"/>
                </w:tcPr>
                <w:p>
                  <w:pPr>
                    <w:pStyle w:val="28"/>
                    <w:keepNext w:val="0"/>
                    <w:keepLines w:val="0"/>
                    <w:widowControl/>
                    <w:suppressLineNumbers w:val="0"/>
                    <w:bidi w:val="0"/>
                    <w:spacing w:before="0" w:beforeAutospacing="0" w:after="0" w:afterAutospacing="0"/>
                    <w:ind w:left="0" w:right="0"/>
                    <w:rPr>
                      <w:color w:val="auto"/>
                      <w:kern w:val="2"/>
                      <w:sz w:val="21"/>
                      <w:lang w:val="en-GB"/>
                    </w:rPr>
                  </w:pPr>
                  <w:r>
                    <w:rPr>
                      <w:color w:val="auto"/>
                      <w:kern w:val="2"/>
                      <w:sz w:val="21"/>
                      <w:lang w:val="en-GB"/>
                    </w:rPr>
                    <w:t>委托有资质单位</w:t>
                  </w:r>
                </w:p>
              </w:tc>
            </w:tr>
          </w:tbl>
          <w:p>
            <w:pPr>
              <w:keepNext w:val="0"/>
              <w:keepLines w:val="0"/>
              <w:suppressLineNumbers w:val="0"/>
              <w:bidi w:val="0"/>
              <w:spacing w:before="0" w:beforeAutospacing="0" w:after="0" w:afterAutospacing="0"/>
              <w:ind w:left="0" w:right="0"/>
              <w:rPr>
                <w:rFonts w:hint="default"/>
                <w:b/>
                <w:bCs/>
                <w:color w:val="auto"/>
              </w:rPr>
            </w:pPr>
            <w:r>
              <w:rPr>
                <w:rFonts w:hint="default"/>
                <w:b/>
                <w:bCs/>
                <w:color w:val="auto"/>
              </w:rPr>
              <w:t>四、固废影响分析</w:t>
            </w:r>
          </w:p>
          <w:p>
            <w:pPr>
              <w:keepNext w:val="0"/>
              <w:keepLines w:val="0"/>
              <w:suppressLineNumbers w:val="0"/>
              <w:bidi w:val="0"/>
              <w:spacing w:before="0" w:beforeAutospacing="0" w:after="0" w:afterAutospacing="0"/>
              <w:ind w:left="0" w:right="0"/>
              <w:rPr>
                <w:rFonts w:hint="eastAsia"/>
                <w:color w:val="auto"/>
              </w:rPr>
            </w:pPr>
            <w:bookmarkStart w:id="238" w:name="OLE_LINK38"/>
            <w:r>
              <w:rPr>
                <w:rFonts w:hint="eastAsia"/>
                <w:color w:val="auto"/>
                <w:lang w:val="en-US" w:eastAsia="zh-CN"/>
              </w:rPr>
              <w:t>本</w:t>
            </w:r>
            <w:r>
              <w:rPr>
                <w:color w:val="auto"/>
              </w:rPr>
              <w:t>项目</w:t>
            </w:r>
            <w:r>
              <w:rPr>
                <w:rFonts w:hint="eastAsia"/>
                <w:color w:val="auto"/>
              </w:rPr>
              <w:t>为废铅蓄电池贮存，属于危废的贮存，贮存仓库须按照</w:t>
            </w:r>
            <w:r>
              <w:rPr>
                <w:color w:val="auto"/>
              </w:rPr>
              <w:t>《危险废物贮存污染控制标准》（GB18597-2023）</w:t>
            </w:r>
            <w:r>
              <w:rPr>
                <w:rFonts w:hint="eastAsia"/>
                <w:color w:val="auto"/>
              </w:rPr>
              <w:t>建设，另外，本项目在运营过程中产生的危废</w:t>
            </w:r>
            <w:r>
              <w:rPr>
                <w:color w:val="auto"/>
              </w:rPr>
              <w:t>包括</w:t>
            </w:r>
            <w:r>
              <w:rPr>
                <w:rFonts w:hint="eastAsia"/>
                <w:color w:val="auto"/>
                <w:lang w:eastAsia="zh-CN"/>
              </w:rPr>
              <w:t>废劳保用品、</w:t>
            </w:r>
            <w:r>
              <w:rPr>
                <w:rFonts w:hint="eastAsia"/>
                <w:color w:val="auto"/>
              </w:rPr>
              <w:t>贮存</w:t>
            </w:r>
            <w:r>
              <w:rPr>
                <w:color w:val="auto"/>
              </w:rPr>
              <w:t>过程产生的废电解液、</w:t>
            </w:r>
            <w:r>
              <w:rPr>
                <w:rFonts w:hint="eastAsia"/>
                <w:color w:val="auto"/>
              </w:rPr>
              <w:t>酸雾吸收塔更换的废吸收液。</w:t>
            </w:r>
          </w:p>
          <w:bookmarkEnd w:id="238"/>
          <w:p>
            <w:pPr>
              <w:keepNext w:val="0"/>
              <w:keepLines w:val="0"/>
              <w:suppressLineNumbers w:val="0"/>
              <w:bidi w:val="0"/>
              <w:spacing w:before="0" w:beforeAutospacing="0" w:after="0" w:afterAutospacing="0"/>
              <w:ind w:left="0" w:right="0"/>
              <w:rPr>
                <w:color w:val="auto"/>
              </w:rPr>
            </w:pPr>
            <w:r>
              <w:rPr>
                <w:color w:val="auto"/>
              </w:rPr>
              <w:t>（1）</w:t>
            </w:r>
            <w:r>
              <w:rPr>
                <w:rFonts w:hint="eastAsia"/>
                <w:color w:val="auto"/>
                <w:lang w:eastAsia="zh-CN"/>
              </w:rPr>
              <w:t>废劳保用品</w:t>
            </w:r>
          </w:p>
          <w:p>
            <w:pPr>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rPr>
              <w:t>生产过程中</w:t>
            </w:r>
            <w:r>
              <w:rPr>
                <w:rFonts w:hint="eastAsia"/>
                <w:color w:val="auto"/>
                <w:lang w:val="en-US" w:eastAsia="zh-CN"/>
              </w:rPr>
              <w:t>会</w:t>
            </w:r>
            <w:r>
              <w:rPr>
                <w:rFonts w:hint="eastAsia"/>
                <w:color w:val="auto"/>
              </w:rPr>
              <w:t>产生废劳保</w:t>
            </w:r>
            <w:r>
              <w:rPr>
                <w:rFonts w:hint="eastAsia" w:ascii="Times New Roman" w:hAnsi="Times New Roman" w:eastAsia="宋体" w:cs="Times New Roman"/>
                <w:color w:val="auto"/>
              </w:rPr>
              <w:t>用品，产生量为0.1t/a</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根据《</w:t>
            </w:r>
            <w:bookmarkStart w:id="239" w:name="OLE_LINK99"/>
            <w:r>
              <w:rPr>
                <w:rFonts w:hint="eastAsia" w:ascii="Times New Roman" w:hAnsi="Times New Roman" w:eastAsia="宋体" w:cs="Times New Roman"/>
                <w:color w:val="auto"/>
              </w:rPr>
              <w:t>国家危险废物名录</w:t>
            </w:r>
            <w:bookmarkEnd w:id="239"/>
            <w:r>
              <w:rPr>
                <w:rFonts w:hint="eastAsia" w:ascii="Times New Roman" w:hAnsi="Times New Roman" w:eastAsia="宋体" w:cs="Times New Roman"/>
                <w:color w:val="auto"/>
              </w:rPr>
              <w:t>》（202</w:t>
            </w:r>
            <w:r>
              <w:rPr>
                <w:rFonts w:hint="eastAsia" w:ascii="Times New Roman" w:hAnsi="Times New Roman" w:eastAsia="宋体" w:cs="Times New Roman"/>
                <w:color w:val="auto"/>
                <w:lang w:val="en-US" w:eastAsia="zh-CN"/>
              </w:rPr>
              <w:t>5</w:t>
            </w:r>
            <w:r>
              <w:rPr>
                <w:rFonts w:hint="eastAsia" w:ascii="Times New Roman" w:hAnsi="Times New Roman" w:eastAsia="宋体" w:cs="Times New Roman"/>
                <w:color w:val="auto"/>
              </w:rPr>
              <w:t>年版），</w:t>
            </w:r>
            <w:r>
              <w:rPr>
                <w:rFonts w:hint="eastAsia"/>
                <w:color w:val="auto"/>
              </w:rPr>
              <w:t>废劳保</w:t>
            </w:r>
            <w:r>
              <w:rPr>
                <w:rFonts w:hint="eastAsia" w:ascii="Times New Roman" w:hAnsi="Times New Roman" w:eastAsia="宋体" w:cs="Times New Roman"/>
                <w:color w:val="auto"/>
              </w:rPr>
              <w:t>用品</w:t>
            </w:r>
            <w:r>
              <w:rPr>
                <w:rFonts w:hint="eastAsia" w:ascii="Times New Roman" w:hAnsi="Times New Roman" w:eastAsia="宋体" w:cs="Times New Roman"/>
                <w:color w:val="auto"/>
                <w:lang w:val="en-US" w:eastAsia="zh-CN"/>
              </w:rPr>
              <w:t>可能会沾有</w:t>
            </w:r>
            <w:r>
              <w:rPr>
                <w:rFonts w:hint="default"/>
                <w:color w:val="auto"/>
              </w:rPr>
              <w:t>废电解液</w:t>
            </w:r>
            <w:r>
              <w:rPr>
                <w:rFonts w:hint="eastAsia"/>
                <w:color w:val="auto"/>
                <w:lang w:eastAsia="zh-CN"/>
              </w:rPr>
              <w:t>，</w:t>
            </w:r>
            <w:r>
              <w:rPr>
                <w:rFonts w:hint="eastAsia"/>
                <w:color w:val="auto"/>
                <w:lang w:val="en-US" w:eastAsia="zh-CN"/>
              </w:rPr>
              <w:t>故</w:t>
            </w:r>
            <w:r>
              <w:rPr>
                <w:rFonts w:hint="default"/>
                <w:color w:val="auto"/>
              </w:rPr>
              <w:t>属于危险废物，废物类别为HW</w:t>
            </w:r>
            <w:r>
              <w:rPr>
                <w:rFonts w:hint="eastAsia"/>
                <w:color w:val="auto"/>
                <w:lang w:val="en-US" w:eastAsia="zh-CN"/>
              </w:rPr>
              <w:t>49其他</w:t>
            </w:r>
            <w:r>
              <w:rPr>
                <w:rFonts w:hint="default"/>
                <w:color w:val="auto"/>
              </w:rPr>
              <w:t>废物，废物代码为</w:t>
            </w:r>
            <w:r>
              <w:rPr>
                <w:rFonts w:hint="eastAsia"/>
                <w:color w:val="auto"/>
                <w:lang w:val="en-US" w:eastAsia="zh-CN"/>
              </w:rPr>
              <w:t>900-041-49</w:t>
            </w:r>
            <w:r>
              <w:rPr>
                <w:rFonts w:hint="default"/>
                <w:color w:val="auto"/>
              </w:rPr>
              <w:t>（</w:t>
            </w:r>
            <w:r>
              <w:rPr>
                <w:rFonts w:hint="eastAsia" w:ascii="Times New Roman" w:hAnsi="Times New Roman" w:eastAsia="宋体" w:cs="Times New Roman"/>
                <w:color w:val="auto"/>
              </w:rPr>
              <w:t>含有或者沾染毒性、感染性危险废物的废弃 的包装物、容器、过滤吸附介质</w:t>
            </w:r>
            <w:r>
              <w:rPr>
                <w:rFonts w:hint="default"/>
                <w:color w:val="auto"/>
              </w:rPr>
              <w:t>）</w:t>
            </w:r>
            <w:r>
              <w:rPr>
                <w:rFonts w:hint="eastAsia"/>
                <w:color w:val="auto"/>
                <w:lang w:eastAsia="zh-CN"/>
              </w:rPr>
              <w:t>。废劳保用品</w:t>
            </w:r>
            <w:r>
              <w:rPr>
                <w:rFonts w:hint="eastAsia"/>
                <w:color w:val="auto"/>
                <w:lang w:val="en-US" w:eastAsia="zh-CN"/>
              </w:rPr>
              <w:t>经收集后暂存于危废暂存间，定期出售。</w:t>
            </w:r>
          </w:p>
          <w:p>
            <w:pPr>
              <w:keepNext w:val="0"/>
              <w:keepLines w:val="0"/>
              <w:suppressLineNumbers w:val="0"/>
              <w:bidi w:val="0"/>
              <w:spacing w:before="0" w:beforeAutospacing="0" w:after="0" w:afterAutospacing="0"/>
              <w:ind w:left="0" w:right="0"/>
              <w:rPr>
                <w:rFonts w:hint="default"/>
                <w:color w:val="auto"/>
              </w:rPr>
            </w:pPr>
            <w:r>
              <w:rPr>
                <w:rFonts w:hint="default"/>
                <w:color w:val="auto"/>
              </w:rPr>
              <w:t>（</w:t>
            </w:r>
            <w:r>
              <w:rPr>
                <w:rFonts w:hint="default"/>
                <w:color w:val="auto"/>
                <w:lang w:val="en-US" w:eastAsia="zh-CN"/>
              </w:rPr>
              <w:t>2</w:t>
            </w:r>
            <w:r>
              <w:rPr>
                <w:rFonts w:hint="default"/>
                <w:color w:val="auto"/>
              </w:rPr>
              <w:t>）</w:t>
            </w:r>
            <w:bookmarkStart w:id="240" w:name="OLE_LINK102"/>
            <w:r>
              <w:rPr>
                <w:rFonts w:hint="default"/>
                <w:color w:val="auto"/>
              </w:rPr>
              <w:t>废电解液</w:t>
            </w:r>
            <w:bookmarkEnd w:id="240"/>
          </w:p>
          <w:p>
            <w:pPr>
              <w:keepNext w:val="0"/>
              <w:keepLines w:val="0"/>
              <w:suppressLineNumbers w:val="0"/>
              <w:bidi w:val="0"/>
              <w:spacing w:before="0" w:beforeAutospacing="0" w:after="0" w:afterAutospacing="0"/>
              <w:ind w:left="0" w:right="0"/>
              <w:rPr>
                <w:rFonts w:hint="default"/>
                <w:color w:val="auto"/>
              </w:rPr>
            </w:pPr>
            <w:r>
              <w:rPr>
                <w:rFonts w:hint="default"/>
                <w:color w:val="auto"/>
              </w:rPr>
              <w:t>项目年回收废旧铅酸蓄电池</w:t>
            </w:r>
            <w:r>
              <w:rPr>
                <w:rFonts w:hint="eastAsia"/>
                <w:color w:val="auto"/>
                <w:lang w:val="en-US" w:eastAsia="zh-CN"/>
              </w:rPr>
              <w:t>3</w:t>
            </w:r>
            <w:r>
              <w:rPr>
                <w:rFonts w:hint="default"/>
                <w:color w:val="auto"/>
              </w:rPr>
              <w:t>000</w:t>
            </w:r>
            <w:r>
              <w:rPr>
                <w:rFonts w:hint="default"/>
                <w:color w:val="auto"/>
                <w:lang w:val="en-US" w:eastAsia="zh-CN"/>
              </w:rPr>
              <w:t>吨</w:t>
            </w:r>
            <w:r>
              <w:rPr>
                <w:rFonts w:hint="default"/>
                <w:color w:val="auto"/>
              </w:rPr>
              <w:t>，破损废旧铅酸蓄电池约占总量的1</w:t>
            </w:r>
            <w:r>
              <w:rPr>
                <w:rFonts w:hint="eastAsia"/>
                <w:color w:val="auto"/>
                <w:lang w:val="en-US" w:eastAsia="zh-CN"/>
              </w:rPr>
              <w:t>%</w:t>
            </w:r>
            <w:r>
              <w:rPr>
                <w:rFonts w:hint="default"/>
                <w:color w:val="auto"/>
              </w:rPr>
              <w:t>，即</w:t>
            </w:r>
            <w:r>
              <w:rPr>
                <w:rFonts w:hint="eastAsia"/>
                <w:color w:val="auto"/>
                <w:lang w:val="en-US" w:eastAsia="zh-CN"/>
              </w:rPr>
              <w:t>30</w:t>
            </w:r>
            <w:r>
              <w:rPr>
                <w:rFonts w:hint="default"/>
                <w:color w:val="auto"/>
              </w:rPr>
              <w:t>t/a，破损铅酸蓄电池中电解液含量为10%，则废电解液产生量为</w:t>
            </w:r>
            <w:r>
              <w:rPr>
                <w:rFonts w:hint="eastAsia"/>
                <w:color w:val="auto"/>
                <w:lang w:val="en-US" w:eastAsia="zh-CN"/>
              </w:rPr>
              <w:t>3</w:t>
            </w:r>
            <w:r>
              <w:rPr>
                <w:rFonts w:hint="default"/>
                <w:color w:val="auto"/>
              </w:rPr>
              <w:t>t/a</w:t>
            </w:r>
            <w:r>
              <w:rPr>
                <w:rFonts w:hint="default"/>
                <w:color w:val="auto"/>
                <w:lang w:eastAsia="zh-CN"/>
              </w:rPr>
              <w:t>，电解液以硫酸雾挥发</w:t>
            </w:r>
            <w:r>
              <w:rPr>
                <w:rFonts w:hint="default"/>
                <w:color w:val="auto"/>
              </w:rPr>
              <w:t>0.1</w:t>
            </w:r>
            <w:r>
              <w:rPr>
                <w:rFonts w:hint="default"/>
                <w:color w:val="auto"/>
                <w:lang w:val="en-US" w:eastAsia="zh-CN"/>
              </w:rPr>
              <w:t>7</w:t>
            </w:r>
            <w:r>
              <w:rPr>
                <w:rFonts w:hint="eastAsia"/>
                <w:color w:val="auto"/>
                <w:lang w:val="en-US" w:eastAsia="zh-CN"/>
              </w:rPr>
              <w:t>0</w:t>
            </w:r>
            <w:r>
              <w:rPr>
                <w:rFonts w:hint="default"/>
                <w:color w:val="auto"/>
                <w:lang w:val="en-US" w:eastAsia="zh-CN"/>
              </w:rPr>
              <w:t>1t/a，则收集的电解液应为</w:t>
            </w:r>
            <w:r>
              <w:rPr>
                <w:rFonts w:hint="eastAsia"/>
                <w:color w:val="auto"/>
                <w:lang w:val="en-US" w:eastAsia="zh-CN"/>
              </w:rPr>
              <w:t>2.8299</w:t>
            </w:r>
            <w:r>
              <w:rPr>
                <w:rFonts w:hint="default"/>
                <w:color w:val="auto"/>
                <w:lang w:val="en-US" w:eastAsia="zh-CN"/>
              </w:rPr>
              <w:t>t/a。</w:t>
            </w:r>
            <w:r>
              <w:rPr>
                <w:rFonts w:hint="default"/>
                <w:color w:val="auto"/>
              </w:rPr>
              <w:t>根据《国家危险废物名录》（202</w:t>
            </w:r>
            <w:r>
              <w:rPr>
                <w:rFonts w:hint="eastAsia"/>
                <w:color w:val="auto"/>
                <w:lang w:val="en-US" w:eastAsia="zh-CN"/>
              </w:rPr>
              <w:t>5</w:t>
            </w:r>
            <w:r>
              <w:rPr>
                <w:rFonts w:hint="default"/>
                <w:color w:val="auto"/>
              </w:rPr>
              <w:t>年版），废电解液</w:t>
            </w:r>
            <w:bookmarkStart w:id="241" w:name="OLE_LINK101"/>
            <w:r>
              <w:rPr>
                <w:rFonts w:hint="default"/>
                <w:color w:val="auto"/>
              </w:rPr>
              <w:t>属于危险废物，废物类别为HW31含铅废物，废物代码为</w:t>
            </w:r>
            <w:bookmarkStart w:id="242" w:name="OLE_LINK100"/>
            <w:r>
              <w:rPr>
                <w:rFonts w:hint="default"/>
                <w:color w:val="auto"/>
              </w:rPr>
              <w:t>900-052-31</w:t>
            </w:r>
            <w:bookmarkEnd w:id="242"/>
            <w:r>
              <w:rPr>
                <w:rFonts w:hint="default"/>
                <w:color w:val="auto"/>
              </w:rPr>
              <w:t>（废铅蓄电池及废铅蓄电池拆解过程中产生的废铅板、废铅膏和酸液）</w:t>
            </w:r>
            <w:bookmarkEnd w:id="241"/>
            <w:r>
              <w:rPr>
                <w:rFonts w:hint="default"/>
                <w:color w:val="auto"/>
              </w:rPr>
              <w:t>。</w:t>
            </w:r>
          </w:p>
          <w:p>
            <w:pPr>
              <w:keepNext w:val="0"/>
              <w:keepLines w:val="0"/>
              <w:suppressLineNumbers w:val="0"/>
              <w:bidi w:val="0"/>
              <w:spacing w:before="0" w:beforeAutospacing="0" w:after="0" w:afterAutospacing="0"/>
              <w:ind w:left="0" w:right="0"/>
              <w:rPr>
                <w:rFonts w:hint="default"/>
                <w:color w:val="auto"/>
              </w:rPr>
            </w:pPr>
            <w:r>
              <w:rPr>
                <w:rFonts w:hint="default"/>
                <w:color w:val="auto"/>
              </w:rPr>
              <w:t>（</w:t>
            </w:r>
            <w:r>
              <w:rPr>
                <w:rFonts w:hint="default"/>
                <w:color w:val="auto"/>
                <w:lang w:val="en-US" w:eastAsia="zh-CN"/>
              </w:rPr>
              <w:t>3</w:t>
            </w:r>
            <w:r>
              <w:rPr>
                <w:rFonts w:hint="default"/>
                <w:color w:val="auto"/>
              </w:rPr>
              <w:t>）酸雾吸收塔更换的废吸收液</w:t>
            </w:r>
          </w:p>
          <w:p>
            <w:pPr>
              <w:keepNext w:val="0"/>
              <w:keepLines w:val="0"/>
              <w:suppressLineNumbers w:val="0"/>
              <w:bidi w:val="0"/>
              <w:spacing w:before="0" w:beforeAutospacing="0" w:after="0" w:afterAutospacing="0"/>
              <w:ind w:left="0" w:right="0"/>
              <w:rPr>
                <w:color w:val="auto"/>
              </w:rPr>
            </w:pPr>
            <w:r>
              <w:rPr>
                <w:color w:val="auto"/>
              </w:rPr>
              <w:t>项目配套碱液喷淋设施处理车间废气，因硫酸雾浓度较低，故项目产生的污染物主要为硫酸，其中可能含有少量铅</w:t>
            </w:r>
            <w:r>
              <w:rPr>
                <w:rFonts w:hint="eastAsia"/>
                <w:color w:val="auto"/>
                <w:lang w:eastAsia="zh-CN"/>
              </w:rPr>
              <w:t>。</w:t>
            </w:r>
            <w:r>
              <w:rPr>
                <w:color w:val="auto"/>
              </w:rPr>
              <w:t>该废液因污染物浓度很低，可循环使用，但为避免可能给设备带来的腐蚀，定期排放，约每年排放</w:t>
            </w:r>
            <w:r>
              <w:rPr>
                <w:rFonts w:hint="eastAsia"/>
                <w:color w:val="auto"/>
              </w:rPr>
              <w:t>2</w:t>
            </w:r>
            <w:r>
              <w:rPr>
                <w:color w:val="auto"/>
              </w:rPr>
              <w:t>次，每次排放0.</w:t>
            </w:r>
            <w:r>
              <w:rPr>
                <w:rFonts w:hint="eastAsia"/>
                <w:color w:val="auto"/>
                <w:lang w:val="en-US" w:eastAsia="zh-CN"/>
              </w:rPr>
              <w:t>2t</w:t>
            </w:r>
            <w:r>
              <w:rPr>
                <w:color w:val="auto"/>
              </w:rPr>
              <w:t>，故该</w:t>
            </w:r>
            <w:r>
              <w:rPr>
                <w:rFonts w:hint="eastAsia"/>
                <w:color w:val="auto"/>
              </w:rPr>
              <w:t>废吸收液</w:t>
            </w:r>
            <w:r>
              <w:rPr>
                <w:color w:val="auto"/>
              </w:rPr>
              <w:t>产生量约为0.</w:t>
            </w:r>
            <w:r>
              <w:rPr>
                <w:rFonts w:hint="eastAsia"/>
                <w:color w:val="auto"/>
                <w:lang w:val="en-US" w:eastAsia="zh-CN"/>
              </w:rPr>
              <w:t>4t</w:t>
            </w:r>
            <w:r>
              <w:rPr>
                <w:color w:val="auto"/>
              </w:rPr>
              <w:t>/a。根据《国家危险废物名录》（</w:t>
            </w:r>
            <w:r>
              <w:rPr>
                <w:rFonts w:hint="eastAsia"/>
                <w:color w:val="auto"/>
              </w:rPr>
              <w:t>202</w:t>
            </w:r>
            <w:r>
              <w:rPr>
                <w:rFonts w:hint="eastAsia"/>
                <w:color w:val="auto"/>
                <w:lang w:val="en-US" w:eastAsia="zh-CN"/>
              </w:rPr>
              <w:t>5</w:t>
            </w:r>
            <w:r>
              <w:rPr>
                <w:color w:val="auto"/>
              </w:rPr>
              <w:t>年版），废吸收液属于危险废物，废物类别为HW49</w:t>
            </w:r>
            <w:r>
              <w:rPr>
                <w:rFonts w:hint="eastAsia"/>
                <w:color w:val="auto"/>
              </w:rPr>
              <w:t>其他废物</w:t>
            </w:r>
            <w:r>
              <w:rPr>
                <w:color w:val="auto"/>
              </w:rPr>
              <w:t>，废物代码为900-041-49（</w:t>
            </w:r>
            <w:r>
              <w:rPr>
                <w:rFonts w:hint="eastAsia"/>
                <w:color w:val="auto"/>
              </w:rPr>
              <w:t>含有或沾染毒性、感染性危险废物的废弃包装物、容器、过滤吸附介质</w:t>
            </w:r>
            <w:r>
              <w:rPr>
                <w:color w:val="auto"/>
              </w:rPr>
              <w:t>）。</w:t>
            </w:r>
          </w:p>
          <w:p>
            <w:pPr>
              <w:keepNext w:val="0"/>
              <w:keepLines w:val="0"/>
              <w:suppressLineNumbers w:val="0"/>
              <w:bidi w:val="0"/>
              <w:spacing w:before="0" w:beforeAutospacing="0" w:after="0" w:afterAutospacing="0"/>
              <w:ind w:left="0" w:right="0"/>
              <w:rPr>
                <w:rFonts w:hint="default"/>
                <w:color w:val="auto"/>
              </w:rPr>
            </w:pPr>
            <w:r>
              <w:rPr>
                <w:color w:val="auto"/>
              </w:rPr>
              <w:t>项目</w:t>
            </w:r>
            <w:r>
              <w:rPr>
                <w:rFonts w:hint="eastAsia"/>
                <w:color w:val="auto"/>
              </w:rPr>
              <w:t>新建15</w:t>
            </w:r>
            <w:r>
              <w:rPr>
                <w:color w:val="auto"/>
              </w:rPr>
              <w:t>m</w:t>
            </w:r>
            <w:r>
              <w:rPr>
                <w:color w:val="auto"/>
                <w:vertAlign w:val="superscript"/>
              </w:rPr>
              <w:t>2</w:t>
            </w:r>
            <w:r>
              <w:rPr>
                <w:rFonts w:hint="eastAsia"/>
                <w:color w:val="auto"/>
                <w:lang w:val="en-US" w:eastAsia="zh-CN"/>
              </w:rPr>
              <w:t>危废暂存间</w:t>
            </w:r>
            <w:r>
              <w:rPr>
                <w:rFonts w:hint="eastAsia"/>
                <w:color w:val="auto"/>
              </w:rPr>
              <w:t>，</w:t>
            </w:r>
            <w:r>
              <w:rPr>
                <w:color w:val="auto"/>
              </w:rPr>
              <w:t>废电解液、废吸收液分别用防渗防腐桶</w:t>
            </w:r>
            <w:r>
              <w:rPr>
                <w:rFonts w:hint="eastAsia"/>
                <w:color w:val="auto"/>
              </w:rPr>
              <w:t>密闭</w:t>
            </w:r>
            <w:r>
              <w:rPr>
                <w:color w:val="auto"/>
              </w:rPr>
              <w:t>贮存，</w:t>
            </w:r>
            <w:r>
              <w:rPr>
                <w:rFonts w:hint="eastAsia"/>
                <w:color w:val="auto"/>
              </w:rPr>
              <w:t>危废间位于仓库内</w:t>
            </w:r>
            <w:r>
              <w:rPr>
                <w:color w:val="auto"/>
              </w:rPr>
              <w:t>，具</w:t>
            </w:r>
            <w:r>
              <w:rPr>
                <w:rFonts w:hint="eastAsia"/>
                <w:color w:val="auto"/>
              </w:rPr>
              <w:t>备“防风、防雨、防晒、防渗漏”措施，按要求设置台账。</w:t>
            </w:r>
          </w:p>
          <w:p>
            <w:pPr>
              <w:pStyle w:val="12"/>
              <w:keepNext w:val="0"/>
              <w:keepLines w:val="0"/>
              <w:suppressLineNumbers w:val="0"/>
              <w:bidi w:val="0"/>
              <w:spacing w:before="0" w:beforeAutospacing="0" w:after="0" w:afterAutospacing="0"/>
              <w:ind w:left="0" w:right="0"/>
              <w:rPr>
                <w:rFonts w:hint="default"/>
                <w:color w:val="auto"/>
              </w:rPr>
            </w:pPr>
            <w:r>
              <w:rPr>
                <w:rFonts w:hint="default"/>
                <w:color w:val="auto"/>
              </w:rPr>
              <w:t>表</w:t>
            </w:r>
            <w:r>
              <w:rPr>
                <w:rFonts w:hint="eastAsia"/>
                <w:color w:val="auto"/>
                <w:lang w:val="en-US" w:eastAsia="zh-CN"/>
              </w:rPr>
              <w:t xml:space="preserve"> 4-11</w:t>
            </w:r>
            <w:r>
              <w:rPr>
                <w:rFonts w:hint="default"/>
                <w:color w:val="auto"/>
                <w:lang w:val="en-US" w:eastAsia="zh-CN"/>
              </w:rPr>
              <w:t xml:space="preserve">    </w:t>
            </w:r>
            <w:r>
              <w:rPr>
                <w:rFonts w:hint="eastAsia"/>
                <w:color w:val="auto"/>
                <w:lang w:val="en-US" w:eastAsia="zh-CN"/>
              </w:rPr>
              <w:t>危险</w:t>
            </w:r>
            <w:r>
              <w:rPr>
                <w:rFonts w:hint="default"/>
                <w:color w:val="auto"/>
              </w:rPr>
              <w:t>废物详情一览表</w:t>
            </w:r>
          </w:p>
          <w:tbl>
            <w:tblPr>
              <w:tblStyle w:val="22"/>
              <w:tblW w:w="495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607"/>
              <w:gridCol w:w="829"/>
              <w:gridCol w:w="1196"/>
              <w:gridCol w:w="871"/>
              <w:gridCol w:w="695"/>
              <w:gridCol w:w="524"/>
              <w:gridCol w:w="609"/>
              <w:gridCol w:w="656"/>
              <w:gridCol w:w="573"/>
              <w:gridCol w:w="96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0"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序号</w:t>
                  </w:r>
                </w:p>
              </w:tc>
              <w:tc>
                <w:tcPr>
                  <w:tcW w:w="607"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危险废物名称</w:t>
                  </w:r>
                </w:p>
              </w:tc>
              <w:tc>
                <w:tcPr>
                  <w:tcW w:w="829"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危险废物类别</w:t>
                  </w:r>
                </w:p>
              </w:tc>
              <w:tc>
                <w:tcPr>
                  <w:tcW w:w="1196"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危险废物代码</w:t>
                  </w:r>
                </w:p>
              </w:tc>
              <w:tc>
                <w:tcPr>
                  <w:tcW w:w="871"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产生量（t/a）</w:t>
                  </w:r>
                </w:p>
              </w:tc>
              <w:tc>
                <w:tcPr>
                  <w:tcW w:w="695"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产生工序及装置</w:t>
                  </w:r>
                </w:p>
              </w:tc>
              <w:tc>
                <w:tcPr>
                  <w:tcW w:w="524"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形态</w:t>
                  </w:r>
                </w:p>
              </w:tc>
              <w:tc>
                <w:tcPr>
                  <w:tcW w:w="609"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主要成分</w:t>
                  </w:r>
                </w:p>
              </w:tc>
              <w:tc>
                <w:tcPr>
                  <w:tcW w:w="656"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有害成分</w:t>
                  </w:r>
                </w:p>
              </w:tc>
              <w:tc>
                <w:tcPr>
                  <w:tcW w:w="573"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产废周期</w:t>
                  </w:r>
                </w:p>
              </w:tc>
              <w:tc>
                <w:tcPr>
                  <w:tcW w:w="963"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污染防治措施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0"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w:t>
                  </w:r>
                </w:p>
              </w:tc>
              <w:tc>
                <w:tcPr>
                  <w:tcW w:w="607"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color w:val="auto"/>
                    </w:rPr>
                  </w:pPr>
                  <w:r>
                    <w:rPr>
                      <w:rFonts w:hint="eastAsia"/>
                      <w:color w:val="auto"/>
                      <w:lang w:eastAsia="zh-CN"/>
                    </w:rPr>
                    <w:t>废劳保用品</w:t>
                  </w:r>
                </w:p>
              </w:tc>
              <w:tc>
                <w:tcPr>
                  <w:tcW w:w="829"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leftChars="0" w:right="0" w:rightChars="0" w:firstLine="0" w:firstLineChars="0"/>
                    <w:rPr>
                      <w:rFonts w:hint="eastAsia"/>
                      <w:color w:val="auto"/>
                      <w:lang w:eastAsia="zh-CN"/>
                    </w:rPr>
                  </w:pPr>
                  <w:r>
                    <w:rPr>
                      <w:color w:val="auto"/>
                    </w:rPr>
                    <w:t>HW49</w:t>
                  </w:r>
                </w:p>
              </w:tc>
              <w:tc>
                <w:tcPr>
                  <w:tcW w:w="1196"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leftChars="0" w:right="0" w:rightChars="0" w:firstLine="0" w:firstLineChars="0"/>
                    <w:rPr>
                      <w:rFonts w:hint="default"/>
                      <w:color w:val="auto"/>
                      <w:lang w:val="en-US" w:eastAsia="zh-CN"/>
                    </w:rPr>
                  </w:pPr>
                  <w:r>
                    <w:rPr>
                      <w:color w:val="auto"/>
                    </w:rPr>
                    <w:t>900-041-49</w:t>
                  </w:r>
                </w:p>
              </w:tc>
              <w:tc>
                <w:tcPr>
                  <w:tcW w:w="871"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0.1</w:t>
                  </w:r>
                </w:p>
              </w:tc>
              <w:tc>
                <w:tcPr>
                  <w:tcW w:w="695"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储存</w:t>
                  </w:r>
                </w:p>
                <w:p>
                  <w:pPr>
                    <w:pStyle w:val="28"/>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工序</w:t>
                  </w:r>
                </w:p>
              </w:tc>
              <w:tc>
                <w:tcPr>
                  <w:tcW w:w="524"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固态</w:t>
                  </w:r>
                </w:p>
              </w:tc>
              <w:tc>
                <w:tcPr>
                  <w:tcW w:w="609"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纤维</w:t>
                  </w:r>
                </w:p>
              </w:tc>
              <w:tc>
                <w:tcPr>
                  <w:tcW w:w="656" w:type="dxa"/>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color w:val="auto"/>
                    </w:rPr>
                  </w:pPr>
                  <w:r>
                    <w:rPr>
                      <w:rFonts w:hint="eastAsia"/>
                      <w:color w:val="auto"/>
                      <w:lang w:val="en-US" w:eastAsia="zh-CN"/>
                    </w:rPr>
                    <w:t>铅及其氧化物</w:t>
                  </w:r>
                </w:p>
              </w:tc>
              <w:tc>
                <w:tcPr>
                  <w:tcW w:w="573" w:type="dxa"/>
                  <w:tcBorders>
                    <w:top w:val="single" w:color="auto" w:sz="8" w:space="0"/>
                    <w:bottom w:val="single" w:color="auto" w:sz="4" w:space="0"/>
                  </w:tcBorders>
                  <w:vAlign w:val="center"/>
                </w:tcPr>
                <w:p>
                  <w:pPr>
                    <w:pStyle w:val="28"/>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1个月</w:t>
                  </w:r>
                </w:p>
              </w:tc>
              <w:tc>
                <w:tcPr>
                  <w:tcW w:w="963" w:type="dxa"/>
                  <w:vMerge w:val="restart"/>
                  <w:tcBorders>
                    <w:top w:val="single" w:color="auto" w:sz="8" w:space="0"/>
                  </w:tcBorders>
                  <w:vAlign w:val="center"/>
                </w:tcPr>
                <w:p>
                  <w:pPr>
                    <w:pStyle w:val="28"/>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val="en-US" w:eastAsia="zh-CN"/>
                    </w:rPr>
                    <w:t>危废暂存间</w:t>
                  </w:r>
                  <w:r>
                    <w:rPr>
                      <w:color w:val="auto"/>
                    </w:rPr>
                    <w:t>存放，定期委托有资质单位处理</w:t>
                  </w:r>
                  <w:r>
                    <w:rPr>
                      <w:rFonts w:hint="eastAsia"/>
                      <w:color w:val="auto"/>
                      <w:lang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0" w:type="dxa"/>
                  <w:tcBorders>
                    <w:top w:val="single" w:color="auto" w:sz="8" w:space="0"/>
                    <w:bottom w:val="single" w:color="auto" w:sz="4" w:space="0"/>
                  </w:tcBorders>
                  <w:vAlign w:val="center"/>
                </w:tcPr>
                <w:p>
                  <w:pPr>
                    <w:pStyle w:val="28"/>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val="en-US" w:eastAsia="zh-CN"/>
                    </w:rPr>
                    <w:t>2</w:t>
                  </w:r>
                </w:p>
              </w:tc>
              <w:tc>
                <w:tcPr>
                  <w:tcW w:w="607" w:type="dxa"/>
                  <w:tcBorders>
                    <w:top w:val="single" w:color="auto" w:sz="8"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废电解液</w:t>
                  </w:r>
                </w:p>
              </w:tc>
              <w:tc>
                <w:tcPr>
                  <w:tcW w:w="829" w:type="dxa"/>
                  <w:tcBorders>
                    <w:top w:val="single" w:color="auto" w:sz="8"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HW31</w:t>
                  </w:r>
                </w:p>
              </w:tc>
              <w:tc>
                <w:tcPr>
                  <w:tcW w:w="1196" w:type="dxa"/>
                  <w:tcBorders>
                    <w:top w:val="single" w:color="auto" w:sz="8"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900-052-31</w:t>
                  </w:r>
                </w:p>
              </w:tc>
              <w:tc>
                <w:tcPr>
                  <w:tcW w:w="871" w:type="dxa"/>
                  <w:tcBorders>
                    <w:top w:val="single" w:color="auto" w:sz="8" w:space="0"/>
                    <w:bottom w:val="single" w:color="auto" w:sz="4" w:space="0"/>
                  </w:tcBorders>
                  <w:vAlign w:val="center"/>
                </w:tcPr>
                <w:p>
                  <w:pPr>
                    <w:pStyle w:val="28"/>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2.8299</w:t>
                  </w:r>
                </w:p>
              </w:tc>
              <w:tc>
                <w:tcPr>
                  <w:tcW w:w="695" w:type="dxa"/>
                  <w:tcBorders>
                    <w:top w:val="single" w:color="auto" w:sz="8"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破损</w:t>
                  </w:r>
                </w:p>
                <w:p>
                  <w:pPr>
                    <w:pStyle w:val="28"/>
                    <w:keepNext w:val="0"/>
                    <w:keepLines w:val="0"/>
                    <w:suppressLineNumbers w:val="0"/>
                    <w:bidi w:val="0"/>
                    <w:spacing w:before="0" w:beforeAutospacing="0" w:after="0" w:afterAutospacing="0"/>
                    <w:ind w:left="0" w:right="0"/>
                    <w:rPr>
                      <w:color w:val="auto"/>
                    </w:rPr>
                  </w:pPr>
                  <w:r>
                    <w:rPr>
                      <w:color w:val="auto"/>
                    </w:rPr>
                    <w:t>电池</w:t>
                  </w:r>
                </w:p>
              </w:tc>
              <w:tc>
                <w:tcPr>
                  <w:tcW w:w="524" w:type="dxa"/>
                  <w:tcBorders>
                    <w:top w:val="single" w:color="auto" w:sz="8"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液态</w:t>
                  </w:r>
                </w:p>
              </w:tc>
              <w:tc>
                <w:tcPr>
                  <w:tcW w:w="609" w:type="dxa"/>
                  <w:tcBorders>
                    <w:top w:val="single" w:color="auto" w:sz="8" w:space="0"/>
                    <w:bottom w:val="single" w:color="auto" w:sz="4" w:space="0"/>
                  </w:tcBorders>
                  <w:vAlign w:val="center"/>
                </w:tcPr>
                <w:p>
                  <w:pPr>
                    <w:pStyle w:val="28"/>
                    <w:keepNext w:val="0"/>
                    <w:keepLines w:val="0"/>
                    <w:suppressLineNumbers w:val="0"/>
                    <w:bidi w:val="0"/>
                    <w:spacing w:before="0" w:beforeAutospacing="0" w:after="0" w:afterAutospacing="0"/>
                    <w:ind w:left="0" w:right="0"/>
                    <w:rPr>
                      <w:rFonts w:hint="eastAsia" w:eastAsia="宋体"/>
                      <w:color w:val="auto"/>
                      <w:lang w:eastAsia="zh-CN"/>
                    </w:rPr>
                  </w:pPr>
                  <w:r>
                    <w:rPr>
                      <w:rFonts w:hint="eastAsia"/>
                      <w:color w:val="auto"/>
                      <w:lang w:val="en-US" w:eastAsia="zh-CN"/>
                    </w:rPr>
                    <w:t>水</w:t>
                  </w:r>
                </w:p>
              </w:tc>
              <w:tc>
                <w:tcPr>
                  <w:tcW w:w="656" w:type="dxa"/>
                  <w:tcBorders>
                    <w:top w:val="single" w:color="auto" w:sz="8" w:space="0"/>
                    <w:bottom w:val="single" w:color="auto" w:sz="4" w:space="0"/>
                  </w:tcBorders>
                  <w:vAlign w:val="center"/>
                </w:tcPr>
                <w:p>
                  <w:pPr>
                    <w:pStyle w:val="28"/>
                    <w:keepNext w:val="0"/>
                    <w:keepLines w:val="0"/>
                    <w:suppressLineNumbers w:val="0"/>
                    <w:bidi w:val="0"/>
                    <w:spacing w:before="0" w:beforeAutospacing="0" w:after="0" w:afterAutospacing="0"/>
                    <w:ind w:left="0" w:right="0"/>
                    <w:rPr>
                      <w:rFonts w:hint="eastAsia" w:eastAsia="宋体"/>
                      <w:color w:val="auto"/>
                      <w:lang w:eastAsia="zh-CN"/>
                    </w:rPr>
                  </w:pPr>
                  <w:r>
                    <w:rPr>
                      <w:rFonts w:hint="eastAsia"/>
                      <w:color w:val="auto"/>
                      <w:lang w:val="en-US" w:eastAsia="zh-CN"/>
                    </w:rPr>
                    <w:t>铅、硫酸</w:t>
                  </w:r>
                </w:p>
              </w:tc>
              <w:tc>
                <w:tcPr>
                  <w:tcW w:w="573" w:type="dxa"/>
                  <w:tcBorders>
                    <w:top w:val="single" w:color="auto" w:sz="4"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每天</w:t>
                  </w:r>
                </w:p>
              </w:tc>
              <w:tc>
                <w:tcPr>
                  <w:tcW w:w="963" w:type="dxa"/>
                  <w:vMerge w:val="continue"/>
                  <w:vAlign w:val="center"/>
                </w:tcPr>
                <w:p>
                  <w:pPr>
                    <w:pStyle w:val="28"/>
                    <w:keepNext w:val="0"/>
                    <w:keepLines w:val="0"/>
                    <w:suppressLineNumbers w:val="0"/>
                    <w:bidi w:val="0"/>
                    <w:spacing w:before="0" w:beforeAutospacing="0" w:after="0" w:afterAutospacing="0"/>
                    <w:ind w:left="0" w:right="0"/>
                    <w:rPr>
                      <w:rFonts w:hint="eastAsia"/>
                      <w:color w:val="auto"/>
                      <w:lang w:eastAsia="zh-CN"/>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0" w:type="dxa"/>
                  <w:tcBorders>
                    <w:top w:val="single" w:color="auto" w:sz="4" w:space="0"/>
                  </w:tcBorders>
                  <w:vAlign w:val="center"/>
                </w:tcPr>
                <w:p>
                  <w:pPr>
                    <w:pStyle w:val="28"/>
                    <w:keepNext w:val="0"/>
                    <w:keepLines w:val="0"/>
                    <w:suppressLineNumbers w:val="0"/>
                    <w:bidi w:val="0"/>
                    <w:spacing w:before="0" w:beforeAutospacing="0" w:after="0" w:afterAutospacing="0"/>
                    <w:ind w:left="0" w:right="0"/>
                    <w:rPr>
                      <w:rFonts w:hint="eastAsia"/>
                      <w:color w:val="auto"/>
                      <w:lang w:eastAsia="zh-CN"/>
                    </w:rPr>
                  </w:pPr>
                  <w:bookmarkStart w:id="243" w:name="OLE_LINK103" w:colFirst="2" w:colLast="3"/>
                  <w:r>
                    <w:rPr>
                      <w:rFonts w:hint="eastAsia"/>
                      <w:color w:val="auto"/>
                      <w:lang w:val="en-US" w:eastAsia="zh-CN"/>
                    </w:rPr>
                    <w:t>3</w:t>
                  </w:r>
                </w:p>
              </w:tc>
              <w:tc>
                <w:tcPr>
                  <w:tcW w:w="607" w:type="dxa"/>
                  <w:tcBorders>
                    <w:top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废吸收液</w:t>
                  </w:r>
                </w:p>
              </w:tc>
              <w:tc>
                <w:tcPr>
                  <w:tcW w:w="829" w:type="dxa"/>
                  <w:tcBorders>
                    <w:top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HW49</w:t>
                  </w:r>
                </w:p>
              </w:tc>
              <w:tc>
                <w:tcPr>
                  <w:tcW w:w="1196" w:type="dxa"/>
                  <w:tcBorders>
                    <w:top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900-041-49</w:t>
                  </w:r>
                </w:p>
              </w:tc>
              <w:tc>
                <w:tcPr>
                  <w:tcW w:w="871" w:type="dxa"/>
                  <w:tcBorders>
                    <w:top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rFonts w:hint="eastAsia"/>
                      <w:color w:val="auto"/>
                      <w:lang w:val="en-US" w:eastAsia="zh-CN"/>
                    </w:rPr>
                    <w:t>0.4</w:t>
                  </w:r>
                </w:p>
              </w:tc>
              <w:tc>
                <w:tcPr>
                  <w:tcW w:w="695" w:type="dxa"/>
                  <w:vAlign w:val="center"/>
                </w:tcPr>
                <w:p>
                  <w:pPr>
                    <w:pStyle w:val="28"/>
                    <w:keepNext w:val="0"/>
                    <w:keepLines w:val="0"/>
                    <w:suppressLineNumbers w:val="0"/>
                    <w:bidi w:val="0"/>
                    <w:spacing w:before="0" w:beforeAutospacing="0" w:after="0" w:afterAutospacing="0"/>
                    <w:ind w:left="0" w:right="0"/>
                    <w:rPr>
                      <w:color w:val="auto"/>
                    </w:rPr>
                  </w:pPr>
                  <w:r>
                    <w:rPr>
                      <w:color w:val="auto"/>
                    </w:rPr>
                    <w:t>废气处理系统</w:t>
                  </w:r>
                </w:p>
              </w:tc>
              <w:tc>
                <w:tcPr>
                  <w:tcW w:w="524" w:type="dxa"/>
                  <w:tcBorders>
                    <w:top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液态</w:t>
                  </w:r>
                </w:p>
              </w:tc>
              <w:tc>
                <w:tcPr>
                  <w:tcW w:w="609" w:type="dxa"/>
                  <w:tcBorders>
                    <w:top w:val="single" w:color="auto" w:sz="4" w:space="0"/>
                  </w:tcBorders>
                  <w:vAlign w:val="center"/>
                </w:tcPr>
                <w:p>
                  <w:pPr>
                    <w:pStyle w:val="28"/>
                    <w:keepNext w:val="0"/>
                    <w:keepLines w:val="0"/>
                    <w:suppressLineNumbers w:val="0"/>
                    <w:bidi w:val="0"/>
                    <w:spacing w:before="0" w:beforeAutospacing="0" w:after="0" w:afterAutospacing="0"/>
                    <w:ind w:left="0" w:right="0"/>
                    <w:rPr>
                      <w:rFonts w:hint="eastAsia" w:eastAsia="宋体"/>
                      <w:color w:val="auto"/>
                      <w:lang w:eastAsia="zh-CN"/>
                    </w:rPr>
                  </w:pPr>
                  <w:r>
                    <w:rPr>
                      <w:rFonts w:hint="eastAsia"/>
                      <w:color w:val="auto"/>
                      <w:lang w:val="en-US" w:eastAsia="zh-CN"/>
                    </w:rPr>
                    <w:t>水</w:t>
                  </w:r>
                </w:p>
              </w:tc>
              <w:tc>
                <w:tcPr>
                  <w:tcW w:w="656" w:type="dxa"/>
                  <w:tcBorders>
                    <w:top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碱液</w:t>
                  </w:r>
                </w:p>
              </w:tc>
              <w:tc>
                <w:tcPr>
                  <w:tcW w:w="573" w:type="dxa"/>
                  <w:tcBorders>
                    <w:top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6个月</w:t>
                  </w:r>
                </w:p>
              </w:tc>
              <w:tc>
                <w:tcPr>
                  <w:tcW w:w="963" w:type="dxa"/>
                  <w:vMerge w:val="continue"/>
                  <w:vAlign w:val="center"/>
                </w:tcPr>
                <w:p>
                  <w:pPr>
                    <w:pStyle w:val="28"/>
                    <w:keepNext w:val="0"/>
                    <w:keepLines w:val="0"/>
                    <w:suppressLineNumbers w:val="0"/>
                    <w:bidi w:val="0"/>
                    <w:spacing w:before="0" w:beforeAutospacing="0" w:after="0" w:afterAutospacing="0"/>
                    <w:ind w:left="0" w:right="0"/>
                    <w:rPr>
                      <w:color w:val="auto"/>
                    </w:rPr>
                  </w:pPr>
                </w:p>
              </w:tc>
            </w:tr>
            <w:bookmarkEnd w:id="243"/>
          </w:tbl>
          <w:p>
            <w:pPr>
              <w:pStyle w:val="12"/>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表</w:t>
            </w:r>
            <w:r>
              <w:rPr>
                <w:rFonts w:hint="eastAsia"/>
                <w:color w:val="auto"/>
                <w:lang w:val="en-US" w:eastAsia="zh-CN"/>
              </w:rPr>
              <w:t xml:space="preserve"> 4-12    </w:t>
            </w:r>
            <w:r>
              <w:rPr>
                <w:rFonts w:hint="default"/>
                <w:color w:val="auto"/>
                <w:lang w:val="en-US" w:eastAsia="zh-CN"/>
              </w:rPr>
              <w:t>建设项目危险废物贮存场所（设施）基本情况表</w:t>
            </w:r>
          </w:p>
          <w:tbl>
            <w:tblPr>
              <w:tblStyle w:val="22"/>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704"/>
              <w:gridCol w:w="705"/>
              <w:gridCol w:w="960"/>
              <w:gridCol w:w="1267"/>
              <w:gridCol w:w="705"/>
              <w:gridCol w:w="874"/>
              <w:gridCol w:w="705"/>
              <w:gridCol w:w="705"/>
              <w:gridCol w:w="71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序号</w:t>
                  </w:r>
                </w:p>
              </w:tc>
              <w:tc>
                <w:tcPr>
                  <w:tcW w:w="437" w:type="pct"/>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贮存场所（设施）名称</w:t>
                  </w:r>
                </w:p>
              </w:tc>
              <w:tc>
                <w:tcPr>
                  <w:tcW w:w="438" w:type="pct"/>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危险废物名称</w:t>
                  </w:r>
                </w:p>
              </w:tc>
              <w:tc>
                <w:tcPr>
                  <w:tcW w:w="596" w:type="pct"/>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危险废物类别</w:t>
                  </w:r>
                </w:p>
              </w:tc>
              <w:tc>
                <w:tcPr>
                  <w:tcW w:w="787" w:type="pct"/>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危险废物</w:t>
                  </w:r>
                </w:p>
                <w:p>
                  <w:pPr>
                    <w:pStyle w:val="28"/>
                    <w:keepNext w:val="0"/>
                    <w:keepLines w:val="0"/>
                    <w:suppressLineNumbers w:val="0"/>
                    <w:bidi w:val="0"/>
                    <w:spacing w:before="0" w:beforeAutospacing="0" w:after="0" w:afterAutospacing="0"/>
                    <w:ind w:left="0" w:right="0"/>
                    <w:rPr>
                      <w:b/>
                      <w:bCs/>
                      <w:color w:val="auto"/>
                    </w:rPr>
                  </w:pPr>
                  <w:r>
                    <w:rPr>
                      <w:b/>
                      <w:bCs/>
                      <w:color w:val="auto"/>
                    </w:rPr>
                    <w:t>代码</w:t>
                  </w:r>
                </w:p>
              </w:tc>
              <w:tc>
                <w:tcPr>
                  <w:tcW w:w="438" w:type="pct"/>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位置</w:t>
                  </w:r>
                </w:p>
              </w:tc>
              <w:tc>
                <w:tcPr>
                  <w:tcW w:w="543" w:type="pct"/>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占地面积</w:t>
                  </w:r>
                </w:p>
              </w:tc>
              <w:tc>
                <w:tcPr>
                  <w:tcW w:w="438" w:type="pct"/>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贮存方式</w:t>
                  </w:r>
                </w:p>
              </w:tc>
              <w:tc>
                <w:tcPr>
                  <w:tcW w:w="438" w:type="pct"/>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贮存</w:t>
                  </w:r>
                </w:p>
                <w:p>
                  <w:pPr>
                    <w:pStyle w:val="28"/>
                    <w:keepNext w:val="0"/>
                    <w:keepLines w:val="0"/>
                    <w:suppressLineNumbers w:val="0"/>
                    <w:bidi w:val="0"/>
                    <w:spacing w:before="0" w:beforeAutospacing="0" w:after="0" w:afterAutospacing="0"/>
                    <w:ind w:left="0" w:right="0"/>
                    <w:rPr>
                      <w:b/>
                      <w:bCs/>
                      <w:color w:val="auto"/>
                    </w:rPr>
                  </w:pPr>
                  <w:r>
                    <w:rPr>
                      <w:b/>
                      <w:bCs/>
                      <w:color w:val="auto"/>
                    </w:rPr>
                    <w:t>能力</w:t>
                  </w:r>
                </w:p>
              </w:tc>
              <w:tc>
                <w:tcPr>
                  <w:tcW w:w="442" w:type="pct"/>
                  <w:tcBorders>
                    <w:top w:val="single" w:color="auto" w:sz="8" w:space="0"/>
                    <w:bottom w:val="single" w:color="auto" w:sz="8" w:space="0"/>
                  </w:tcBorders>
                  <w:vAlign w:val="center"/>
                </w:tcPr>
                <w:p>
                  <w:pPr>
                    <w:pStyle w:val="28"/>
                    <w:keepNext w:val="0"/>
                    <w:keepLines w:val="0"/>
                    <w:suppressLineNumbers w:val="0"/>
                    <w:bidi w:val="0"/>
                    <w:spacing w:before="0" w:beforeAutospacing="0" w:after="0" w:afterAutospacing="0"/>
                    <w:ind w:left="0" w:right="0"/>
                    <w:rPr>
                      <w:b/>
                      <w:bCs/>
                      <w:color w:val="auto"/>
                    </w:rPr>
                  </w:pPr>
                  <w:r>
                    <w:rPr>
                      <w:b/>
                      <w:bCs/>
                      <w:color w:val="auto"/>
                    </w:rPr>
                    <w:t>贮存</w:t>
                  </w:r>
                </w:p>
                <w:p>
                  <w:pPr>
                    <w:pStyle w:val="28"/>
                    <w:keepNext w:val="0"/>
                    <w:keepLines w:val="0"/>
                    <w:suppressLineNumbers w:val="0"/>
                    <w:bidi w:val="0"/>
                    <w:spacing w:before="0" w:beforeAutospacing="0" w:after="0" w:afterAutospacing="0"/>
                    <w:ind w:left="0" w:right="0"/>
                    <w:rPr>
                      <w:b/>
                      <w:bCs/>
                      <w:color w:val="auto"/>
                    </w:rPr>
                  </w:pPr>
                  <w:r>
                    <w:rPr>
                      <w:b/>
                      <w:bCs/>
                      <w:color w:val="auto"/>
                    </w:rPr>
                    <w:t>周期</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tcBorders>
                    <w:top w:val="single" w:color="auto" w:sz="8"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1</w:t>
                  </w:r>
                </w:p>
              </w:tc>
              <w:tc>
                <w:tcPr>
                  <w:tcW w:w="437" w:type="pct"/>
                  <w:vMerge w:val="restart"/>
                  <w:tcBorders>
                    <w:top w:val="single" w:color="auto" w:sz="8" w:space="0"/>
                  </w:tcBorders>
                  <w:vAlign w:val="center"/>
                </w:tcPr>
                <w:p>
                  <w:pPr>
                    <w:pStyle w:val="28"/>
                    <w:keepNext w:val="0"/>
                    <w:keepLines w:val="0"/>
                    <w:suppressLineNumbers w:val="0"/>
                    <w:bidi w:val="0"/>
                    <w:spacing w:before="0" w:beforeAutospacing="0" w:after="0" w:afterAutospacing="0"/>
                    <w:ind w:left="0" w:right="0"/>
                    <w:rPr>
                      <w:color w:val="auto"/>
                    </w:rPr>
                  </w:pPr>
                  <w:r>
                    <w:rPr>
                      <w:rFonts w:hint="eastAsia"/>
                      <w:color w:val="auto"/>
                      <w:lang w:val="en-US" w:eastAsia="zh-CN"/>
                    </w:rPr>
                    <w:t>危废暂存间</w:t>
                  </w:r>
                </w:p>
              </w:tc>
              <w:tc>
                <w:tcPr>
                  <w:tcW w:w="438" w:type="pct"/>
                  <w:tcBorders>
                    <w:top w:val="single" w:color="auto" w:sz="8"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rFonts w:hint="eastAsia"/>
                      <w:color w:val="auto"/>
                      <w:lang w:eastAsia="zh-CN"/>
                    </w:rPr>
                    <w:t>废劳保用品</w:t>
                  </w:r>
                </w:p>
              </w:tc>
              <w:tc>
                <w:tcPr>
                  <w:tcW w:w="960" w:type="dxa"/>
                  <w:tcBorders>
                    <w:top w:val="single" w:color="auto" w:sz="8" w:space="0"/>
                    <w:bottom w:val="single" w:color="auto" w:sz="4" w:space="0"/>
                  </w:tcBorders>
                  <w:vAlign w:val="center"/>
                </w:tcPr>
                <w:p>
                  <w:pPr>
                    <w:pStyle w:val="28"/>
                    <w:keepNext w:val="0"/>
                    <w:keepLines w:val="0"/>
                    <w:suppressLineNumbers w:val="0"/>
                    <w:bidi w:val="0"/>
                    <w:spacing w:before="0" w:beforeAutospacing="0" w:after="0" w:afterAutospacing="0"/>
                    <w:ind w:left="0" w:leftChars="0" w:right="0" w:rightChars="0" w:firstLine="0" w:firstLineChars="0"/>
                    <w:rPr>
                      <w:color w:val="auto"/>
                    </w:rPr>
                  </w:pPr>
                  <w:r>
                    <w:rPr>
                      <w:color w:val="auto"/>
                    </w:rPr>
                    <w:t>HW49</w:t>
                  </w:r>
                </w:p>
              </w:tc>
              <w:tc>
                <w:tcPr>
                  <w:tcW w:w="1268" w:type="dxa"/>
                  <w:tcBorders>
                    <w:top w:val="single" w:color="auto" w:sz="8" w:space="0"/>
                    <w:bottom w:val="single" w:color="auto" w:sz="4" w:space="0"/>
                  </w:tcBorders>
                  <w:vAlign w:val="center"/>
                </w:tcPr>
                <w:p>
                  <w:pPr>
                    <w:pStyle w:val="28"/>
                    <w:keepNext w:val="0"/>
                    <w:keepLines w:val="0"/>
                    <w:suppressLineNumbers w:val="0"/>
                    <w:bidi w:val="0"/>
                    <w:spacing w:before="0" w:beforeAutospacing="0" w:after="0" w:afterAutospacing="0"/>
                    <w:ind w:left="0" w:leftChars="0" w:right="0" w:rightChars="0" w:firstLine="0" w:firstLineChars="0"/>
                    <w:rPr>
                      <w:color w:val="auto"/>
                    </w:rPr>
                  </w:pPr>
                  <w:r>
                    <w:rPr>
                      <w:color w:val="auto"/>
                    </w:rPr>
                    <w:t>900-041-49</w:t>
                  </w:r>
                </w:p>
              </w:tc>
              <w:tc>
                <w:tcPr>
                  <w:tcW w:w="438" w:type="pct"/>
                  <w:vMerge w:val="restart"/>
                  <w:tcBorders>
                    <w:top w:val="single" w:color="auto" w:sz="8"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仓库内</w:t>
                  </w:r>
                </w:p>
              </w:tc>
              <w:tc>
                <w:tcPr>
                  <w:tcW w:w="543" w:type="pct"/>
                  <w:vMerge w:val="restart"/>
                  <w:tcBorders>
                    <w:top w:val="single" w:color="auto" w:sz="8"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15m</w:t>
                  </w:r>
                  <w:r>
                    <w:rPr>
                      <w:color w:val="auto"/>
                      <w:vertAlign w:val="superscript"/>
                    </w:rPr>
                    <w:t>2</w:t>
                  </w:r>
                </w:p>
              </w:tc>
              <w:tc>
                <w:tcPr>
                  <w:tcW w:w="438" w:type="pct"/>
                  <w:vMerge w:val="restart"/>
                  <w:tcBorders>
                    <w:top w:val="single" w:color="auto" w:sz="8"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桶装</w:t>
                  </w:r>
                </w:p>
              </w:tc>
              <w:tc>
                <w:tcPr>
                  <w:tcW w:w="438" w:type="pct"/>
                  <w:vMerge w:val="restart"/>
                  <w:tcBorders>
                    <w:top w:val="single" w:color="auto" w:sz="8" w:space="0"/>
                  </w:tcBorders>
                  <w:vAlign w:val="center"/>
                </w:tcPr>
                <w:p>
                  <w:pPr>
                    <w:pStyle w:val="28"/>
                    <w:keepNext w:val="0"/>
                    <w:keepLines w:val="0"/>
                    <w:suppressLineNumbers w:val="0"/>
                    <w:bidi w:val="0"/>
                    <w:spacing w:before="0" w:beforeAutospacing="0" w:after="0" w:afterAutospacing="0"/>
                    <w:ind w:left="0" w:right="0"/>
                    <w:rPr>
                      <w:color w:val="auto"/>
                    </w:rPr>
                  </w:pPr>
                  <w:r>
                    <w:rPr>
                      <w:rFonts w:hint="eastAsia"/>
                      <w:color w:val="auto"/>
                      <w:lang w:val="en-US" w:eastAsia="zh-CN"/>
                    </w:rPr>
                    <w:t>3</w:t>
                  </w:r>
                  <w:r>
                    <w:rPr>
                      <w:color w:val="auto"/>
                    </w:rPr>
                    <w:t>t</w:t>
                  </w:r>
                </w:p>
              </w:tc>
              <w:tc>
                <w:tcPr>
                  <w:tcW w:w="442" w:type="pct"/>
                  <w:tcBorders>
                    <w:top w:val="single" w:color="auto" w:sz="8"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≤1年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tcBorders>
                    <w:top w:val="single" w:color="auto" w:sz="8" w:space="0"/>
                    <w:bottom w:val="single" w:color="auto" w:sz="4" w:space="0"/>
                  </w:tcBorders>
                  <w:vAlign w:val="center"/>
                </w:tcPr>
                <w:p>
                  <w:pPr>
                    <w:pStyle w:val="28"/>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2</w:t>
                  </w:r>
                </w:p>
              </w:tc>
              <w:tc>
                <w:tcPr>
                  <w:tcW w:w="437" w:type="pct"/>
                  <w:vMerge w:val="continue"/>
                  <w:vAlign w:val="center"/>
                </w:tcPr>
                <w:p>
                  <w:pPr>
                    <w:pStyle w:val="28"/>
                    <w:keepNext w:val="0"/>
                    <w:keepLines w:val="0"/>
                    <w:suppressLineNumbers w:val="0"/>
                    <w:bidi w:val="0"/>
                    <w:spacing w:before="0" w:beforeAutospacing="0" w:after="0" w:afterAutospacing="0"/>
                    <w:ind w:left="0" w:right="0"/>
                    <w:rPr>
                      <w:rFonts w:hint="eastAsia"/>
                      <w:color w:val="auto"/>
                      <w:lang w:val="en-US" w:eastAsia="zh-CN"/>
                    </w:rPr>
                  </w:pPr>
                </w:p>
              </w:tc>
              <w:tc>
                <w:tcPr>
                  <w:tcW w:w="438" w:type="pct"/>
                  <w:tcBorders>
                    <w:top w:val="single" w:color="auto" w:sz="8"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废电解液</w:t>
                  </w:r>
                </w:p>
              </w:tc>
              <w:tc>
                <w:tcPr>
                  <w:tcW w:w="596" w:type="pct"/>
                  <w:tcBorders>
                    <w:top w:val="single" w:color="auto" w:sz="8"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HW31</w:t>
                  </w:r>
                </w:p>
              </w:tc>
              <w:tc>
                <w:tcPr>
                  <w:tcW w:w="787" w:type="pct"/>
                  <w:tcBorders>
                    <w:top w:val="single" w:color="auto" w:sz="8"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900-052-31</w:t>
                  </w:r>
                </w:p>
              </w:tc>
              <w:tc>
                <w:tcPr>
                  <w:tcW w:w="438" w:type="pct"/>
                  <w:vMerge w:val="continue"/>
                  <w:vAlign w:val="center"/>
                </w:tcPr>
                <w:p>
                  <w:pPr>
                    <w:pStyle w:val="28"/>
                    <w:keepNext w:val="0"/>
                    <w:keepLines w:val="0"/>
                    <w:suppressLineNumbers w:val="0"/>
                    <w:bidi w:val="0"/>
                    <w:spacing w:before="0" w:beforeAutospacing="0" w:after="0" w:afterAutospacing="0"/>
                    <w:ind w:left="0" w:right="0"/>
                    <w:rPr>
                      <w:color w:val="auto"/>
                    </w:rPr>
                  </w:pPr>
                </w:p>
              </w:tc>
              <w:tc>
                <w:tcPr>
                  <w:tcW w:w="543" w:type="pct"/>
                  <w:vMerge w:val="continue"/>
                  <w:vAlign w:val="center"/>
                </w:tcPr>
                <w:p>
                  <w:pPr>
                    <w:pStyle w:val="28"/>
                    <w:keepNext w:val="0"/>
                    <w:keepLines w:val="0"/>
                    <w:suppressLineNumbers w:val="0"/>
                    <w:bidi w:val="0"/>
                    <w:spacing w:before="0" w:beforeAutospacing="0" w:after="0" w:afterAutospacing="0"/>
                    <w:ind w:left="0" w:right="0"/>
                    <w:rPr>
                      <w:color w:val="auto"/>
                    </w:rPr>
                  </w:pPr>
                </w:p>
              </w:tc>
              <w:tc>
                <w:tcPr>
                  <w:tcW w:w="438" w:type="pct"/>
                  <w:vMerge w:val="continue"/>
                  <w:vAlign w:val="center"/>
                </w:tcPr>
                <w:p>
                  <w:pPr>
                    <w:pStyle w:val="28"/>
                    <w:keepNext w:val="0"/>
                    <w:keepLines w:val="0"/>
                    <w:suppressLineNumbers w:val="0"/>
                    <w:bidi w:val="0"/>
                    <w:spacing w:before="0" w:beforeAutospacing="0" w:after="0" w:afterAutospacing="0"/>
                    <w:ind w:left="0" w:right="0"/>
                    <w:rPr>
                      <w:color w:val="auto"/>
                    </w:rPr>
                  </w:pPr>
                </w:p>
              </w:tc>
              <w:tc>
                <w:tcPr>
                  <w:tcW w:w="438" w:type="pct"/>
                  <w:vMerge w:val="continue"/>
                  <w:vAlign w:val="center"/>
                </w:tcPr>
                <w:p>
                  <w:pPr>
                    <w:pStyle w:val="28"/>
                    <w:keepNext w:val="0"/>
                    <w:keepLines w:val="0"/>
                    <w:suppressLineNumbers w:val="0"/>
                    <w:bidi w:val="0"/>
                    <w:spacing w:before="0" w:beforeAutospacing="0" w:after="0" w:afterAutospacing="0"/>
                    <w:ind w:left="0" w:right="0"/>
                    <w:rPr>
                      <w:rFonts w:hint="eastAsia"/>
                      <w:color w:val="auto"/>
                      <w:lang w:val="en-US" w:eastAsia="zh-CN"/>
                    </w:rPr>
                  </w:pPr>
                </w:p>
              </w:tc>
              <w:tc>
                <w:tcPr>
                  <w:tcW w:w="442" w:type="pct"/>
                  <w:tcBorders>
                    <w:top w:val="single" w:color="auto" w:sz="8" w:space="0"/>
                    <w:bottom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≤1年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tcBorders>
                    <w:top w:val="single" w:color="auto" w:sz="4" w:space="0"/>
                  </w:tcBorders>
                  <w:vAlign w:val="center"/>
                </w:tcPr>
                <w:p>
                  <w:pPr>
                    <w:pStyle w:val="28"/>
                    <w:keepNext w:val="0"/>
                    <w:keepLines w:val="0"/>
                    <w:suppressLineNumbers w:val="0"/>
                    <w:bidi w:val="0"/>
                    <w:spacing w:before="0" w:beforeAutospacing="0" w:after="0" w:afterAutospacing="0"/>
                    <w:ind w:left="0" w:right="0"/>
                    <w:rPr>
                      <w:rFonts w:hint="eastAsia"/>
                      <w:color w:val="auto"/>
                      <w:lang w:val="en-US" w:eastAsia="zh-CN"/>
                    </w:rPr>
                  </w:pPr>
                  <w:bookmarkStart w:id="244" w:name="OLE_LINK104" w:colFirst="3" w:colLast="4"/>
                  <w:r>
                    <w:rPr>
                      <w:rFonts w:hint="eastAsia"/>
                      <w:color w:val="auto"/>
                      <w:lang w:val="en-US" w:eastAsia="zh-CN"/>
                    </w:rPr>
                    <w:t>3</w:t>
                  </w:r>
                </w:p>
              </w:tc>
              <w:tc>
                <w:tcPr>
                  <w:tcW w:w="437" w:type="pct"/>
                  <w:vMerge w:val="continue"/>
                  <w:vAlign w:val="center"/>
                </w:tcPr>
                <w:p>
                  <w:pPr>
                    <w:pStyle w:val="28"/>
                    <w:keepNext w:val="0"/>
                    <w:keepLines w:val="0"/>
                    <w:suppressLineNumbers w:val="0"/>
                    <w:bidi w:val="0"/>
                    <w:spacing w:before="0" w:beforeAutospacing="0" w:after="0" w:afterAutospacing="0"/>
                    <w:ind w:left="0" w:right="0"/>
                    <w:rPr>
                      <w:color w:val="auto"/>
                    </w:rPr>
                  </w:pPr>
                </w:p>
              </w:tc>
              <w:tc>
                <w:tcPr>
                  <w:tcW w:w="438" w:type="pct"/>
                  <w:tcBorders>
                    <w:top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废吸收液</w:t>
                  </w:r>
                </w:p>
              </w:tc>
              <w:tc>
                <w:tcPr>
                  <w:tcW w:w="596" w:type="pct"/>
                  <w:tcBorders>
                    <w:top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HW49</w:t>
                  </w:r>
                </w:p>
              </w:tc>
              <w:tc>
                <w:tcPr>
                  <w:tcW w:w="787" w:type="pct"/>
                  <w:tcBorders>
                    <w:top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900-041-49</w:t>
                  </w:r>
                </w:p>
              </w:tc>
              <w:tc>
                <w:tcPr>
                  <w:tcW w:w="438" w:type="pct"/>
                  <w:vMerge w:val="continue"/>
                  <w:tcBorders>
                    <w:top w:val="single" w:color="auto" w:sz="8" w:space="0"/>
                  </w:tcBorders>
                  <w:vAlign w:val="center"/>
                </w:tcPr>
                <w:p>
                  <w:pPr>
                    <w:pStyle w:val="28"/>
                    <w:keepNext w:val="0"/>
                    <w:keepLines w:val="0"/>
                    <w:suppressLineNumbers w:val="0"/>
                    <w:bidi w:val="0"/>
                    <w:spacing w:before="0" w:beforeAutospacing="0" w:after="0" w:afterAutospacing="0"/>
                    <w:ind w:left="0" w:right="0"/>
                    <w:rPr>
                      <w:color w:val="auto"/>
                    </w:rPr>
                  </w:pPr>
                </w:p>
              </w:tc>
              <w:tc>
                <w:tcPr>
                  <w:tcW w:w="543" w:type="pct"/>
                  <w:vMerge w:val="continue"/>
                  <w:tcBorders>
                    <w:top w:val="single" w:color="auto" w:sz="8" w:space="0"/>
                  </w:tcBorders>
                  <w:vAlign w:val="center"/>
                </w:tcPr>
                <w:p>
                  <w:pPr>
                    <w:pStyle w:val="28"/>
                    <w:keepNext w:val="0"/>
                    <w:keepLines w:val="0"/>
                    <w:suppressLineNumbers w:val="0"/>
                    <w:bidi w:val="0"/>
                    <w:spacing w:before="0" w:beforeAutospacing="0" w:after="0" w:afterAutospacing="0"/>
                    <w:ind w:left="0" w:right="0"/>
                    <w:rPr>
                      <w:color w:val="auto"/>
                    </w:rPr>
                  </w:pPr>
                </w:p>
              </w:tc>
              <w:tc>
                <w:tcPr>
                  <w:tcW w:w="438" w:type="pct"/>
                  <w:vMerge w:val="continue"/>
                  <w:vAlign w:val="center"/>
                </w:tcPr>
                <w:p>
                  <w:pPr>
                    <w:pStyle w:val="28"/>
                    <w:keepNext w:val="0"/>
                    <w:keepLines w:val="0"/>
                    <w:suppressLineNumbers w:val="0"/>
                    <w:bidi w:val="0"/>
                    <w:spacing w:before="0" w:beforeAutospacing="0" w:after="0" w:afterAutospacing="0"/>
                    <w:ind w:left="0" w:right="0"/>
                    <w:rPr>
                      <w:color w:val="auto"/>
                    </w:rPr>
                  </w:pPr>
                </w:p>
              </w:tc>
              <w:tc>
                <w:tcPr>
                  <w:tcW w:w="438" w:type="pct"/>
                  <w:vMerge w:val="continue"/>
                  <w:tcBorders>
                    <w:top w:val="single" w:color="auto" w:sz="8" w:space="0"/>
                  </w:tcBorders>
                  <w:vAlign w:val="center"/>
                </w:tcPr>
                <w:p>
                  <w:pPr>
                    <w:pStyle w:val="28"/>
                    <w:keepNext w:val="0"/>
                    <w:keepLines w:val="0"/>
                    <w:suppressLineNumbers w:val="0"/>
                    <w:bidi w:val="0"/>
                    <w:spacing w:before="0" w:beforeAutospacing="0" w:after="0" w:afterAutospacing="0"/>
                    <w:ind w:left="0" w:right="0"/>
                    <w:rPr>
                      <w:color w:val="auto"/>
                    </w:rPr>
                  </w:pPr>
                </w:p>
              </w:tc>
              <w:tc>
                <w:tcPr>
                  <w:tcW w:w="442" w:type="pct"/>
                  <w:tcBorders>
                    <w:top w:val="single" w:color="auto" w:sz="4" w:space="0"/>
                  </w:tcBorders>
                  <w:vAlign w:val="center"/>
                </w:tcPr>
                <w:p>
                  <w:pPr>
                    <w:pStyle w:val="28"/>
                    <w:keepNext w:val="0"/>
                    <w:keepLines w:val="0"/>
                    <w:suppressLineNumbers w:val="0"/>
                    <w:bidi w:val="0"/>
                    <w:spacing w:before="0" w:beforeAutospacing="0" w:after="0" w:afterAutospacing="0"/>
                    <w:ind w:left="0" w:right="0"/>
                    <w:rPr>
                      <w:color w:val="auto"/>
                    </w:rPr>
                  </w:pPr>
                  <w:r>
                    <w:rPr>
                      <w:color w:val="auto"/>
                    </w:rPr>
                    <w:t>≤1年</w:t>
                  </w:r>
                </w:p>
              </w:tc>
            </w:tr>
            <w:bookmarkEnd w:id="244"/>
          </w:tbl>
          <w:p>
            <w:pPr>
              <w:keepNext w:val="0"/>
              <w:keepLines w:val="0"/>
              <w:suppressLineNumbers w:val="0"/>
              <w:spacing w:before="0" w:beforeAutospacing="0" w:after="0" w:afterAutospacing="0" w:line="440" w:lineRule="exact"/>
              <w:ind w:left="0" w:right="0" w:firstLine="482" w:firstLineChars="200"/>
              <w:rPr>
                <w:b/>
                <w:color w:val="auto"/>
                <w:sz w:val="24"/>
                <w:szCs w:val="24"/>
                <w:highlight w:val="none"/>
              </w:rPr>
            </w:pPr>
            <w:r>
              <w:rPr>
                <w:rFonts w:hint="eastAsia"/>
                <w:b/>
                <w:color w:val="auto"/>
                <w:sz w:val="24"/>
                <w:szCs w:val="24"/>
                <w:highlight w:val="none"/>
              </w:rPr>
              <w:t>贮存场所污染防治措施：</w:t>
            </w:r>
          </w:p>
          <w:p>
            <w:pPr>
              <w:keepNext w:val="0"/>
              <w:keepLines w:val="0"/>
              <w:suppressLineNumbers w:val="0"/>
              <w:spacing w:before="0" w:beforeAutospacing="0" w:after="0" w:afterAutospacing="0" w:line="440" w:lineRule="exact"/>
              <w:ind w:left="0" w:right="0" w:firstLine="480" w:firstLineChars="200"/>
              <w:rPr>
                <w:rFonts w:eastAsiaTheme="minorEastAsia"/>
                <w:color w:val="auto"/>
                <w:sz w:val="24"/>
                <w:szCs w:val="24"/>
                <w:highlight w:val="none"/>
              </w:rPr>
            </w:pPr>
            <w:r>
              <w:rPr>
                <w:rFonts w:hAnsiTheme="minorEastAsia" w:eastAsiaTheme="minorEastAsia"/>
                <w:color w:val="auto"/>
                <w:sz w:val="24"/>
                <w:szCs w:val="24"/>
                <w:highlight w:val="none"/>
              </w:rPr>
              <w:t>由上表可知，本项目</w:t>
            </w:r>
            <w:r>
              <w:rPr>
                <w:rFonts w:hint="eastAsia" w:hAnsiTheme="minorEastAsia" w:eastAsiaTheme="minorEastAsia"/>
                <w:color w:val="auto"/>
                <w:sz w:val="24"/>
                <w:szCs w:val="24"/>
                <w:highlight w:val="none"/>
              </w:rPr>
              <w:t>产生的</w:t>
            </w:r>
            <w:r>
              <w:rPr>
                <w:rFonts w:hAnsiTheme="minorEastAsia" w:eastAsiaTheme="minorEastAsia"/>
                <w:color w:val="auto"/>
                <w:sz w:val="24"/>
                <w:szCs w:val="24"/>
                <w:highlight w:val="none"/>
              </w:rPr>
              <w:t>危废主要为</w:t>
            </w:r>
            <w:r>
              <w:rPr>
                <w:rFonts w:hint="eastAsia"/>
                <w:color w:val="auto"/>
                <w:sz w:val="24"/>
                <w:szCs w:val="24"/>
                <w:highlight w:val="none"/>
                <w:lang w:eastAsia="zh-CN"/>
              </w:rPr>
              <w:t>废劳保用品、</w:t>
            </w:r>
            <w:r>
              <w:rPr>
                <w:rFonts w:hAnsiTheme="minorEastAsia" w:eastAsiaTheme="minorEastAsia"/>
                <w:color w:val="auto"/>
                <w:sz w:val="24"/>
                <w:szCs w:val="24"/>
                <w:highlight w:val="none"/>
              </w:rPr>
              <w:t>废电解液</w:t>
            </w:r>
            <w:r>
              <w:rPr>
                <w:rFonts w:hint="eastAsia" w:hAnsiTheme="minorEastAsia" w:eastAsiaTheme="minorEastAsia"/>
                <w:color w:val="auto"/>
                <w:sz w:val="24"/>
                <w:szCs w:val="24"/>
                <w:highlight w:val="none"/>
                <w:lang w:val="en-US" w:eastAsia="zh-CN"/>
              </w:rPr>
              <w:t>和</w:t>
            </w:r>
            <w:r>
              <w:rPr>
                <w:rFonts w:hAnsiTheme="minorEastAsia" w:eastAsiaTheme="minorEastAsia"/>
                <w:color w:val="auto"/>
                <w:sz w:val="24"/>
                <w:szCs w:val="24"/>
                <w:highlight w:val="none"/>
              </w:rPr>
              <w:t>废吸收液，产生量合计</w:t>
            </w:r>
            <w:r>
              <w:rPr>
                <w:rFonts w:hint="eastAsia" w:hAnsiTheme="minorEastAsia" w:eastAsiaTheme="minorEastAsia"/>
                <w:color w:val="auto"/>
                <w:sz w:val="24"/>
                <w:szCs w:val="24"/>
                <w:highlight w:val="none"/>
                <w:lang w:val="en-US" w:eastAsia="zh-CN"/>
              </w:rPr>
              <w:t>3.33</w:t>
            </w:r>
            <w:r>
              <w:rPr>
                <w:rFonts w:eastAsiaTheme="minorEastAsia"/>
                <w:color w:val="auto"/>
                <w:sz w:val="24"/>
                <w:szCs w:val="24"/>
                <w:highlight w:val="none"/>
              </w:rPr>
              <w:t>t/a</w:t>
            </w:r>
            <w:r>
              <w:rPr>
                <w:rFonts w:hAnsiTheme="minorEastAsia" w:eastAsiaTheme="minorEastAsia"/>
                <w:color w:val="auto"/>
                <w:sz w:val="24"/>
                <w:szCs w:val="24"/>
                <w:highlight w:val="none"/>
              </w:rPr>
              <w:t>。本项目拟</w:t>
            </w:r>
            <w:r>
              <w:rPr>
                <w:rFonts w:hint="eastAsia" w:hAnsiTheme="minorEastAsia" w:eastAsiaTheme="minorEastAsia"/>
                <w:color w:val="auto"/>
                <w:sz w:val="24"/>
                <w:szCs w:val="24"/>
                <w:highlight w:val="none"/>
              </w:rPr>
              <w:t>在废铅蓄电池仓库内</w:t>
            </w:r>
            <w:r>
              <w:rPr>
                <w:rFonts w:hAnsiTheme="minorEastAsia" w:eastAsiaTheme="minorEastAsia"/>
                <w:color w:val="auto"/>
                <w:sz w:val="24"/>
                <w:szCs w:val="24"/>
                <w:highlight w:val="none"/>
              </w:rPr>
              <w:t>设置一座</w:t>
            </w:r>
            <w:r>
              <w:rPr>
                <w:rFonts w:eastAsiaTheme="minorEastAsia"/>
                <w:color w:val="auto"/>
                <w:sz w:val="24"/>
                <w:szCs w:val="24"/>
                <w:highlight w:val="none"/>
              </w:rPr>
              <w:t>15m</w:t>
            </w:r>
            <w:r>
              <w:rPr>
                <w:rFonts w:eastAsiaTheme="minorEastAsia"/>
                <w:color w:val="auto"/>
                <w:sz w:val="24"/>
                <w:szCs w:val="24"/>
                <w:highlight w:val="none"/>
                <w:vertAlign w:val="superscript"/>
              </w:rPr>
              <w:t>2</w:t>
            </w:r>
            <w:r>
              <w:rPr>
                <w:rFonts w:hAnsiTheme="minorEastAsia" w:eastAsiaTheme="minorEastAsia"/>
                <w:color w:val="auto"/>
                <w:sz w:val="24"/>
                <w:szCs w:val="24"/>
                <w:highlight w:val="none"/>
              </w:rPr>
              <w:t>的危险废物暂存间，</w:t>
            </w:r>
            <w:r>
              <w:rPr>
                <w:rFonts w:hint="eastAsia" w:hAnsiTheme="minorEastAsia" w:eastAsiaTheme="minorEastAsia"/>
                <w:color w:val="auto"/>
                <w:sz w:val="24"/>
                <w:szCs w:val="24"/>
                <w:highlight w:val="none"/>
                <w:lang w:val="en-US" w:eastAsia="zh-CN"/>
              </w:rPr>
              <w:t>废劳保用品、</w:t>
            </w:r>
            <w:r>
              <w:rPr>
                <w:color w:val="auto"/>
                <w:sz w:val="24"/>
                <w:szCs w:val="24"/>
                <w:highlight w:val="none"/>
              </w:rPr>
              <w:t>废电解液、废吸收液</w:t>
            </w:r>
            <w:r>
              <w:rPr>
                <w:rFonts w:hint="eastAsia"/>
                <w:color w:val="auto"/>
                <w:sz w:val="24"/>
                <w:szCs w:val="24"/>
                <w:highlight w:val="none"/>
                <w:lang w:val="en-US" w:eastAsia="zh-CN"/>
              </w:rPr>
              <w:t>暂存于</w:t>
            </w:r>
            <w:r>
              <w:rPr>
                <w:rFonts w:hint="eastAsia" w:hAnsiTheme="minorEastAsia" w:eastAsiaTheme="minorEastAsia"/>
                <w:color w:val="auto"/>
                <w:sz w:val="24"/>
                <w:szCs w:val="24"/>
                <w:highlight w:val="none"/>
                <w:lang w:val="en-US" w:eastAsia="zh-CN"/>
              </w:rPr>
              <w:t>危废暂存间</w:t>
            </w:r>
            <w:r>
              <w:rPr>
                <w:rFonts w:hAnsiTheme="minorEastAsia" w:eastAsiaTheme="minorEastAsia"/>
                <w:color w:val="auto"/>
                <w:sz w:val="24"/>
                <w:szCs w:val="24"/>
                <w:highlight w:val="none"/>
              </w:rPr>
              <w:t>，定期委托有资质单位处理</w:t>
            </w:r>
            <w:r>
              <w:rPr>
                <w:rFonts w:hint="eastAsia" w:hAnsiTheme="minorEastAsia" w:eastAsiaTheme="minorEastAsia"/>
                <w:color w:val="auto"/>
                <w:sz w:val="24"/>
                <w:szCs w:val="24"/>
                <w:highlight w:val="none"/>
                <w:lang w:eastAsia="zh-CN"/>
              </w:rPr>
              <w:t>。</w:t>
            </w:r>
            <w:r>
              <w:rPr>
                <w:rFonts w:hAnsiTheme="minorEastAsia" w:eastAsiaTheme="minorEastAsia"/>
                <w:color w:val="auto"/>
                <w:sz w:val="24"/>
                <w:szCs w:val="24"/>
                <w:highlight w:val="none"/>
              </w:rPr>
              <w:t>评价建议，根据危废产废周期，及时处置。</w:t>
            </w:r>
          </w:p>
          <w:p>
            <w:pPr>
              <w:keepNext w:val="0"/>
              <w:keepLines w:val="0"/>
              <w:suppressLineNumbers w:val="0"/>
              <w:spacing w:before="0" w:beforeAutospacing="0" w:after="0" w:afterAutospacing="0" w:line="440" w:lineRule="exact"/>
              <w:ind w:left="0" w:right="0" w:firstLine="480" w:firstLineChars="200"/>
              <w:rPr>
                <w:rFonts w:eastAsiaTheme="minorEastAsia"/>
                <w:bCs/>
                <w:color w:val="auto"/>
                <w:sz w:val="24"/>
                <w:szCs w:val="24"/>
                <w:highlight w:val="none"/>
              </w:rPr>
            </w:pPr>
            <w:r>
              <w:rPr>
                <w:rFonts w:hint="eastAsia" w:hAnsiTheme="minorEastAsia" w:eastAsiaTheme="minorEastAsia"/>
                <w:bCs/>
                <w:color w:val="auto"/>
                <w:sz w:val="24"/>
                <w:szCs w:val="24"/>
                <w:highlight w:val="none"/>
                <w:lang w:val="en-US" w:eastAsia="zh-CN"/>
              </w:rPr>
              <w:t>危废暂存间</w:t>
            </w:r>
            <w:r>
              <w:rPr>
                <w:rFonts w:hAnsiTheme="minorEastAsia" w:eastAsiaTheme="minorEastAsia"/>
                <w:color w:val="auto"/>
                <w:sz w:val="24"/>
                <w:szCs w:val="24"/>
                <w:highlight w:val="none"/>
              </w:rPr>
              <w:t>应根据</w:t>
            </w:r>
            <w:r>
              <w:rPr>
                <w:rFonts w:hAnsiTheme="minorEastAsia" w:eastAsiaTheme="minorEastAsia"/>
                <w:bCs/>
                <w:color w:val="auto"/>
                <w:sz w:val="24"/>
                <w:szCs w:val="24"/>
                <w:highlight w:val="none"/>
              </w:rPr>
              <w:t>《危险废物贮存污染控制标准》（</w:t>
            </w:r>
            <w:r>
              <w:rPr>
                <w:rFonts w:eastAsiaTheme="minorEastAsia"/>
                <w:bCs/>
                <w:color w:val="auto"/>
                <w:sz w:val="24"/>
                <w:szCs w:val="24"/>
                <w:highlight w:val="none"/>
              </w:rPr>
              <w:t>GB18597-2023</w:t>
            </w:r>
            <w:r>
              <w:rPr>
                <w:rFonts w:hAnsiTheme="minorEastAsia" w:eastAsiaTheme="minorEastAsia"/>
                <w:bCs/>
                <w:color w:val="auto"/>
                <w:sz w:val="24"/>
                <w:szCs w:val="24"/>
                <w:highlight w:val="none"/>
              </w:rPr>
              <w:t>）</w:t>
            </w:r>
            <w:r>
              <w:rPr>
                <w:rFonts w:hAnsiTheme="minorEastAsia" w:eastAsiaTheme="minorEastAsia"/>
                <w:color w:val="auto"/>
                <w:sz w:val="24"/>
                <w:szCs w:val="24"/>
                <w:highlight w:val="none"/>
              </w:rPr>
              <w:t>、《建设项目危险废物环境影响评价指南》（环保部公告</w:t>
            </w:r>
            <w:r>
              <w:rPr>
                <w:rFonts w:eastAsiaTheme="minorEastAsia"/>
                <w:color w:val="auto"/>
                <w:sz w:val="24"/>
                <w:szCs w:val="24"/>
                <w:highlight w:val="none"/>
              </w:rPr>
              <w:t>2017</w:t>
            </w:r>
            <w:r>
              <w:rPr>
                <w:rFonts w:hAnsiTheme="minorEastAsia" w:eastAsiaTheme="minorEastAsia"/>
                <w:color w:val="auto"/>
                <w:sz w:val="24"/>
                <w:szCs w:val="24"/>
                <w:highlight w:val="none"/>
              </w:rPr>
              <w:t>年第</w:t>
            </w:r>
            <w:r>
              <w:rPr>
                <w:rFonts w:eastAsiaTheme="minorEastAsia"/>
                <w:color w:val="auto"/>
                <w:sz w:val="24"/>
                <w:szCs w:val="24"/>
                <w:highlight w:val="none"/>
              </w:rPr>
              <w:t>43</w:t>
            </w:r>
            <w:r>
              <w:rPr>
                <w:rFonts w:hAnsiTheme="minorEastAsia" w:eastAsiaTheme="minorEastAsia"/>
                <w:color w:val="auto"/>
                <w:sz w:val="24"/>
                <w:szCs w:val="24"/>
                <w:highlight w:val="none"/>
              </w:rPr>
              <w:t>号）中的相关规定要求进行建设，本次评价建议企业采取以下措施：</w:t>
            </w:r>
          </w:p>
          <w:p>
            <w:pPr>
              <w:keepNext w:val="0"/>
              <w:keepLines w:val="0"/>
              <w:suppressLineNumbers w:val="0"/>
              <w:spacing w:before="0" w:beforeAutospacing="0" w:after="0" w:afterAutospacing="0" w:line="440" w:lineRule="exact"/>
              <w:ind w:left="0" w:right="0" w:firstLine="480" w:firstLineChars="200"/>
              <w:rPr>
                <w:rFonts w:eastAsiaTheme="minorEastAsia"/>
                <w:color w:val="auto"/>
                <w:sz w:val="24"/>
                <w:szCs w:val="24"/>
                <w:highlight w:val="none"/>
              </w:rPr>
            </w:pPr>
            <w:r>
              <w:rPr>
                <w:rFonts w:eastAsiaTheme="minorEastAsia"/>
                <w:color w:val="auto"/>
                <w:sz w:val="24"/>
                <w:szCs w:val="24"/>
                <w:highlight w:val="none"/>
              </w:rPr>
              <w:fldChar w:fldCharType="begin"/>
            </w:r>
            <w:r>
              <w:rPr>
                <w:rFonts w:eastAsiaTheme="minorEastAsia"/>
                <w:color w:val="auto"/>
                <w:sz w:val="24"/>
                <w:szCs w:val="24"/>
                <w:highlight w:val="none"/>
              </w:rPr>
              <w:instrText xml:space="preserve"> = 1 \* GB3 </w:instrText>
            </w:r>
            <w:r>
              <w:rPr>
                <w:rFonts w:eastAsiaTheme="minorEastAsia"/>
                <w:color w:val="auto"/>
                <w:sz w:val="24"/>
                <w:szCs w:val="24"/>
                <w:highlight w:val="none"/>
              </w:rPr>
              <w:fldChar w:fldCharType="separate"/>
            </w:r>
            <w:r>
              <w:rPr>
                <w:rFonts w:asciiTheme="minorEastAsia" w:hAnsiTheme="minorEastAsia" w:eastAsiaTheme="minorEastAsia"/>
                <w:color w:val="auto"/>
                <w:sz w:val="24"/>
                <w:szCs w:val="24"/>
                <w:highlight w:val="none"/>
              </w:rPr>
              <w:t>①</w:t>
            </w:r>
            <w:r>
              <w:rPr>
                <w:rFonts w:eastAsiaTheme="minorEastAsia"/>
                <w:color w:val="auto"/>
                <w:sz w:val="24"/>
                <w:szCs w:val="24"/>
                <w:highlight w:val="none"/>
              </w:rPr>
              <w:fldChar w:fldCharType="end"/>
            </w:r>
            <w:r>
              <w:rPr>
                <w:rFonts w:hAnsiTheme="minorEastAsia" w:eastAsiaTheme="minorEastAsia"/>
                <w:color w:val="auto"/>
                <w:sz w:val="24"/>
                <w:szCs w:val="24"/>
                <w:highlight w:val="none"/>
              </w:rPr>
              <w:t>危险废物的临时堆场的地面均应进行硬化，应有防渗漏、防风、防晒、防雨淋设施。危险废物临时堆场还应建有堵截泄漏的裙脚，地面与裙脚要用坚固防渗的材料建造，堆场内的地面应耐腐蚀、无裂隙，设专人看管。</w:t>
            </w:r>
          </w:p>
          <w:p>
            <w:pPr>
              <w:keepNext w:val="0"/>
              <w:keepLines w:val="0"/>
              <w:suppressLineNumbers w:val="0"/>
              <w:spacing w:before="0" w:beforeAutospacing="0" w:after="0" w:afterAutospacing="0" w:line="440" w:lineRule="exact"/>
              <w:ind w:left="0" w:right="0" w:firstLine="480" w:firstLineChars="200"/>
              <w:rPr>
                <w:rFonts w:eastAsiaTheme="minorEastAsia"/>
                <w:color w:val="auto"/>
                <w:sz w:val="24"/>
                <w:szCs w:val="24"/>
                <w:highlight w:val="none"/>
              </w:rPr>
            </w:pPr>
            <w:r>
              <w:rPr>
                <w:rFonts w:eastAsiaTheme="minorEastAsia"/>
                <w:color w:val="auto"/>
                <w:sz w:val="24"/>
                <w:szCs w:val="24"/>
                <w:highlight w:val="none"/>
              </w:rPr>
              <w:fldChar w:fldCharType="begin"/>
            </w:r>
            <w:r>
              <w:rPr>
                <w:rFonts w:eastAsiaTheme="minorEastAsia"/>
                <w:color w:val="auto"/>
                <w:sz w:val="24"/>
                <w:szCs w:val="24"/>
                <w:highlight w:val="none"/>
              </w:rPr>
              <w:instrText xml:space="preserve"> = 2 \* GB3 </w:instrText>
            </w:r>
            <w:r>
              <w:rPr>
                <w:rFonts w:eastAsiaTheme="minorEastAsia"/>
                <w:color w:val="auto"/>
                <w:sz w:val="24"/>
                <w:szCs w:val="24"/>
                <w:highlight w:val="none"/>
              </w:rPr>
              <w:fldChar w:fldCharType="separate"/>
            </w:r>
            <w:r>
              <w:rPr>
                <w:rFonts w:asciiTheme="minorEastAsia" w:hAnsiTheme="minorEastAsia" w:eastAsiaTheme="minorEastAsia"/>
                <w:color w:val="auto"/>
                <w:sz w:val="24"/>
                <w:szCs w:val="24"/>
                <w:highlight w:val="none"/>
              </w:rPr>
              <w:t>②</w:t>
            </w:r>
            <w:r>
              <w:rPr>
                <w:rFonts w:eastAsiaTheme="minorEastAsia"/>
                <w:color w:val="auto"/>
                <w:sz w:val="24"/>
                <w:szCs w:val="24"/>
                <w:highlight w:val="none"/>
              </w:rPr>
              <w:fldChar w:fldCharType="end"/>
            </w:r>
            <w:r>
              <w:rPr>
                <w:rFonts w:hAnsiTheme="minorEastAsia" w:eastAsiaTheme="minorEastAsia"/>
                <w:color w:val="auto"/>
                <w:sz w:val="24"/>
                <w:szCs w:val="24"/>
                <w:highlight w:val="none"/>
              </w:rPr>
              <w:t>危险废物容器内应留一定空间。</w:t>
            </w:r>
          </w:p>
          <w:p>
            <w:pPr>
              <w:keepNext w:val="0"/>
              <w:keepLines w:val="0"/>
              <w:suppressLineNumbers w:val="0"/>
              <w:spacing w:before="0" w:beforeAutospacing="0" w:after="0" w:afterAutospacing="0" w:line="440" w:lineRule="exact"/>
              <w:ind w:left="0" w:right="0" w:firstLine="480" w:firstLineChars="200"/>
              <w:rPr>
                <w:color w:val="auto"/>
                <w:sz w:val="24"/>
                <w:szCs w:val="24"/>
                <w:highlight w:val="none"/>
              </w:rPr>
            </w:pPr>
            <w:r>
              <w:rPr>
                <w:rFonts w:eastAsiaTheme="minorEastAsia"/>
                <w:color w:val="auto"/>
                <w:sz w:val="24"/>
                <w:szCs w:val="24"/>
                <w:highlight w:val="none"/>
              </w:rPr>
              <w:fldChar w:fldCharType="begin"/>
            </w:r>
            <w:r>
              <w:rPr>
                <w:rFonts w:eastAsiaTheme="minorEastAsia"/>
                <w:color w:val="auto"/>
                <w:sz w:val="24"/>
                <w:szCs w:val="24"/>
                <w:highlight w:val="none"/>
              </w:rPr>
              <w:instrText xml:space="preserve"> = 3 \* GB3 </w:instrText>
            </w:r>
            <w:r>
              <w:rPr>
                <w:rFonts w:eastAsiaTheme="minorEastAsia"/>
                <w:color w:val="auto"/>
                <w:sz w:val="24"/>
                <w:szCs w:val="24"/>
                <w:highlight w:val="none"/>
              </w:rPr>
              <w:fldChar w:fldCharType="separate"/>
            </w:r>
            <w:r>
              <w:rPr>
                <w:rFonts w:hAnsiTheme="minorEastAsia" w:eastAsiaTheme="minorEastAsia"/>
                <w:color w:val="auto"/>
                <w:sz w:val="24"/>
                <w:szCs w:val="24"/>
                <w:highlight w:val="none"/>
              </w:rPr>
              <w:t>③</w:t>
            </w:r>
            <w:r>
              <w:rPr>
                <w:rFonts w:eastAsiaTheme="minorEastAsia"/>
                <w:color w:val="auto"/>
                <w:sz w:val="24"/>
                <w:szCs w:val="24"/>
                <w:highlight w:val="none"/>
              </w:rPr>
              <w:fldChar w:fldCharType="end"/>
            </w:r>
            <w:r>
              <w:rPr>
                <w:rFonts w:hAnsiTheme="minorEastAsia" w:eastAsiaTheme="minorEastAsia"/>
                <w:color w:val="auto"/>
                <w:sz w:val="24"/>
                <w:szCs w:val="24"/>
                <w:highlight w:val="none"/>
              </w:rPr>
              <w:t>各种盛装废物的容器必须完好无损，各个危险废物容器外侧须标明危险废物</w:t>
            </w:r>
            <w:r>
              <w:rPr>
                <w:color w:val="auto"/>
                <w:sz w:val="24"/>
                <w:szCs w:val="24"/>
                <w:highlight w:val="none"/>
              </w:rPr>
              <w:t>的名称，存入时间、重量、成分、特性以及发生泄漏、扩散污染事故时的应急措施和补救方法。</w:t>
            </w:r>
          </w:p>
          <w:p>
            <w:pPr>
              <w:keepNext w:val="0"/>
              <w:keepLines w:val="0"/>
              <w:suppressLineNumbers w:val="0"/>
              <w:spacing w:before="0" w:beforeAutospacing="0" w:after="0" w:afterAutospacing="0" w:line="440" w:lineRule="exact"/>
              <w:ind w:left="0" w:right="0" w:firstLine="480" w:firstLineChars="200"/>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 4 \* GB3 </w:instrText>
            </w:r>
            <w:r>
              <w:rPr>
                <w:color w:val="auto"/>
                <w:sz w:val="24"/>
                <w:szCs w:val="24"/>
                <w:highlight w:val="none"/>
              </w:rPr>
              <w:fldChar w:fldCharType="separate"/>
            </w:r>
            <w:r>
              <w:rPr>
                <w:rFonts w:hint="eastAsia" w:ascii="宋体" w:hAnsi="宋体" w:cs="宋体"/>
                <w:color w:val="auto"/>
                <w:sz w:val="24"/>
                <w:szCs w:val="24"/>
                <w:highlight w:val="none"/>
              </w:rPr>
              <w:t>④</w:t>
            </w:r>
            <w:r>
              <w:rPr>
                <w:color w:val="auto"/>
                <w:sz w:val="24"/>
                <w:szCs w:val="24"/>
                <w:highlight w:val="none"/>
              </w:rPr>
              <w:fldChar w:fldCharType="end"/>
            </w:r>
            <w:r>
              <w:rPr>
                <w:color w:val="auto"/>
                <w:sz w:val="24"/>
                <w:szCs w:val="24"/>
                <w:highlight w:val="none"/>
              </w:rPr>
              <w:t>危险废物暂存间应设立危险废物标志。形状：等边三角形，边长40cm；颜色：背景为黄色，图形为黑色；警告标志外檐2.5cm，材料应坚固、耐用、抗风化、抗淋蚀，如出现掉色、破损等情况应及时更换。</w:t>
            </w:r>
          </w:p>
          <w:p>
            <w:pPr>
              <w:keepNext w:val="0"/>
              <w:keepLines w:val="0"/>
              <w:suppressLineNumbers w:val="0"/>
              <w:spacing w:before="0" w:beforeAutospacing="0" w:after="0" w:afterAutospacing="0" w:line="440" w:lineRule="exact"/>
              <w:ind w:left="0" w:right="0" w:firstLine="480" w:firstLineChars="200"/>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 5 \* GB3 </w:instrText>
            </w:r>
            <w:r>
              <w:rPr>
                <w:color w:val="auto"/>
                <w:sz w:val="24"/>
                <w:szCs w:val="24"/>
                <w:highlight w:val="none"/>
              </w:rPr>
              <w:fldChar w:fldCharType="separate"/>
            </w:r>
            <w:r>
              <w:rPr>
                <w:rFonts w:hint="eastAsia" w:ascii="宋体" w:hAnsi="宋体" w:cs="宋体"/>
                <w:color w:val="auto"/>
                <w:sz w:val="24"/>
                <w:szCs w:val="24"/>
                <w:highlight w:val="none"/>
              </w:rPr>
              <w:t>⑤</w:t>
            </w:r>
            <w:r>
              <w:rPr>
                <w:color w:val="auto"/>
                <w:sz w:val="24"/>
                <w:szCs w:val="24"/>
                <w:highlight w:val="none"/>
              </w:rPr>
              <w:fldChar w:fldCharType="end"/>
            </w:r>
            <w:r>
              <w:rPr>
                <w:color w:val="auto"/>
                <w:sz w:val="24"/>
                <w:szCs w:val="24"/>
                <w:highlight w:val="none"/>
              </w:rPr>
              <w:t>各危险废物在厂区内临时堆存时间不得超过一年。</w:t>
            </w:r>
          </w:p>
          <w:p>
            <w:pPr>
              <w:keepNext w:val="0"/>
              <w:keepLines w:val="0"/>
              <w:suppressLineNumbers w:val="0"/>
              <w:spacing w:before="0" w:beforeAutospacing="0" w:after="0" w:afterAutospacing="0" w:line="440" w:lineRule="exact"/>
              <w:ind w:left="0" w:right="0" w:firstLine="482" w:firstLineChars="200"/>
              <w:rPr>
                <w:b/>
                <w:color w:val="auto"/>
                <w:sz w:val="24"/>
                <w:szCs w:val="24"/>
                <w:highlight w:val="none"/>
              </w:rPr>
            </w:pPr>
            <w:r>
              <w:rPr>
                <w:rFonts w:hint="eastAsia"/>
                <w:b/>
                <w:color w:val="auto"/>
                <w:sz w:val="24"/>
                <w:szCs w:val="24"/>
                <w:highlight w:val="none"/>
              </w:rPr>
              <w:t>运输转运污染防治措施：</w:t>
            </w:r>
          </w:p>
          <w:p>
            <w:pPr>
              <w:keepNext w:val="0"/>
              <w:keepLines w:val="0"/>
              <w:suppressLineNumbers w:val="0"/>
              <w:spacing w:before="0" w:beforeAutospacing="0" w:after="0" w:afterAutospacing="0" w:line="440" w:lineRule="exact"/>
              <w:ind w:left="0" w:right="0" w:firstLine="480" w:firstLineChars="200"/>
              <w:rPr>
                <w:color w:val="auto"/>
                <w:sz w:val="24"/>
                <w:szCs w:val="24"/>
                <w:highlight w:val="none"/>
              </w:rPr>
            </w:pPr>
            <w:r>
              <w:rPr>
                <w:rFonts w:hint="eastAsia" w:hAnsiTheme="minorEastAsia" w:eastAsiaTheme="minorEastAsia"/>
                <w:bCs/>
                <w:color w:val="auto"/>
                <w:sz w:val="24"/>
                <w:szCs w:val="24"/>
                <w:highlight w:val="none"/>
                <w:lang w:val="en-US" w:eastAsia="zh-CN"/>
              </w:rPr>
              <w:t>危废暂存间</w:t>
            </w:r>
            <w:r>
              <w:rPr>
                <w:rFonts w:hint="eastAsia"/>
                <w:color w:val="auto"/>
                <w:sz w:val="24"/>
                <w:szCs w:val="24"/>
                <w:highlight w:val="none"/>
              </w:rPr>
              <w:t>设置于车间内，运输距离较短，在此段运输过程中产生泄漏等风险的概率极小；危险废物委托有资质单位进行处置，转运由危废处置单位进厂外运，采用危险废物专用运输车辆进行运输，不会在转运过程中产生二次污染。为进一步加强废物运输转运过程中的污染防治，评价提出以下要求：</w:t>
            </w:r>
          </w:p>
          <w:p>
            <w:pPr>
              <w:keepNext w:val="0"/>
              <w:keepLines w:val="0"/>
              <w:suppressLineNumbers w:val="0"/>
              <w:spacing w:before="0" w:beforeAutospacing="0" w:after="0" w:afterAutospacing="0" w:line="440" w:lineRule="exact"/>
              <w:ind w:left="0" w:right="0" w:firstLine="480" w:firstLineChars="200"/>
              <w:rPr>
                <w:color w:val="auto"/>
                <w:sz w:val="24"/>
                <w:szCs w:val="24"/>
                <w:highlight w:val="none"/>
              </w:rPr>
            </w:pPr>
            <w:r>
              <w:rPr>
                <w:rFonts w:hint="eastAsia"/>
                <w:color w:val="auto"/>
                <w:sz w:val="24"/>
                <w:szCs w:val="24"/>
                <w:highlight w:val="none"/>
              </w:rPr>
              <w:t>①危险固废严禁直接丢弃，不得私自将危险废物外运，危险废物外运工作由处置单位进厂进行外运作业；</w:t>
            </w:r>
          </w:p>
          <w:p>
            <w:pPr>
              <w:keepNext w:val="0"/>
              <w:keepLines w:val="0"/>
              <w:suppressLineNumbers w:val="0"/>
              <w:spacing w:before="0" w:beforeAutospacing="0" w:after="0" w:afterAutospacing="0" w:line="440" w:lineRule="exact"/>
              <w:ind w:left="0" w:right="0" w:firstLine="480" w:firstLineChars="200"/>
              <w:rPr>
                <w:color w:val="auto"/>
                <w:sz w:val="24"/>
                <w:szCs w:val="24"/>
                <w:highlight w:val="none"/>
              </w:rPr>
            </w:pPr>
            <w:r>
              <w:rPr>
                <w:rFonts w:hint="eastAsia"/>
                <w:color w:val="auto"/>
                <w:sz w:val="24"/>
                <w:szCs w:val="24"/>
                <w:highlight w:val="none"/>
              </w:rPr>
              <w:t>②交予处置的危险废物实行危险废物转运联单管理制度；</w:t>
            </w:r>
          </w:p>
          <w:p>
            <w:pPr>
              <w:keepNext w:val="0"/>
              <w:keepLines w:val="0"/>
              <w:suppressLineNumbers w:val="0"/>
              <w:spacing w:before="0" w:beforeAutospacing="0" w:after="0" w:afterAutospacing="0" w:line="440" w:lineRule="exact"/>
              <w:ind w:left="0" w:right="0" w:firstLine="480" w:firstLineChars="200"/>
              <w:rPr>
                <w:color w:val="auto"/>
                <w:sz w:val="24"/>
                <w:szCs w:val="24"/>
                <w:highlight w:val="none"/>
              </w:rPr>
            </w:pPr>
            <w:r>
              <w:rPr>
                <w:rFonts w:hint="eastAsia"/>
                <w:color w:val="auto"/>
                <w:sz w:val="24"/>
                <w:szCs w:val="24"/>
                <w:highlight w:val="none"/>
              </w:rPr>
              <w:t>③建立台账，由专人负责，如实记载产生危险废物的种类、数量、流向、贮存、利用处置等信息，危险废物台账在危险废物回取后应继续保留5年以上。</w:t>
            </w:r>
          </w:p>
          <w:p>
            <w:pPr>
              <w:keepNext w:val="0"/>
              <w:keepLines w:val="0"/>
              <w:suppressLineNumbers w:val="0"/>
              <w:bidi w:val="0"/>
              <w:spacing w:before="0" w:beforeAutospacing="0" w:after="0" w:afterAutospacing="0" w:line="360" w:lineRule="auto"/>
              <w:ind w:left="0" w:right="0" w:firstLine="480" w:firstLineChars="200"/>
              <w:jc w:val="both"/>
              <w:rPr>
                <w:rFonts w:hint="default" w:ascii="Times New Roman" w:hAnsi="Times New Roman" w:eastAsia="宋体" w:cs="Times New Roman"/>
                <w:b/>
                <w:bCs/>
                <w:color w:val="auto"/>
                <w:sz w:val="24"/>
                <w:highlight w:val="none"/>
                <w:lang w:val="en-US" w:eastAsia="zh-CN"/>
              </w:rPr>
            </w:pPr>
            <w:r>
              <w:rPr>
                <w:color w:val="auto"/>
                <w:sz w:val="24"/>
                <w:szCs w:val="24"/>
                <w:highlight w:val="none"/>
              </w:rPr>
              <w:t>项目产生的各种固废均有合理的处置方式，固废处置率可以达到100%，评价认为，固废不会对周围环境造成影响。</w:t>
            </w:r>
          </w:p>
          <w:p>
            <w:pPr>
              <w:keepNext w:val="0"/>
              <w:keepLines w:val="0"/>
              <w:suppressLineNumbers w:val="0"/>
              <w:bidi w:val="0"/>
              <w:spacing w:before="0" w:beforeAutospacing="0" w:after="0" w:afterAutospacing="0"/>
              <w:ind w:left="0" w:right="0"/>
              <w:rPr>
                <w:rFonts w:hint="default"/>
                <w:b/>
                <w:bCs/>
                <w:color w:val="auto"/>
                <w:lang w:val="en-US" w:eastAsia="zh-CN"/>
              </w:rPr>
            </w:pPr>
            <w:r>
              <w:rPr>
                <w:rFonts w:hint="default"/>
                <w:b/>
                <w:bCs/>
                <w:color w:val="auto"/>
                <w:lang w:val="en-US" w:eastAsia="zh-CN"/>
              </w:rPr>
              <w:t>五、地下水、土壤</w:t>
            </w:r>
          </w:p>
          <w:p>
            <w:pPr>
              <w:keepNext w:val="0"/>
              <w:keepLines w:val="0"/>
              <w:suppressLineNumbers w:val="0"/>
              <w:bidi w:val="0"/>
              <w:spacing w:before="0" w:beforeAutospacing="0" w:after="0" w:afterAutospacing="0"/>
              <w:ind w:left="0" w:right="0"/>
              <w:rPr>
                <w:b/>
                <w:bCs/>
                <w:color w:val="auto"/>
              </w:rPr>
            </w:pPr>
            <w:r>
              <w:rPr>
                <w:rFonts w:hint="eastAsia"/>
                <w:b/>
                <w:bCs/>
                <w:color w:val="auto"/>
                <w:lang w:val="en-US" w:eastAsia="zh-CN"/>
              </w:rPr>
              <w:t>1.</w:t>
            </w:r>
            <w:r>
              <w:rPr>
                <w:b/>
                <w:bCs/>
                <w:color w:val="auto"/>
              </w:rPr>
              <w:t>地下水、土壤环境污染途径</w:t>
            </w:r>
          </w:p>
          <w:p>
            <w:pPr>
              <w:keepNext w:val="0"/>
              <w:keepLines w:val="0"/>
              <w:suppressLineNumbers w:val="0"/>
              <w:bidi w:val="0"/>
              <w:spacing w:before="0" w:beforeAutospacing="0" w:after="0" w:afterAutospacing="0"/>
              <w:ind w:left="0" w:right="0"/>
              <w:rPr>
                <w:color w:val="auto"/>
                <w:highlight w:val="green"/>
              </w:rPr>
            </w:pPr>
            <w:r>
              <w:rPr>
                <w:color w:val="auto"/>
              </w:rPr>
              <w:t>本项目地下水、土壤污染源为</w:t>
            </w:r>
            <w:r>
              <w:rPr>
                <w:color w:val="auto"/>
                <w:highlight w:val="none"/>
              </w:rPr>
              <w:t>废铅蓄电池</w:t>
            </w:r>
            <w:r>
              <w:rPr>
                <w:rFonts w:hint="eastAsia"/>
                <w:color w:val="auto"/>
                <w:highlight w:val="none"/>
                <w:lang w:val="en-US" w:eastAsia="zh-CN"/>
              </w:rPr>
              <w:t>储存</w:t>
            </w:r>
            <w:r>
              <w:rPr>
                <w:color w:val="auto"/>
                <w:highlight w:val="none"/>
              </w:rPr>
              <w:t>区。主要污染物为废电解液，可能造成的地下水、土壤污染途径包括：</w:t>
            </w:r>
          </w:p>
          <w:p>
            <w:pPr>
              <w:keepNext w:val="0"/>
              <w:keepLines w:val="0"/>
              <w:suppressLineNumbers w:val="0"/>
              <w:bidi w:val="0"/>
              <w:spacing w:before="0" w:beforeAutospacing="0" w:after="0" w:afterAutospacing="0"/>
              <w:ind w:left="0" w:right="0"/>
              <w:rPr>
                <w:color w:val="auto"/>
              </w:rPr>
            </w:pPr>
            <w:r>
              <w:rPr>
                <w:color w:val="auto"/>
              </w:rPr>
              <w:t>①正常状况下，</w:t>
            </w:r>
            <w:bookmarkStart w:id="245" w:name="OLE_LINK263"/>
            <w:r>
              <w:rPr>
                <w:rFonts w:hint="eastAsia"/>
                <w:color w:val="auto"/>
                <w:lang w:val="en-US" w:eastAsia="zh-CN"/>
              </w:rPr>
              <w:t>储存</w:t>
            </w:r>
            <w:r>
              <w:rPr>
                <w:color w:val="auto"/>
              </w:rPr>
              <w:t>区</w:t>
            </w:r>
            <w:bookmarkEnd w:id="245"/>
            <w:r>
              <w:rPr>
                <w:color w:val="auto"/>
              </w:rPr>
              <w:t>各分区废铅蓄电池贮存于容器中，</w:t>
            </w:r>
            <w:r>
              <w:rPr>
                <w:rFonts w:hint="eastAsia"/>
                <w:color w:val="auto"/>
                <w:lang w:val="en-US" w:eastAsia="zh-CN"/>
              </w:rPr>
              <w:t>储存</w:t>
            </w:r>
            <w:r>
              <w:rPr>
                <w:color w:val="auto"/>
              </w:rPr>
              <w:t>区</w:t>
            </w:r>
            <w:r>
              <w:rPr>
                <w:rFonts w:hint="eastAsia"/>
                <w:color w:val="auto"/>
                <w:lang w:eastAsia="zh-CN"/>
              </w:rPr>
              <w:t>、</w:t>
            </w:r>
            <w:r>
              <w:rPr>
                <w:color w:val="auto"/>
              </w:rPr>
              <w:t>导流槽、收集池及地面均进行了防渗处理，几乎不会对地下水环境造成影响。</w:t>
            </w:r>
          </w:p>
          <w:p>
            <w:pPr>
              <w:keepNext w:val="0"/>
              <w:keepLines w:val="0"/>
              <w:suppressLineNumbers w:val="0"/>
              <w:bidi w:val="0"/>
              <w:spacing w:before="0" w:beforeAutospacing="0" w:after="0" w:afterAutospacing="0"/>
              <w:ind w:left="0" w:right="0"/>
              <w:rPr>
                <w:color w:val="auto"/>
              </w:rPr>
            </w:pPr>
            <w:r>
              <w:rPr>
                <w:color w:val="auto"/>
              </w:rPr>
              <w:t>②非正常状况下：含有电解液的</w:t>
            </w:r>
            <w:r>
              <w:rPr>
                <w:rFonts w:hint="eastAsia"/>
                <w:color w:val="auto"/>
                <w:lang w:val="en-US" w:eastAsia="zh-CN"/>
              </w:rPr>
              <w:t>储存</w:t>
            </w:r>
            <w:r>
              <w:rPr>
                <w:color w:val="auto"/>
              </w:rPr>
              <w:t>容器破损或地面防渗系统发生因老化、腐蚀等情况，电解液贮存泄漏至地面，清理不及时，渗漏入表层土壤，进而迁移入深层地下水层，从而导致地下水及土壤污染。</w:t>
            </w:r>
          </w:p>
          <w:p>
            <w:pPr>
              <w:keepNext w:val="0"/>
              <w:keepLines w:val="0"/>
              <w:suppressLineNumbers w:val="0"/>
              <w:bidi w:val="0"/>
              <w:spacing w:before="0" w:beforeAutospacing="0" w:after="0" w:afterAutospacing="0"/>
              <w:ind w:left="0" w:right="0"/>
              <w:rPr>
                <w:b/>
                <w:bCs/>
                <w:color w:val="auto"/>
              </w:rPr>
            </w:pPr>
            <w:r>
              <w:rPr>
                <w:b/>
                <w:bCs/>
                <w:color w:val="auto"/>
                <w:lang w:val="en-US" w:eastAsia="zh-CN"/>
              </w:rPr>
              <w:t>2.</w:t>
            </w:r>
            <w:r>
              <w:rPr>
                <w:b/>
                <w:bCs/>
                <w:color w:val="auto"/>
              </w:rPr>
              <w:t>地下水、土壤污染防治措施</w:t>
            </w:r>
          </w:p>
          <w:p>
            <w:pPr>
              <w:keepNext w:val="0"/>
              <w:keepLines w:val="0"/>
              <w:suppressLineNumbers w:val="0"/>
              <w:bidi w:val="0"/>
              <w:spacing w:before="0" w:beforeAutospacing="0" w:after="0" w:afterAutospacing="0"/>
              <w:ind w:left="0" w:right="0"/>
              <w:rPr>
                <w:color w:val="auto"/>
              </w:rPr>
            </w:pPr>
            <w:r>
              <w:rPr>
                <w:color w:val="auto"/>
              </w:rPr>
              <w:t>（1）源头控制措施</w:t>
            </w:r>
          </w:p>
          <w:p>
            <w:pPr>
              <w:keepNext w:val="0"/>
              <w:keepLines w:val="0"/>
              <w:suppressLineNumbers w:val="0"/>
              <w:bidi w:val="0"/>
              <w:spacing w:before="0" w:beforeAutospacing="0" w:after="0" w:afterAutospacing="0"/>
              <w:ind w:left="0" w:right="0"/>
              <w:rPr>
                <w:color w:val="auto"/>
              </w:rPr>
            </w:pPr>
            <w:r>
              <w:rPr>
                <w:color w:val="auto"/>
              </w:rPr>
              <w:t>本项目实施有效的防渗措施，从源头上控制污染，废铅蓄电池</w:t>
            </w:r>
            <w:r>
              <w:rPr>
                <w:rFonts w:hint="eastAsia"/>
                <w:color w:val="auto"/>
                <w:lang w:val="en-US" w:eastAsia="zh-CN"/>
              </w:rPr>
              <w:t>储存</w:t>
            </w:r>
            <w:r>
              <w:rPr>
                <w:color w:val="auto"/>
              </w:rPr>
              <w:t>容器尽量采用“可视化”原则，</w:t>
            </w:r>
            <w:bookmarkStart w:id="246" w:name="OLE_LINK271"/>
            <w:r>
              <w:rPr>
                <w:rFonts w:hint="eastAsia"/>
                <w:color w:val="auto"/>
                <w:lang w:val="en-US" w:eastAsia="zh-CN"/>
              </w:rPr>
              <w:t>完整电池先用塑料薄膜包装后再装入</w:t>
            </w:r>
            <w:r>
              <w:rPr>
                <w:color w:val="auto"/>
                <w:highlight w:val="none"/>
              </w:rPr>
              <w:t>塑料托盘</w:t>
            </w:r>
            <w:r>
              <w:rPr>
                <w:rFonts w:hint="eastAsia"/>
                <w:color w:val="auto"/>
                <w:highlight w:val="none"/>
                <w:lang w:val="en-US" w:eastAsia="zh-CN"/>
              </w:rPr>
              <w:t>中储存</w:t>
            </w:r>
            <w:bookmarkEnd w:id="246"/>
            <w:r>
              <w:rPr>
                <w:rFonts w:hint="eastAsia"/>
                <w:color w:val="auto"/>
                <w:highlight w:val="none"/>
                <w:lang w:eastAsia="zh-CN"/>
              </w:rPr>
              <w:t>，</w:t>
            </w:r>
            <w:r>
              <w:rPr>
                <w:rFonts w:hint="eastAsia"/>
                <w:color w:val="auto"/>
                <w:highlight w:val="none"/>
                <w:lang w:val="en-US" w:eastAsia="zh-CN"/>
              </w:rPr>
              <w:t>破碎电池采用</w:t>
            </w:r>
            <w:r>
              <w:rPr>
                <w:color w:val="auto"/>
                <w:highlight w:val="none"/>
              </w:rPr>
              <w:t>破损电池储存</w:t>
            </w:r>
            <w:r>
              <w:rPr>
                <w:rFonts w:hint="eastAsia"/>
                <w:color w:val="auto"/>
                <w:highlight w:val="none"/>
              </w:rPr>
              <w:t>箱</w:t>
            </w:r>
            <w:r>
              <w:rPr>
                <w:rFonts w:hint="eastAsia"/>
                <w:color w:val="auto"/>
                <w:highlight w:val="none"/>
                <w:lang w:val="en-US" w:eastAsia="zh-CN"/>
              </w:rPr>
              <w:t>储存</w:t>
            </w:r>
            <w:r>
              <w:rPr>
                <w:rFonts w:hint="eastAsia"/>
                <w:color w:val="auto"/>
                <w:highlight w:val="none"/>
                <w:lang w:eastAsia="zh-CN"/>
              </w:rPr>
              <w:t>，</w:t>
            </w:r>
            <w:r>
              <w:rPr>
                <w:color w:val="auto"/>
              </w:rPr>
              <w:t>废铅蓄电池不与地面直接接触，做到污染物“早发现、早处理”，不存在长期泄漏不被发现的情况，以减少由于泄漏发现不及时而造成的地下水污染。</w:t>
            </w:r>
          </w:p>
          <w:p>
            <w:pPr>
              <w:keepNext w:val="0"/>
              <w:keepLines w:val="0"/>
              <w:numPr>
                <w:ilvl w:val="0"/>
                <w:numId w:val="0"/>
              </w:numPr>
              <w:suppressLineNumbers w:val="0"/>
              <w:bidi w:val="0"/>
              <w:spacing w:before="0" w:beforeAutospacing="0" w:after="0" w:afterAutospacing="0"/>
              <w:ind w:left="0" w:leftChars="0" w:right="0" w:firstLine="480" w:firstLineChars="200"/>
              <w:rPr>
                <w:color w:val="auto"/>
              </w:rPr>
            </w:pPr>
            <w:r>
              <w:rPr>
                <w:rFonts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2</w:t>
            </w:r>
            <w:r>
              <w:rPr>
                <w:rFonts w:ascii="Times New Roman" w:hAnsi="Times New Roman" w:eastAsia="宋体" w:cs="Times New Roman"/>
                <w:color w:val="auto"/>
                <w:kern w:val="2"/>
                <w:sz w:val="24"/>
                <w:szCs w:val="24"/>
                <w:lang w:val="en-US" w:eastAsia="zh-CN" w:bidi="ar-SA"/>
              </w:rPr>
              <w:t>）</w:t>
            </w:r>
            <w:r>
              <w:rPr>
                <w:color w:val="auto"/>
              </w:rPr>
              <w:t>污染防控措施</w:t>
            </w:r>
          </w:p>
          <w:p>
            <w:pPr>
              <w:keepNext w:val="0"/>
              <w:keepLines w:val="0"/>
              <w:numPr>
                <w:ilvl w:val="0"/>
                <w:numId w:val="0"/>
              </w:numPr>
              <w:suppressLineNumbers w:val="0"/>
              <w:bidi w:val="0"/>
              <w:spacing w:before="0" w:beforeAutospacing="0" w:after="0" w:afterAutospacing="0"/>
              <w:ind w:left="0" w:leftChars="0" w:right="0" w:firstLine="480" w:firstLineChars="200"/>
              <w:rPr>
                <w:color w:val="auto"/>
              </w:rPr>
            </w:pPr>
            <w:r>
              <w:rPr>
                <w:color w:val="auto"/>
              </w:rPr>
              <w:t>本项目运营期只进行对废铅蓄电池</w:t>
            </w:r>
            <w:r>
              <w:rPr>
                <w:rFonts w:hint="eastAsia"/>
                <w:color w:val="auto"/>
                <w:lang w:val="en-US" w:eastAsia="zh-CN"/>
              </w:rPr>
              <w:t>储存</w:t>
            </w:r>
            <w:r>
              <w:rPr>
                <w:color w:val="auto"/>
              </w:rPr>
              <w:t>周转，全程不对其进行拆封、倾倒、分装、混装等操作</w:t>
            </w:r>
            <w:r>
              <w:rPr>
                <w:rFonts w:ascii="Times New Roman" w:hAnsi="Times New Roman" w:eastAsia="宋体" w:cs="Times New Roman"/>
                <w:color w:val="auto"/>
              </w:rPr>
              <w:t>。废铅蓄电池</w:t>
            </w:r>
            <w:r>
              <w:rPr>
                <w:rFonts w:hint="eastAsia" w:cs="Times New Roman"/>
                <w:color w:val="auto"/>
                <w:lang w:val="en-US" w:eastAsia="zh-CN"/>
              </w:rPr>
              <w:t>储存</w:t>
            </w:r>
            <w:r>
              <w:rPr>
                <w:rFonts w:ascii="Times New Roman" w:hAnsi="Times New Roman" w:eastAsia="宋体" w:cs="Times New Roman"/>
                <w:color w:val="auto"/>
              </w:rPr>
              <w:t>于容器内，以防止可能发生泄漏。同时在</w:t>
            </w:r>
            <w:r>
              <w:rPr>
                <w:rFonts w:hint="eastAsia" w:cs="Times New Roman"/>
                <w:color w:val="auto"/>
                <w:lang w:val="en-US" w:eastAsia="zh-CN"/>
              </w:rPr>
              <w:t>储存区</w:t>
            </w:r>
            <w:r>
              <w:rPr>
                <w:rFonts w:ascii="Times New Roman" w:hAnsi="Times New Roman" w:eastAsia="宋体" w:cs="Times New Roman"/>
                <w:color w:val="auto"/>
              </w:rPr>
              <w:t>内设堵截泄漏的围堰、导流槽和</w:t>
            </w:r>
            <w:r>
              <w:rPr>
                <w:rFonts w:hint="eastAsia" w:ascii="Times New Roman" w:hAnsi="Times New Roman" w:eastAsia="宋体" w:cs="Times New Roman"/>
                <w:color w:val="auto"/>
                <w:lang w:val="en-US" w:eastAsia="zh-CN"/>
              </w:rPr>
              <w:t>1</w:t>
            </w:r>
            <w:r>
              <w:rPr>
                <w:rFonts w:ascii="Times New Roman" w:hAnsi="Times New Roman" w:eastAsia="宋体" w:cs="Times New Roman"/>
                <w:color w:val="auto"/>
              </w:rPr>
              <w:t>座</w:t>
            </w:r>
            <w:r>
              <w:rPr>
                <w:rFonts w:hint="eastAsia" w:ascii="Times New Roman" w:hAnsi="Times New Roman" w:eastAsia="宋体" w:cs="Times New Roman"/>
                <w:color w:val="auto"/>
                <w:lang w:val="en-US" w:eastAsia="zh-CN"/>
              </w:rPr>
              <w:t>40</w:t>
            </w:r>
            <w:r>
              <w:rPr>
                <w:rFonts w:ascii="Times New Roman" w:hAnsi="Times New Roman" w:eastAsia="宋体" w:cs="Times New Roman"/>
                <w:color w:val="auto"/>
              </w:rPr>
              <w:t>m³</w:t>
            </w:r>
            <w:bookmarkStart w:id="247" w:name="OLE_LINK105"/>
            <w:r>
              <w:rPr>
                <w:rFonts w:ascii="Times New Roman" w:hAnsi="Times New Roman" w:eastAsia="宋体" w:cs="Times New Roman"/>
                <w:color w:val="auto"/>
              </w:rPr>
              <w:t>应急事故</w:t>
            </w:r>
            <w:bookmarkEnd w:id="247"/>
            <w:r>
              <w:rPr>
                <w:rFonts w:ascii="Times New Roman" w:hAnsi="Times New Roman" w:eastAsia="宋体" w:cs="Times New Roman"/>
                <w:color w:val="auto"/>
              </w:rPr>
              <w:t>池一座，</w:t>
            </w:r>
            <w:r>
              <w:rPr>
                <w:color w:val="auto"/>
              </w:rPr>
              <w:t>用于事故状态下泄漏废液的收集。</w:t>
            </w:r>
          </w:p>
          <w:p>
            <w:pPr>
              <w:keepNext w:val="0"/>
              <w:keepLines w:val="0"/>
              <w:numPr>
                <w:ilvl w:val="0"/>
                <w:numId w:val="0"/>
              </w:numPr>
              <w:suppressLineNumbers w:val="0"/>
              <w:bidi w:val="0"/>
              <w:spacing w:before="0" w:beforeAutospacing="0" w:after="0" w:afterAutospacing="0"/>
              <w:ind w:left="0" w:leftChars="0" w:right="0" w:firstLine="480" w:firstLineChars="200"/>
              <w:rPr>
                <w:color w:val="auto"/>
              </w:rPr>
            </w:pPr>
            <w:r>
              <w:rPr>
                <w:rFonts w:ascii="Times New Roman" w:hAnsi="Times New Roman" w:eastAsia="宋体" w:cs="Times New Roman"/>
                <w:color w:val="auto"/>
                <w:kern w:val="2"/>
                <w:sz w:val="24"/>
                <w:szCs w:val="24"/>
                <w:lang w:val="en-US" w:eastAsia="zh-CN" w:bidi="ar-SA"/>
              </w:rPr>
              <w:t>（3）</w:t>
            </w:r>
            <w:r>
              <w:rPr>
                <w:color w:val="auto"/>
              </w:rPr>
              <w:t>分区防渗措施</w:t>
            </w:r>
          </w:p>
          <w:p>
            <w:pPr>
              <w:keepNext w:val="0"/>
              <w:keepLines w:val="0"/>
              <w:numPr>
                <w:ilvl w:val="0"/>
                <w:numId w:val="0"/>
              </w:numPr>
              <w:suppressLineNumbers w:val="0"/>
              <w:bidi w:val="0"/>
              <w:spacing w:before="0" w:beforeAutospacing="0" w:after="0" w:afterAutospacing="0"/>
              <w:ind w:left="0" w:leftChars="0" w:right="0" w:firstLine="480" w:firstLineChars="200"/>
              <w:rPr>
                <w:color w:val="auto"/>
                <w:highlight w:val="none"/>
              </w:rPr>
            </w:pPr>
            <w:r>
              <w:rPr>
                <w:color w:val="auto"/>
                <w:highlight w:val="none"/>
              </w:rPr>
              <w:t>本项目暂存场所整体防渗层严格按照《危险废物贮存污染控制标准》 （GB18597-2023）及相关要</w:t>
            </w:r>
            <w:r>
              <w:rPr>
                <w:rFonts w:ascii="Times New Roman" w:hAnsi="Times New Roman" w:eastAsia="宋体" w:cs="Times New Roman"/>
                <w:color w:val="auto"/>
                <w:highlight w:val="none"/>
              </w:rPr>
              <w:t>求防渗，</w:t>
            </w:r>
            <w:r>
              <w:rPr>
                <w:rFonts w:hint="eastAsia" w:ascii="Times New Roman" w:hAnsi="Times New Roman" w:eastAsia="宋体" w:cs="Times New Roman"/>
                <w:color w:val="auto"/>
                <w:highlight w:val="none"/>
                <w:lang w:val="en-US" w:eastAsia="zh-CN"/>
              </w:rPr>
              <w:t>完整</w:t>
            </w:r>
            <w:r>
              <w:rPr>
                <w:rFonts w:ascii="Times New Roman" w:hAnsi="Times New Roman" w:eastAsia="宋体" w:cs="Times New Roman"/>
                <w:color w:val="auto"/>
                <w:highlight w:val="none"/>
              </w:rPr>
              <w:t>废铅蓄电池</w:t>
            </w:r>
            <w:r>
              <w:rPr>
                <w:rFonts w:hint="eastAsia" w:cs="Times New Roman"/>
                <w:color w:val="auto"/>
                <w:highlight w:val="none"/>
                <w:lang w:val="en-US" w:eastAsia="zh-CN"/>
              </w:rPr>
              <w:t>储存</w:t>
            </w:r>
            <w:r>
              <w:rPr>
                <w:rFonts w:ascii="Times New Roman" w:hAnsi="Times New Roman" w:eastAsia="宋体" w:cs="Times New Roman"/>
                <w:color w:val="auto"/>
                <w:highlight w:val="none"/>
              </w:rPr>
              <w:t>区</w:t>
            </w:r>
            <w:r>
              <w:rPr>
                <w:rFonts w:hint="eastAsia" w:ascii="Times New Roman" w:hAnsi="Times New Roman" w:eastAsia="宋体" w:cs="Times New Roman"/>
                <w:color w:val="auto"/>
                <w:highlight w:val="none"/>
                <w:lang w:val="en-US" w:eastAsia="zh-CN"/>
              </w:rPr>
              <w:t>与</w:t>
            </w:r>
            <w:r>
              <w:rPr>
                <w:rFonts w:ascii="Times New Roman" w:hAnsi="Times New Roman" w:eastAsia="宋体" w:cs="Times New Roman"/>
                <w:color w:val="auto"/>
                <w:highlight w:val="none"/>
              </w:rPr>
              <w:t>破损废铅蓄电池</w:t>
            </w:r>
            <w:r>
              <w:rPr>
                <w:rFonts w:hint="eastAsia" w:cs="Times New Roman"/>
                <w:color w:val="auto"/>
                <w:highlight w:val="none"/>
                <w:lang w:val="en-US" w:eastAsia="zh-CN"/>
              </w:rPr>
              <w:t>储存</w:t>
            </w:r>
            <w:r>
              <w:rPr>
                <w:color w:val="auto"/>
                <w:highlight w:val="none"/>
              </w:rPr>
              <w:t>区</w:t>
            </w:r>
            <w:r>
              <w:rPr>
                <w:rFonts w:hint="eastAsia"/>
                <w:color w:val="auto"/>
                <w:highlight w:val="none"/>
                <w:lang w:eastAsia="zh-CN"/>
              </w:rPr>
              <w:t>、</w:t>
            </w:r>
            <w:r>
              <w:rPr>
                <w:rFonts w:hint="eastAsia"/>
                <w:color w:val="auto"/>
                <w:highlight w:val="none"/>
                <w:lang w:val="en-US" w:eastAsia="zh-CN"/>
              </w:rPr>
              <w:t>危废间等</w:t>
            </w:r>
            <w:r>
              <w:rPr>
                <w:color w:val="auto"/>
                <w:highlight w:val="none"/>
              </w:rPr>
              <w:t>均在原有混凝土地面上铺贴2mm厚高密度聚乙烯膜，暂存区四周设置0.3m高堵截泄漏的围堰（渗透系数不大于10</w:t>
            </w:r>
            <w:r>
              <w:rPr>
                <w:color w:val="auto"/>
                <w:highlight w:val="none"/>
                <w:vertAlign w:val="superscript"/>
              </w:rPr>
              <w:t>-10</w:t>
            </w:r>
            <w:r>
              <w:rPr>
                <w:color w:val="auto"/>
                <w:highlight w:val="none"/>
              </w:rPr>
              <w:t>cm/s，设置坡度为2%漏液槽，划分为重点防渗区。</w:t>
            </w:r>
          </w:p>
          <w:p>
            <w:pPr>
              <w:keepNext w:val="0"/>
              <w:keepLines w:val="0"/>
              <w:numPr>
                <w:ilvl w:val="0"/>
                <w:numId w:val="0"/>
              </w:numPr>
              <w:suppressLineNumbers w:val="0"/>
              <w:bidi w:val="0"/>
              <w:spacing w:before="0" w:beforeAutospacing="0" w:after="0" w:afterAutospacing="0"/>
              <w:ind w:left="0" w:leftChars="0" w:right="0" w:firstLine="480" w:firstLineChars="200"/>
              <w:rPr>
                <w:color w:val="auto"/>
              </w:rPr>
            </w:pPr>
            <w:r>
              <w:rPr>
                <w:color w:val="auto"/>
              </w:rPr>
              <w:t>通过采取上述污染防治措施可有效控制电解液等其他液态危险废物下渗，避免污染对地下水、土壤，对周边地下水、土壤环境的影响很小。</w:t>
            </w:r>
          </w:p>
          <w:p>
            <w:pPr>
              <w:keepNext w:val="0"/>
              <w:keepLines w:val="0"/>
              <w:suppressLineNumbers w:val="0"/>
              <w:bidi w:val="0"/>
              <w:spacing w:before="0" w:beforeAutospacing="0" w:after="0" w:afterAutospacing="0"/>
              <w:ind w:left="0" w:right="0"/>
              <w:rPr>
                <w:b/>
                <w:bCs/>
                <w:color w:val="auto"/>
              </w:rPr>
            </w:pPr>
            <w:r>
              <w:rPr>
                <w:rFonts w:hint="eastAsia"/>
                <w:b/>
                <w:bCs/>
                <w:color w:val="auto"/>
                <w:lang w:val="en-US" w:eastAsia="zh-CN"/>
              </w:rPr>
              <w:t>六</w:t>
            </w:r>
            <w:r>
              <w:rPr>
                <w:rFonts w:hint="eastAsia"/>
                <w:b/>
                <w:bCs/>
                <w:color w:val="auto"/>
              </w:rPr>
              <w:t>、环境风险影响分析</w:t>
            </w:r>
          </w:p>
          <w:p>
            <w:pPr>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根据《建设项目环境影响报告表编制指南（污染影响类）》（试行），“有毒有害和易燃易爆危险物质存储量超过临界量的建设项目”需要设置环境风险专题。</w:t>
            </w:r>
          </w:p>
          <w:p>
            <w:pPr>
              <w:keepNext w:val="0"/>
              <w:keepLines w:val="0"/>
              <w:suppressLineNumbers w:val="0"/>
              <w:bidi w:val="0"/>
              <w:spacing w:before="0" w:beforeAutospacing="0" w:after="0" w:afterAutospacing="0"/>
              <w:ind w:left="0" w:right="0"/>
              <w:rPr>
                <w:rFonts w:hint="eastAsia"/>
                <w:color w:val="auto"/>
                <w:lang w:eastAsia="zh-CN"/>
              </w:rPr>
            </w:pPr>
            <w:r>
              <w:rPr>
                <w:rFonts w:hint="eastAsia"/>
                <w:color w:val="auto"/>
              </w:rPr>
              <w:t>经对照《建设项目环境风险评价技术导则》（HJ169-2018）和《危险化学品重大危险源辨识》（GB18218-2018）可知，本项目所涉及物料为硫酸</w:t>
            </w:r>
            <w:r>
              <w:rPr>
                <w:rFonts w:hint="eastAsia"/>
                <w:color w:val="auto"/>
                <w:lang w:eastAsia="zh-CN"/>
              </w:rPr>
              <w:t>、</w:t>
            </w:r>
            <w:bookmarkStart w:id="248" w:name="OLE_LINK207"/>
            <w:bookmarkStart w:id="249" w:name="OLE_LINK272"/>
            <w:r>
              <w:rPr>
                <w:rFonts w:hint="eastAsia"/>
                <w:color w:val="auto"/>
                <w:lang w:val="en-US" w:eastAsia="zh-CN"/>
              </w:rPr>
              <w:t>铅</w:t>
            </w:r>
            <w:bookmarkEnd w:id="248"/>
            <w:r>
              <w:rPr>
                <w:rFonts w:hint="eastAsia"/>
                <w:color w:val="auto"/>
                <w:lang w:val="en-US" w:eastAsia="zh-CN"/>
              </w:rPr>
              <w:t>及其化合物</w:t>
            </w:r>
            <w:bookmarkEnd w:id="249"/>
            <w:r>
              <w:rPr>
                <w:rFonts w:hint="eastAsia"/>
                <w:color w:val="auto"/>
              </w:rPr>
              <w:t>，</w:t>
            </w:r>
            <w:bookmarkStart w:id="250" w:name="OLE_LINK109"/>
            <w:r>
              <w:rPr>
                <w:rFonts w:hint="eastAsia"/>
                <w:color w:val="auto"/>
              </w:rPr>
              <w:t>厂区内硫酸最大暂存量约为</w:t>
            </w:r>
            <w:r>
              <w:rPr>
                <w:rFonts w:hint="eastAsia"/>
                <w:color w:val="auto"/>
                <w:lang w:val="en-US" w:eastAsia="zh-CN"/>
              </w:rPr>
              <w:t>1.2</w:t>
            </w:r>
            <w:r>
              <w:rPr>
                <w:color w:val="auto"/>
              </w:rPr>
              <w:t>t（本项目废铅蓄电池最大暂存量为</w:t>
            </w:r>
            <w:r>
              <w:rPr>
                <w:rFonts w:hint="eastAsia"/>
                <w:color w:val="auto"/>
                <w:lang w:val="en-US" w:eastAsia="zh-CN"/>
              </w:rPr>
              <w:t>30</w:t>
            </w:r>
            <w:r>
              <w:rPr>
                <w:rFonts w:hint="eastAsia"/>
                <w:color w:val="auto"/>
              </w:rPr>
              <w:t>t，</w:t>
            </w:r>
            <w:r>
              <w:rPr>
                <w:color w:val="auto"/>
              </w:rPr>
              <w:t>电解液占铅酸蓄电池重量比的10%，本环评按电解液中硫酸重量比为</w:t>
            </w:r>
            <w:r>
              <w:rPr>
                <w:rFonts w:hint="eastAsia"/>
                <w:color w:val="auto"/>
              </w:rPr>
              <w:t>40</w:t>
            </w:r>
            <w:r>
              <w:rPr>
                <w:color w:val="auto"/>
              </w:rPr>
              <w:t>%），</w:t>
            </w:r>
            <w:bookmarkEnd w:id="250"/>
            <w:r>
              <w:rPr>
                <w:rFonts w:hint="eastAsia"/>
                <w:color w:val="auto"/>
              </w:rPr>
              <w:t>厂区内</w:t>
            </w:r>
            <w:r>
              <w:rPr>
                <w:rFonts w:hint="eastAsia"/>
                <w:color w:val="auto"/>
                <w:lang w:val="en-US" w:eastAsia="zh-CN"/>
              </w:rPr>
              <w:t>铅及其化合物</w:t>
            </w:r>
            <w:r>
              <w:rPr>
                <w:rFonts w:hint="eastAsia"/>
                <w:color w:val="auto"/>
              </w:rPr>
              <w:t>最大暂存量约为</w:t>
            </w:r>
            <w:r>
              <w:rPr>
                <w:rFonts w:hint="eastAsia"/>
                <w:color w:val="auto"/>
                <w:highlight w:val="none"/>
                <w:lang w:val="en-US" w:eastAsia="zh-CN"/>
              </w:rPr>
              <w:t>24</w:t>
            </w:r>
            <w:r>
              <w:rPr>
                <w:color w:val="auto"/>
                <w:highlight w:val="none"/>
              </w:rPr>
              <w:t>t（</w:t>
            </w:r>
            <w:r>
              <w:rPr>
                <w:color w:val="auto"/>
              </w:rPr>
              <w:t>本项目废铅蓄电池最大暂存量为</w:t>
            </w:r>
            <w:r>
              <w:rPr>
                <w:rFonts w:hint="eastAsia"/>
                <w:color w:val="auto"/>
                <w:lang w:val="en-US" w:eastAsia="zh-CN"/>
              </w:rPr>
              <w:t>30</w:t>
            </w:r>
            <w:r>
              <w:rPr>
                <w:rFonts w:hint="eastAsia"/>
                <w:color w:val="auto"/>
              </w:rPr>
              <w:t>t，</w:t>
            </w:r>
            <w:r>
              <w:rPr>
                <w:rFonts w:hint="eastAsia"/>
                <w:color w:val="auto"/>
                <w:lang w:val="en-US" w:eastAsia="zh-CN"/>
              </w:rPr>
              <w:t>铅及其化合物</w:t>
            </w:r>
            <w:r>
              <w:rPr>
                <w:color w:val="auto"/>
              </w:rPr>
              <w:t>占铅酸蓄电池重量比的</w:t>
            </w:r>
            <w:r>
              <w:rPr>
                <w:rFonts w:hint="eastAsia"/>
                <w:color w:val="auto"/>
                <w:lang w:val="en-US" w:eastAsia="zh-CN"/>
              </w:rPr>
              <w:t>80</w:t>
            </w:r>
            <w:r>
              <w:rPr>
                <w:color w:val="auto"/>
              </w:rPr>
              <w:t>%）</w:t>
            </w:r>
            <w:r>
              <w:rPr>
                <w:rFonts w:hint="eastAsia"/>
                <w:color w:val="auto"/>
                <w:lang w:eastAsia="zh-CN"/>
              </w:rPr>
              <w:t>。</w:t>
            </w:r>
          </w:p>
          <w:p>
            <w:pPr>
              <w:keepNext w:val="0"/>
              <w:keepLines w:val="0"/>
              <w:suppressLineNumbers w:val="0"/>
              <w:bidi w:val="0"/>
              <w:spacing w:before="0" w:beforeAutospacing="0" w:after="0" w:afterAutospacing="0"/>
              <w:ind w:left="0" w:right="0"/>
              <w:rPr>
                <w:rFonts w:hint="eastAsia" w:eastAsia="宋体"/>
                <w:color w:val="auto"/>
                <w:lang w:val="en-US" w:eastAsia="zh-CN"/>
              </w:rPr>
            </w:pPr>
            <w:r>
              <w:rPr>
                <w:color w:val="auto"/>
              </w:rPr>
              <w:t>根据</w:t>
            </w:r>
            <w:bookmarkStart w:id="251" w:name="OLE_LINK209"/>
            <w:r>
              <w:rPr>
                <w:color w:val="auto"/>
              </w:rPr>
              <w:t>《建设项目环境风险评价技术导则》（HJ169</w:t>
            </w:r>
            <w:r>
              <w:rPr>
                <w:rFonts w:hint="eastAsia"/>
                <w:color w:val="auto"/>
              </w:rPr>
              <w:t>-</w:t>
            </w:r>
            <w:r>
              <w:rPr>
                <w:color w:val="auto"/>
              </w:rPr>
              <w:t>2018）附录B可知，</w:t>
            </w:r>
            <w:bookmarkEnd w:id="251"/>
            <w:r>
              <w:rPr>
                <w:color w:val="auto"/>
              </w:rPr>
              <w:t>硫酸（CAS号为7664-93-9）</w:t>
            </w:r>
            <w:bookmarkStart w:id="252" w:name="OLE_LINK211"/>
            <w:r>
              <w:rPr>
                <w:color w:val="auto"/>
              </w:rPr>
              <w:t>临界量为10</w:t>
            </w:r>
            <w:bookmarkStart w:id="253" w:name="OLE_LINK212"/>
            <w:r>
              <w:rPr>
                <w:color w:val="auto"/>
              </w:rPr>
              <w:t>t</w:t>
            </w:r>
            <w:bookmarkEnd w:id="252"/>
            <w:bookmarkEnd w:id="253"/>
            <w:r>
              <w:rPr>
                <w:color w:val="auto"/>
              </w:rPr>
              <w:t>。</w:t>
            </w:r>
            <w:bookmarkStart w:id="254" w:name="OLE_LINK213"/>
            <w:r>
              <w:rPr>
                <w:color w:val="auto"/>
              </w:rPr>
              <w:t>本项目硫酸最大暂存量为</w:t>
            </w:r>
            <w:r>
              <w:rPr>
                <w:rFonts w:hint="eastAsia"/>
                <w:color w:val="auto"/>
                <w:lang w:val="en-US" w:eastAsia="zh-CN"/>
              </w:rPr>
              <w:t>1.2</w:t>
            </w:r>
            <w:r>
              <w:rPr>
                <w:color w:val="auto"/>
              </w:rPr>
              <w:t>t，小于其临界量10t</w:t>
            </w:r>
            <w:r>
              <w:rPr>
                <w:rFonts w:hint="eastAsia"/>
                <w:color w:val="auto"/>
                <w:lang w:eastAsia="zh-CN"/>
              </w:rPr>
              <w:t>。</w:t>
            </w:r>
            <w:bookmarkEnd w:id="254"/>
            <w:r>
              <w:rPr>
                <w:rFonts w:hint="eastAsia"/>
                <w:color w:val="auto"/>
                <w:lang w:val="en-US" w:eastAsia="zh-CN"/>
              </w:rPr>
              <w:t>根据《化学品分类和标签规范 第18部分 急性毒性》（GB30000.18-2013）铅属于</w:t>
            </w:r>
            <w:bookmarkStart w:id="255" w:name="OLE_LINK210"/>
            <w:r>
              <w:rPr>
                <w:rFonts w:hint="eastAsia"/>
                <w:color w:val="auto"/>
                <w:lang w:val="en-US" w:eastAsia="zh-CN"/>
              </w:rPr>
              <w:t>健康危险急性毒性物质类别2</w:t>
            </w:r>
            <w:bookmarkEnd w:id="255"/>
            <w:r>
              <w:rPr>
                <w:rFonts w:hint="eastAsia"/>
                <w:color w:val="auto"/>
                <w:lang w:val="en-US" w:eastAsia="zh-CN"/>
              </w:rPr>
              <w:t>，由</w:t>
            </w:r>
            <w:r>
              <w:rPr>
                <w:color w:val="auto"/>
              </w:rPr>
              <w:t>《建设项目环境风险评价技术导则》（HJ169</w:t>
            </w:r>
            <w:r>
              <w:rPr>
                <w:rFonts w:hint="eastAsia"/>
                <w:color w:val="auto"/>
              </w:rPr>
              <w:t>-</w:t>
            </w:r>
            <w:r>
              <w:rPr>
                <w:color w:val="auto"/>
              </w:rPr>
              <w:t>2018）附录B可知，</w:t>
            </w:r>
            <w:r>
              <w:rPr>
                <w:rFonts w:hint="eastAsia"/>
                <w:color w:val="auto"/>
                <w:lang w:val="en-US" w:eastAsia="zh-CN"/>
              </w:rPr>
              <w:t>健康危险急性毒性物质（类别2）</w:t>
            </w:r>
            <w:r>
              <w:rPr>
                <w:color w:val="auto"/>
              </w:rPr>
              <w:t>临界量为</w:t>
            </w:r>
            <w:r>
              <w:rPr>
                <w:rFonts w:hint="eastAsia"/>
                <w:color w:val="auto"/>
                <w:lang w:val="en-US" w:eastAsia="zh-CN"/>
              </w:rPr>
              <w:t>50</w:t>
            </w:r>
            <w:r>
              <w:rPr>
                <w:color w:val="auto"/>
              </w:rPr>
              <w:t>t</w:t>
            </w:r>
            <w:r>
              <w:rPr>
                <w:rFonts w:hint="eastAsia"/>
                <w:color w:val="auto"/>
                <w:lang w:eastAsia="zh-CN"/>
              </w:rPr>
              <w:t>，</w:t>
            </w:r>
            <w:r>
              <w:rPr>
                <w:color w:val="auto"/>
              </w:rPr>
              <w:t>本项目</w:t>
            </w:r>
            <w:r>
              <w:rPr>
                <w:rFonts w:hint="eastAsia"/>
                <w:color w:val="auto"/>
                <w:lang w:val="en-US" w:eastAsia="zh-CN"/>
              </w:rPr>
              <w:t>铅及其化合物</w:t>
            </w:r>
            <w:r>
              <w:rPr>
                <w:color w:val="auto"/>
              </w:rPr>
              <w:t>最大暂存量为</w:t>
            </w:r>
            <w:r>
              <w:rPr>
                <w:rFonts w:hint="eastAsia"/>
                <w:color w:val="auto"/>
                <w:lang w:val="en-US" w:eastAsia="zh-CN"/>
              </w:rPr>
              <w:t>24</w:t>
            </w:r>
            <w:r>
              <w:rPr>
                <w:color w:val="auto"/>
              </w:rPr>
              <w:t>t，小于其临界量</w:t>
            </w:r>
            <w:r>
              <w:rPr>
                <w:rFonts w:hint="eastAsia"/>
                <w:color w:val="auto"/>
                <w:lang w:val="en-US" w:eastAsia="zh-CN"/>
              </w:rPr>
              <w:t>5</w:t>
            </w:r>
            <w:r>
              <w:rPr>
                <w:color w:val="auto"/>
              </w:rPr>
              <w:t>0t</w:t>
            </w:r>
            <w:r>
              <w:rPr>
                <w:rFonts w:hint="eastAsia"/>
                <w:color w:val="auto"/>
                <w:lang w:eastAsia="zh-CN"/>
              </w:rPr>
              <w:t>。</w:t>
            </w:r>
          </w:p>
          <w:p>
            <w:pPr>
              <w:keepNext w:val="0"/>
              <w:keepLines w:val="0"/>
              <w:suppressLineNumbers w:val="0"/>
              <w:bidi w:val="0"/>
              <w:spacing w:before="0" w:beforeAutospacing="0" w:after="0" w:afterAutospacing="0"/>
              <w:ind w:left="0" w:right="0"/>
              <w:rPr>
                <w:color w:val="auto"/>
              </w:rPr>
            </w:pPr>
            <w:r>
              <w:rPr>
                <w:color w:val="auto"/>
              </w:rPr>
              <w:t>根据《建设项目环境风险评价技术导则》(HJ169-2018)附录C的要求，危险物质数量与临界量比值(Q)按如下原则计算：</w:t>
            </w:r>
          </w:p>
          <w:p>
            <w:pPr>
              <w:keepNext w:val="0"/>
              <w:keepLines w:val="0"/>
              <w:suppressLineNumbers w:val="0"/>
              <w:bidi w:val="0"/>
              <w:spacing w:before="0" w:beforeAutospacing="0" w:after="0" w:afterAutospacing="0"/>
              <w:ind w:left="0" w:right="0"/>
              <w:rPr>
                <w:color w:val="auto"/>
              </w:rPr>
            </w:pPr>
            <w:r>
              <w:rPr>
                <w:color w:val="auto"/>
                <w:lang w:val="en-US" w:eastAsia="zh-CN"/>
              </w:rPr>
              <w:t>a、</w:t>
            </w:r>
            <w:r>
              <w:rPr>
                <w:color w:val="auto"/>
              </w:rPr>
              <w:t>当只涉及一种危险物质时，计算该物质的总量与其临界量比值，即为Q；</w:t>
            </w:r>
          </w:p>
          <w:p>
            <w:pPr>
              <w:keepNext w:val="0"/>
              <w:keepLines w:val="0"/>
              <w:suppressLineNumbers w:val="0"/>
              <w:bidi w:val="0"/>
              <w:spacing w:before="0" w:beforeAutospacing="0" w:after="0" w:afterAutospacing="0"/>
              <w:ind w:left="0" w:right="0"/>
              <w:rPr>
                <w:color w:val="auto"/>
              </w:rPr>
            </w:pPr>
            <w:r>
              <w:rPr>
                <w:color w:val="auto"/>
                <w:lang w:val="en-US" w:eastAsia="zh-CN"/>
              </w:rPr>
              <w:t>b、</w:t>
            </w:r>
            <w:r>
              <w:rPr>
                <w:color w:val="auto"/>
              </w:rPr>
              <w:t>当存在多种危险物质时，则按下式计算物质总量与其临界量比值(Q)：</w:t>
            </w:r>
          </w:p>
          <w:p>
            <w:pPr>
              <w:keepNext w:val="0"/>
              <w:keepLines w:val="0"/>
              <w:suppressLineNumbers w:val="0"/>
              <w:bidi w:val="0"/>
              <w:spacing w:before="0" w:beforeAutospacing="0" w:after="0" w:afterAutospacing="0"/>
              <w:ind w:left="0" w:right="0"/>
              <w:rPr>
                <w:color w:val="auto"/>
              </w:rPr>
            </w:pPr>
            <w:r>
              <w:rPr>
                <w:color w:val="auto"/>
              </w:rPr>
              <w:t>式中：q</w:t>
            </w:r>
            <w:r>
              <w:rPr>
                <w:color w:val="auto"/>
                <w:vertAlign w:val="subscript"/>
              </w:rPr>
              <w:t>1</w:t>
            </w:r>
            <w:r>
              <w:rPr>
                <w:color w:val="auto"/>
              </w:rPr>
              <w:t>，q</w:t>
            </w:r>
            <w:r>
              <w:rPr>
                <w:color w:val="auto"/>
                <w:vertAlign w:val="subscript"/>
              </w:rPr>
              <w:t>2</w:t>
            </w:r>
            <w:r>
              <w:rPr>
                <w:color w:val="auto"/>
              </w:rPr>
              <w:t>……q</w:t>
            </w:r>
            <w:r>
              <w:rPr>
                <w:color w:val="auto"/>
                <w:vertAlign w:val="subscript"/>
              </w:rPr>
              <w:t>n</w:t>
            </w:r>
            <w:r>
              <w:rPr>
                <w:rFonts w:hint="eastAsia"/>
                <w:color w:val="auto"/>
                <w:lang w:val="en-US" w:eastAsia="zh-CN"/>
              </w:rPr>
              <w:t>-</w:t>
            </w:r>
            <w:r>
              <w:rPr>
                <w:color w:val="auto"/>
              </w:rPr>
              <w:t>每种危险物质的最大存在总量，t；</w:t>
            </w:r>
          </w:p>
          <w:p>
            <w:pPr>
              <w:keepNext w:val="0"/>
              <w:keepLines w:val="0"/>
              <w:suppressLineNumbers w:val="0"/>
              <w:bidi w:val="0"/>
              <w:spacing w:before="0" w:beforeAutospacing="0" w:after="0" w:afterAutospacing="0"/>
              <w:ind w:left="0" w:right="0"/>
              <w:rPr>
                <w:color w:val="auto"/>
              </w:rPr>
            </w:pPr>
            <w:r>
              <w:rPr>
                <w:color w:val="auto"/>
              </w:rPr>
              <w:t>Q</w:t>
            </w:r>
            <w:r>
              <w:rPr>
                <w:color w:val="auto"/>
                <w:vertAlign w:val="subscript"/>
              </w:rPr>
              <w:t>1</w:t>
            </w:r>
            <w:r>
              <w:rPr>
                <w:color w:val="auto"/>
              </w:rPr>
              <w:t>，Q</w:t>
            </w:r>
            <w:r>
              <w:rPr>
                <w:color w:val="auto"/>
                <w:vertAlign w:val="subscript"/>
              </w:rPr>
              <w:t>2</w:t>
            </w:r>
            <w:r>
              <w:rPr>
                <w:color w:val="auto"/>
              </w:rPr>
              <w:t>……Q</w:t>
            </w:r>
            <w:r>
              <w:rPr>
                <w:color w:val="auto"/>
                <w:vertAlign w:val="subscript"/>
              </w:rPr>
              <w:t>n</w:t>
            </w:r>
            <w:r>
              <w:rPr>
                <w:color w:val="auto"/>
              </w:rPr>
              <w:t>-每种危险物质的临界量，t。</w:t>
            </w:r>
          </w:p>
          <w:p>
            <w:pPr>
              <w:keepNext w:val="0"/>
              <w:keepLines w:val="0"/>
              <w:suppressLineNumbers w:val="0"/>
              <w:bidi w:val="0"/>
              <w:spacing w:before="0" w:beforeAutospacing="0" w:after="0" w:afterAutospacing="0"/>
              <w:ind w:left="0" w:right="0"/>
              <w:rPr>
                <w:color w:val="auto"/>
              </w:rPr>
            </w:pPr>
            <w:r>
              <w:rPr>
                <w:color w:val="auto"/>
              </w:rPr>
              <w:t>当Q&lt;1时，该项目的环境风险潜势为Ⅰ； 当Q≥1，将Q值划分为：(1)：1≤Q&lt;10；(2)10≤Q&lt;100；(3)Q≥100。 项目危险物质数量与临界量比值(Q)情况详见下表。</w:t>
            </w:r>
          </w:p>
          <w:p>
            <w:pPr>
              <w:pStyle w:val="12"/>
              <w:keepNext w:val="0"/>
              <w:keepLines w:val="0"/>
              <w:suppressLineNumbers w:val="0"/>
              <w:bidi w:val="0"/>
              <w:spacing w:before="0" w:beforeAutospacing="0" w:after="0" w:afterAutospacing="0"/>
              <w:ind w:left="0" w:right="0"/>
              <w:rPr>
                <w:rFonts w:hint="default"/>
                <w:color w:val="auto"/>
                <w:lang w:val="en-US" w:eastAsia="zh-CN"/>
              </w:rPr>
            </w:pPr>
            <w:r>
              <w:rPr>
                <w:color w:val="auto"/>
              </w:rPr>
              <w:t xml:space="preserve">表 </w:t>
            </w:r>
            <w:r>
              <w:rPr>
                <w:rFonts w:hint="eastAsia"/>
                <w:color w:val="auto"/>
                <w:lang w:val="en-US" w:eastAsia="zh-CN"/>
              </w:rPr>
              <w:t xml:space="preserve">4-13    </w:t>
            </w:r>
            <w:r>
              <w:rPr>
                <w:color w:val="auto"/>
              </w:rPr>
              <w:t>Q值确定结果一览表</w:t>
            </w:r>
          </w:p>
          <w:tbl>
            <w:tblPr>
              <w:tblStyle w:val="23"/>
              <w:tblW w:w="0" w:type="auto"/>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07"/>
              <w:gridCol w:w="2008"/>
              <w:gridCol w:w="2008"/>
              <w:gridCol w:w="200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07" w:type="dxa"/>
                  <w:tcBorders>
                    <w:tl2br w:val="nil"/>
                    <w:tr2bl w:val="nil"/>
                  </w:tcBorders>
                  <w:vAlign w:val="center"/>
                </w:tcPr>
                <w:p>
                  <w:pPr>
                    <w:pStyle w:val="28"/>
                    <w:keepNext w:val="0"/>
                    <w:keepLines w:val="0"/>
                    <w:suppressLineNumbers w:val="0"/>
                    <w:bidi w:val="0"/>
                    <w:spacing w:before="0" w:beforeAutospacing="0" w:after="0" w:afterAutospacing="0"/>
                    <w:ind w:left="0" w:right="0"/>
                    <w:jc w:val="center"/>
                    <w:rPr>
                      <w:rFonts w:hint="default" w:ascii="Times New Roman" w:hAnsi="Times New Roman" w:eastAsia="宋体"/>
                      <w:b/>
                      <w:bCs/>
                      <w:color w:val="auto"/>
                      <w:lang w:val="en-US" w:eastAsia="zh-CN"/>
                    </w:rPr>
                  </w:pPr>
                  <w:r>
                    <w:rPr>
                      <w:rFonts w:hint="eastAsia" w:ascii="Times New Roman" w:hAnsi="Times New Roman" w:eastAsia="宋体"/>
                      <w:b/>
                      <w:bCs/>
                      <w:color w:val="auto"/>
                      <w:lang w:val="en-US" w:eastAsia="zh-CN"/>
                    </w:rPr>
                    <w:t>危险废物名称</w:t>
                  </w:r>
                </w:p>
              </w:tc>
              <w:tc>
                <w:tcPr>
                  <w:tcW w:w="2008" w:type="dxa"/>
                  <w:tcBorders>
                    <w:tl2br w:val="nil"/>
                    <w:tr2bl w:val="nil"/>
                  </w:tcBorders>
                  <w:vAlign w:val="center"/>
                </w:tcPr>
                <w:p>
                  <w:pPr>
                    <w:pStyle w:val="28"/>
                    <w:keepNext w:val="0"/>
                    <w:keepLines w:val="0"/>
                    <w:suppressLineNumbers w:val="0"/>
                    <w:bidi w:val="0"/>
                    <w:spacing w:before="0" w:beforeAutospacing="0" w:after="0" w:afterAutospacing="0"/>
                    <w:ind w:left="0" w:right="0"/>
                    <w:jc w:val="center"/>
                    <w:rPr>
                      <w:rFonts w:hint="default" w:ascii="Times New Roman" w:hAnsi="Times New Roman" w:eastAsia="宋体"/>
                      <w:b/>
                      <w:bCs/>
                      <w:color w:val="auto"/>
                      <w:lang w:val="en-US" w:eastAsia="zh-CN"/>
                    </w:rPr>
                  </w:pPr>
                  <w:r>
                    <w:rPr>
                      <w:rFonts w:hint="eastAsia" w:ascii="Times New Roman" w:hAnsi="Times New Roman" w:eastAsia="宋体"/>
                      <w:b/>
                      <w:bCs/>
                      <w:color w:val="auto"/>
                      <w:lang w:val="en-US" w:eastAsia="zh-CN"/>
                    </w:rPr>
                    <w:t>最大储存量（t）</w:t>
                  </w:r>
                </w:p>
              </w:tc>
              <w:tc>
                <w:tcPr>
                  <w:tcW w:w="2008" w:type="dxa"/>
                  <w:tcBorders>
                    <w:tl2br w:val="nil"/>
                    <w:tr2bl w:val="nil"/>
                  </w:tcBorders>
                  <w:vAlign w:val="center"/>
                </w:tcPr>
                <w:p>
                  <w:pPr>
                    <w:pStyle w:val="28"/>
                    <w:keepNext w:val="0"/>
                    <w:keepLines w:val="0"/>
                    <w:suppressLineNumbers w:val="0"/>
                    <w:bidi w:val="0"/>
                    <w:spacing w:before="0" w:beforeAutospacing="0" w:after="0" w:afterAutospacing="0"/>
                    <w:ind w:left="0" w:right="0"/>
                    <w:jc w:val="center"/>
                    <w:rPr>
                      <w:rFonts w:hint="default" w:ascii="Times New Roman" w:hAnsi="Times New Roman" w:eastAsia="宋体"/>
                      <w:b/>
                      <w:bCs/>
                      <w:color w:val="auto"/>
                      <w:lang w:val="en-US" w:eastAsia="zh-CN"/>
                    </w:rPr>
                  </w:pPr>
                  <w:r>
                    <w:rPr>
                      <w:rFonts w:hint="eastAsia" w:ascii="Times New Roman" w:hAnsi="Times New Roman" w:eastAsia="宋体"/>
                      <w:b/>
                      <w:bCs/>
                      <w:color w:val="auto"/>
                      <w:lang w:val="en-US" w:eastAsia="zh-CN"/>
                    </w:rPr>
                    <w:t>临界量（t）</w:t>
                  </w:r>
                </w:p>
              </w:tc>
              <w:tc>
                <w:tcPr>
                  <w:tcW w:w="2008" w:type="dxa"/>
                  <w:tcBorders>
                    <w:tl2br w:val="nil"/>
                    <w:tr2bl w:val="nil"/>
                  </w:tcBorders>
                  <w:vAlign w:val="center"/>
                </w:tcPr>
                <w:p>
                  <w:pPr>
                    <w:pStyle w:val="28"/>
                    <w:keepNext w:val="0"/>
                    <w:keepLines w:val="0"/>
                    <w:suppressLineNumbers w:val="0"/>
                    <w:bidi w:val="0"/>
                    <w:spacing w:before="0" w:beforeAutospacing="0" w:after="0" w:afterAutospacing="0"/>
                    <w:ind w:left="0" w:right="0"/>
                    <w:jc w:val="center"/>
                    <w:rPr>
                      <w:rFonts w:hint="eastAsia" w:ascii="Times New Roman" w:hAnsi="Times New Roman" w:eastAsia="宋体"/>
                      <w:b/>
                      <w:bCs/>
                      <w:color w:val="auto"/>
                      <w:lang w:val="en-US" w:eastAsia="zh-CN"/>
                    </w:rPr>
                  </w:pPr>
                  <w:r>
                    <w:rPr>
                      <w:rFonts w:hint="eastAsia" w:ascii="Times New Roman" w:hAnsi="Times New Roman" w:eastAsia="宋体"/>
                      <w:b/>
                      <w:bCs/>
                      <w:color w:val="auto"/>
                      <w:lang w:val="en-US" w:eastAsia="zh-CN"/>
                    </w:rPr>
                    <w:t>Q</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07" w:type="dxa"/>
                  <w:tcBorders>
                    <w:tl2br w:val="nil"/>
                    <w:tr2bl w:val="nil"/>
                  </w:tcBorders>
                  <w:vAlign w:val="center"/>
                </w:tcPr>
                <w:p>
                  <w:pPr>
                    <w:pStyle w:val="28"/>
                    <w:keepNext w:val="0"/>
                    <w:keepLines w:val="0"/>
                    <w:suppressLineNumbers w:val="0"/>
                    <w:bidi w:val="0"/>
                    <w:spacing w:before="0" w:beforeAutospacing="0" w:after="0" w:afterAutospacing="0"/>
                    <w:ind w:left="0" w:right="0"/>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硫酸</w:t>
                  </w:r>
                </w:p>
              </w:tc>
              <w:tc>
                <w:tcPr>
                  <w:tcW w:w="2008" w:type="dxa"/>
                  <w:tcBorders>
                    <w:tl2br w:val="nil"/>
                    <w:tr2bl w:val="nil"/>
                  </w:tcBorders>
                  <w:vAlign w:val="center"/>
                </w:tcPr>
                <w:p>
                  <w:pPr>
                    <w:pStyle w:val="28"/>
                    <w:keepNext w:val="0"/>
                    <w:keepLines w:val="0"/>
                    <w:suppressLineNumbers w:val="0"/>
                    <w:bidi w:val="0"/>
                    <w:spacing w:before="0" w:beforeAutospacing="0" w:after="0" w:afterAutospacing="0"/>
                    <w:ind w:left="0" w:right="0"/>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1.2</w:t>
                  </w:r>
                </w:p>
              </w:tc>
              <w:tc>
                <w:tcPr>
                  <w:tcW w:w="2008" w:type="dxa"/>
                  <w:tcBorders>
                    <w:tl2br w:val="nil"/>
                    <w:tr2bl w:val="nil"/>
                  </w:tcBorders>
                  <w:vAlign w:val="center"/>
                </w:tcPr>
                <w:p>
                  <w:pPr>
                    <w:pStyle w:val="28"/>
                    <w:keepNext w:val="0"/>
                    <w:keepLines w:val="0"/>
                    <w:suppressLineNumbers w:val="0"/>
                    <w:bidi w:val="0"/>
                    <w:spacing w:before="0" w:beforeAutospacing="0" w:after="0" w:afterAutospacing="0"/>
                    <w:ind w:left="0" w:right="0"/>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10</w:t>
                  </w:r>
                </w:p>
              </w:tc>
              <w:tc>
                <w:tcPr>
                  <w:tcW w:w="2008" w:type="dxa"/>
                  <w:tcBorders>
                    <w:tl2br w:val="nil"/>
                    <w:tr2bl w:val="nil"/>
                  </w:tcBorders>
                  <w:vAlign w:val="center"/>
                </w:tcPr>
                <w:p>
                  <w:pPr>
                    <w:pStyle w:val="28"/>
                    <w:keepNext w:val="0"/>
                    <w:keepLines w:val="0"/>
                    <w:suppressLineNumbers w:val="0"/>
                    <w:bidi w:val="0"/>
                    <w:spacing w:before="0" w:beforeAutospacing="0" w:after="0" w:afterAutospacing="0"/>
                    <w:ind w:left="0" w:right="0"/>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07" w:type="dxa"/>
                  <w:tcBorders>
                    <w:tl2br w:val="nil"/>
                    <w:tr2bl w:val="nil"/>
                  </w:tcBorders>
                  <w:vAlign w:val="center"/>
                </w:tcPr>
                <w:p>
                  <w:pPr>
                    <w:pStyle w:val="28"/>
                    <w:keepNext w:val="0"/>
                    <w:keepLines w:val="0"/>
                    <w:suppressLineNumbers w:val="0"/>
                    <w:bidi w:val="0"/>
                    <w:spacing w:before="0" w:beforeAutospacing="0" w:after="0" w:afterAutospacing="0"/>
                    <w:ind w:left="0" w:right="0"/>
                    <w:jc w:val="center"/>
                    <w:rPr>
                      <w:rFonts w:hint="default" w:ascii="Times New Roman" w:hAnsi="Times New Roman" w:eastAsia="宋体"/>
                      <w:color w:val="auto"/>
                      <w:lang w:val="en-US" w:eastAsia="zh-CN"/>
                    </w:rPr>
                  </w:pPr>
                  <w:bookmarkStart w:id="256" w:name="OLE_LINK261"/>
                  <w:r>
                    <w:rPr>
                      <w:rFonts w:hint="eastAsia" w:ascii="Times New Roman" w:hAnsi="Times New Roman" w:eastAsia="宋体"/>
                      <w:color w:val="auto"/>
                      <w:lang w:val="en-US" w:eastAsia="zh-CN"/>
                    </w:rPr>
                    <w:t>铅</w:t>
                  </w:r>
                  <w:r>
                    <w:rPr>
                      <w:rFonts w:hint="eastAsia"/>
                      <w:color w:val="auto"/>
                      <w:lang w:val="en-US" w:eastAsia="zh-CN"/>
                    </w:rPr>
                    <w:t>及其化合物</w:t>
                  </w:r>
                  <w:bookmarkEnd w:id="256"/>
                </w:p>
              </w:tc>
              <w:tc>
                <w:tcPr>
                  <w:tcW w:w="2008" w:type="dxa"/>
                  <w:tcBorders>
                    <w:tl2br w:val="nil"/>
                    <w:tr2bl w:val="nil"/>
                  </w:tcBorders>
                  <w:vAlign w:val="center"/>
                </w:tcPr>
                <w:p>
                  <w:pPr>
                    <w:pStyle w:val="28"/>
                    <w:keepNext w:val="0"/>
                    <w:keepLines w:val="0"/>
                    <w:suppressLineNumbers w:val="0"/>
                    <w:bidi w:val="0"/>
                    <w:spacing w:before="0" w:beforeAutospacing="0" w:after="0" w:afterAutospacing="0"/>
                    <w:ind w:left="0" w:right="0"/>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24</w:t>
                  </w:r>
                </w:p>
              </w:tc>
              <w:tc>
                <w:tcPr>
                  <w:tcW w:w="2008" w:type="dxa"/>
                  <w:tcBorders>
                    <w:tl2br w:val="nil"/>
                    <w:tr2bl w:val="nil"/>
                  </w:tcBorders>
                  <w:vAlign w:val="center"/>
                </w:tcPr>
                <w:p>
                  <w:pPr>
                    <w:pStyle w:val="28"/>
                    <w:keepNext w:val="0"/>
                    <w:keepLines w:val="0"/>
                    <w:suppressLineNumbers w:val="0"/>
                    <w:bidi w:val="0"/>
                    <w:spacing w:before="0" w:beforeAutospacing="0" w:after="0" w:afterAutospacing="0"/>
                    <w:ind w:left="0" w:right="0"/>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50</w:t>
                  </w:r>
                </w:p>
              </w:tc>
              <w:tc>
                <w:tcPr>
                  <w:tcW w:w="2008" w:type="dxa"/>
                  <w:tcBorders>
                    <w:tl2br w:val="nil"/>
                    <w:tr2bl w:val="nil"/>
                  </w:tcBorders>
                  <w:vAlign w:val="center"/>
                </w:tcPr>
                <w:p>
                  <w:pPr>
                    <w:pStyle w:val="28"/>
                    <w:keepNext w:val="0"/>
                    <w:keepLines w:val="0"/>
                    <w:suppressLineNumbers w:val="0"/>
                    <w:bidi w:val="0"/>
                    <w:spacing w:before="0" w:beforeAutospacing="0" w:after="0" w:afterAutospacing="0"/>
                    <w:ind w:left="0" w:right="0"/>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0.48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3" w:type="dxa"/>
                  <w:gridSpan w:val="3"/>
                  <w:tcBorders>
                    <w:tl2br w:val="nil"/>
                    <w:tr2bl w:val="nil"/>
                  </w:tcBorders>
                  <w:vAlign w:val="center"/>
                </w:tcPr>
                <w:p>
                  <w:pPr>
                    <w:pStyle w:val="28"/>
                    <w:keepNext w:val="0"/>
                    <w:keepLines w:val="0"/>
                    <w:suppressLineNumbers w:val="0"/>
                    <w:bidi w:val="0"/>
                    <w:spacing w:before="0" w:beforeAutospacing="0" w:after="0" w:afterAutospacing="0"/>
                    <w:ind w:left="0" w:right="0"/>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合计</w:t>
                  </w:r>
                </w:p>
              </w:tc>
              <w:tc>
                <w:tcPr>
                  <w:tcW w:w="2008" w:type="dxa"/>
                  <w:tcBorders>
                    <w:tl2br w:val="nil"/>
                    <w:tr2bl w:val="nil"/>
                  </w:tcBorders>
                  <w:vAlign w:val="center"/>
                </w:tcPr>
                <w:p>
                  <w:pPr>
                    <w:pStyle w:val="28"/>
                    <w:keepNext w:val="0"/>
                    <w:keepLines w:val="0"/>
                    <w:suppressLineNumbers w:val="0"/>
                    <w:bidi w:val="0"/>
                    <w:spacing w:before="0" w:beforeAutospacing="0" w:after="0" w:afterAutospacing="0"/>
                    <w:ind w:left="0" w:right="0"/>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0.60</w:t>
                  </w:r>
                </w:p>
              </w:tc>
            </w:tr>
          </w:tbl>
          <w:p>
            <w:pPr>
              <w:keepNext w:val="0"/>
              <w:keepLines w:val="0"/>
              <w:suppressLineNumbers w:val="0"/>
              <w:bidi w:val="0"/>
              <w:spacing w:before="0" w:beforeAutospacing="0" w:after="0" w:afterAutospacing="0"/>
              <w:ind w:left="0" w:right="0"/>
              <w:rPr>
                <w:color w:val="auto"/>
              </w:rPr>
            </w:pPr>
            <w:r>
              <w:rPr>
                <w:rFonts w:ascii="Times New Roman" w:hAnsi="Times New Roman" w:eastAsia="宋体" w:cs="Times New Roman"/>
                <w:color w:val="auto"/>
              </w:rPr>
              <w:t>根据上表，本项目Q&lt;1时，项目环境风险潜势为I，项目未构成重大危险源。</w:t>
            </w:r>
            <w:r>
              <w:rPr>
                <w:color w:val="auto"/>
              </w:rPr>
              <w:t>因此本项目不需要设置环境风险专题。</w:t>
            </w:r>
          </w:p>
          <w:p>
            <w:pPr>
              <w:keepNext w:val="0"/>
              <w:keepLines w:val="0"/>
              <w:suppressLineNumbers w:val="0"/>
              <w:bidi w:val="0"/>
              <w:spacing w:before="0" w:beforeAutospacing="0" w:after="0" w:afterAutospacing="0"/>
              <w:ind w:left="0" w:right="0"/>
              <w:rPr>
                <w:color w:val="auto"/>
              </w:rPr>
            </w:pPr>
            <w:r>
              <w:rPr>
                <w:rFonts w:hint="eastAsia"/>
                <w:color w:val="auto"/>
              </w:rPr>
              <w:t>（1）风险源识别</w:t>
            </w:r>
          </w:p>
          <w:p>
            <w:pPr>
              <w:keepNext w:val="0"/>
              <w:keepLines w:val="0"/>
              <w:suppressLineNumbers w:val="0"/>
              <w:bidi w:val="0"/>
              <w:spacing w:before="0" w:beforeAutospacing="0" w:after="0" w:afterAutospacing="0"/>
              <w:ind w:left="0" w:right="0"/>
              <w:rPr>
                <w:color w:val="auto"/>
                <w:szCs w:val="24"/>
              </w:rPr>
            </w:pPr>
            <w:r>
              <w:rPr>
                <w:color w:val="auto"/>
              </w:rPr>
              <w:t>本项目主要风险物质为废铅酸蓄电池中的硫酸、</w:t>
            </w:r>
            <w:r>
              <w:rPr>
                <w:rFonts w:hint="eastAsia"/>
                <w:color w:val="auto"/>
                <w:lang w:val="en-US" w:eastAsia="zh-CN"/>
              </w:rPr>
              <w:t>铅及其化合物</w:t>
            </w:r>
            <w:r>
              <w:rPr>
                <w:color w:val="auto"/>
              </w:rPr>
              <w:t>等。</w:t>
            </w:r>
            <w:r>
              <w:rPr>
                <w:rFonts w:hint="eastAsia"/>
                <w:color w:val="auto"/>
              </w:rPr>
              <w:t>理化性质如下：</w:t>
            </w:r>
          </w:p>
          <w:p>
            <w:pPr>
              <w:pStyle w:val="12"/>
              <w:keepNext w:val="0"/>
              <w:keepLines w:val="0"/>
              <w:suppressLineNumbers w:val="0"/>
              <w:bidi w:val="0"/>
              <w:spacing w:before="0" w:beforeAutospacing="0" w:after="0" w:afterAutospacing="0"/>
              <w:ind w:left="0" w:right="0"/>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表</w:t>
            </w:r>
            <w:r>
              <w:rPr>
                <w:rFonts w:hint="eastAsia" w:cs="Times New Roman" w:eastAsiaTheme="minorEastAsia"/>
                <w:b/>
                <w:color w:val="auto"/>
                <w:sz w:val="24"/>
                <w:szCs w:val="24"/>
                <w:lang w:val="en-US" w:eastAsia="zh-CN"/>
              </w:rPr>
              <w:t>4-14</w:t>
            </w:r>
            <w:r>
              <w:rPr>
                <w:rFonts w:hint="default" w:ascii="Times New Roman" w:hAnsi="Times New Roman" w:cs="Times New Roman" w:eastAsiaTheme="minorEastAsia"/>
                <w:b/>
                <w:color w:val="auto"/>
                <w:sz w:val="24"/>
                <w:szCs w:val="24"/>
              </w:rPr>
              <w:t xml:space="preserve"> </w:t>
            </w:r>
            <w:r>
              <w:rPr>
                <w:rFonts w:hint="default" w:ascii="Times New Roman" w:hAnsi="Times New Roman" w:cs="Times New Roman" w:eastAsiaTheme="minorEastAsia"/>
                <w:b/>
                <w:color w:val="auto"/>
                <w:sz w:val="24"/>
                <w:szCs w:val="24"/>
                <w:lang w:val="en-US" w:eastAsia="zh-CN"/>
              </w:rPr>
              <w:t xml:space="preserve">   </w:t>
            </w:r>
            <w:r>
              <w:rPr>
                <w:rFonts w:hint="default" w:ascii="Times New Roman" w:hAnsi="Times New Roman" w:cs="Times New Roman" w:eastAsiaTheme="minorEastAsia"/>
                <w:b/>
                <w:color w:val="auto"/>
                <w:sz w:val="24"/>
                <w:szCs w:val="24"/>
              </w:rPr>
              <w:t>硫酸理化性质相关情况</w:t>
            </w:r>
          </w:p>
          <w:tbl>
            <w:tblPr>
              <w:tblStyle w:val="22"/>
              <w:tblW w:w="495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6"/>
              <w:gridCol w:w="2476"/>
              <w:gridCol w:w="1102"/>
              <w:gridCol w:w="1215"/>
              <w:gridCol w:w="184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 w:type="pct"/>
                  <w:vAlign w:val="center"/>
                </w:tcPr>
                <w:p>
                  <w:pPr>
                    <w:pStyle w:val="28"/>
                    <w:keepNext w:val="0"/>
                    <w:keepLines w:val="0"/>
                    <w:suppressLineNumbers w:val="0"/>
                    <w:bidi w:val="0"/>
                    <w:spacing w:before="0" w:beforeAutospacing="0" w:after="0" w:afterAutospacing="0"/>
                    <w:ind w:left="0" w:right="0"/>
                    <w:rPr>
                      <w:color w:val="auto"/>
                    </w:rPr>
                  </w:pPr>
                  <w:r>
                    <w:rPr>
                      <w:color w:val="auto"/>
                    </w:rPr>
                    <w:t>国际编号：</w:t>
                  </w:r>
                </w:p>
              </w:tc>
              <w:tc>
                <w:tcPr>
                  <w:tcW w:w="2247" w:type="pct"/>
                  <w:gridSpan w:val="2"/>
                  <w:vAlign w:val="center"/>
                </w:tcPr>
                <w:p>
                  <w:pPr>
                    <w:pStyle w:val="28"/>
                    <w:keepNext w:val="0"/>
                    <w:keepLines w:val="0"/>
                    <w:suppressLineNumbers w:val="0"/>
                    <w:bidi w:val="0"/>
                    <w:spacing w:before="0" w:beforeAutospacing="0" w:after="0" w:afterAutospacing="0"/>
                    <w:ind w:left="0" w:right="0"/>
                    <w:rPr>
                      <w:color w:val="auto"/>
                    </w:rPr>
                  </w:pPr>
                  <w:r>
                    <w:rPr>
                      <w:color w:val="auto"/>
                    </w:rPr>
                    <w:t>81007</w:t>
                  </w:r>
                </w:p>
              </w:tc>
              <w:tc>
                <w:tcPr>
                  <w:tcW w:w="763" w:type="pct"/>
                  <w:vAlign w:val="center"/>
                </w:tcPr>
                <w:p>
                  <w:pPr>
                    <w:pStyle w:val="28"/>
                    <w:keepNext w:val="0"/>
                    <w:keepLines w:val="0"/>
                    <w:suppressLineNumbers w:val="0"/>
                    <w:bidi w:val="0"/>
                    <w:spacing w:before="0" w:beforeAutospacing="0" w:after="0" w:afterAutospacing="0"/>
                    <w:ind w:left="0" w:right="0"/>
                    <w:rPr>
                      <w:color w:val="auto"/>
                    </w:rPr>
                  </w:pPr>
                  <w:r>
                    <w:rPr>
                      <w:color w:val="auto"/>
                    </w:rPr>
                    <w:t>CAS号</w:t>
                  </w:r>
                </w:p>
              </w:tc>
              <w:tc>
                <w:tcPr>
                  <w:tcW w:w="1157" w:type="pct"/>
                  <w:vAlign w:val="center"/>
                </w:tcPr>
                <w:p>
                  <w:pPr>
                    <w:pStyle w:val="28"/>
                    <w:keepNext w:val="0"/>
                    <w:keepLines w:val="0"/>
                    <w:suppressLineNumbers w:val="0"/>
                    <w:bidi w:val="0"/>
                    <w:spacing w:before="0" w:beforeAutospacing="0" w:after="0" w:afterAutospacing="0"/>
                    <w:ind w:left="0" w:right="0"/>
                    <w:rPr>
                      <w:color w:val="auto"/>
                    </w:rPr>
                  </w:pPr>
                  <w:r>
                    <w:rPr>
                      <w:color w:val="auto"/>
                    </w:rPr>
                    <w:t>7664-93-9</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 w:type="pct"/>
                  <w:vAlign w:val="center"/>
                </w:tcPr>
                <w:p>
                  <w:pPr>
                    <w:pStyle w:val="28"/>
                    <w:keepNext w:val="0"/>
                    <w:keepLines w:val="0"/>
                    <w:suppressLineNumbers w:val="0"/>
                    <w:bidi w:val="0"/>
                    <w:spacing w:before="0" w:beforeAutospacing="0" w:after="0" w:afterAutospacing="0"/>
                    <w:ind w:left="0" w:right="0"/>
                    <w:rPr>
                      <w:color w:val="auto"/>
                    </w:rPr>
                  </w:pPr>
                  <w:r>
                    <w:rPr>
                      <w:color w:val="auto"/>
                    </w:rPr>
                    <w:t>化学品别名</w:t>
                  </w:r>
                </w:p>
              </w:tc>
              <w:tc>
                <w:tcPr>
                  <w:tcW w:w="2247" w:type="pct"/>
                  <w:gridSpan w:val="2"/>
                  <w:vAlign w:val="center"/>
                </w:tcPr>
                <w:p>
                  <w:pPr>
                    <w:pStyle w:val="28"/>
                    <w:keepNext w:val="0"/>
                    <w:keepLines w:val="0"/>
                    <w:suppressLineNumbers w:val="0"/>
                    <w:bidi w:val="0"/>
                    <w:spacing w:before="0" w:beforeAutospacing="0" w:after="0" w:afterAutospacing="0"/>
                    <w:ind w:left="0" w:right="0"/>
                    <w:rPr>
                      <w:color w:val="auto"/>
                    </w:rPr>
                  </w:pPr>
                  <w:r>
                    <w:rPr>
                      <w:color w:val="auto"/>
                    </w:rPr>
                    <w:t>磺镪水</w:t>
                  </w:r>
                </w:p>
              </w:tc>
              <w:tc>
                <w:tcPr>
                  <w:tcW w:w="763" w:type="pct"/>
                  <w:vAlign w:val="center"/>
                </w:tcPr>
                <w:p>
                  <w:pPr>
                    <w:pStyle w:val="28"/>
                    <w:keepNext w:val="0"/>
                    <w:keepLines w:val="0"/>
                    <w:suppressLineNumbers w:val="0"/>
                    <w:bidi w:val="0"/>
                    <w:spacing w:before="0" w:beforeAutospacing="0" w:after="0" w:afterAutospacing="0"/>
                    <w:ind w:left="0" w:right="0"/>
                    <w:rPr>
                      <w:color w:val="auto"/>
                    </w:rPr>
                  </w:pPr>
                  <w:r>
                    <w:rPr>
                      <w:color w:val="auto"/>
                    </w:rPr>
                    <w:t>英文名称</w:t>
                  </w:r>
                </w:p>
              </w:tc>
              <w:tc>
                <w:tcPr>
                  <w:tcW w:w="1157" w:type="pct"/>
                  <w:vAlign w:val="center"/>
                </w:tcPr>
                <w:p>
                  <w:pPr>
                    <w:pStyle w:val="28"/>
                    <w:keepNext w:val="0"/>
                    <w:keepLines w:val="0"/>
                    <w:suppressLineNumbers w:val="0"/>
                    <w:bidi w:val="0"/>
                    <w:spacing w:before="0" w:beforeAutospacing="0" w:after="0" w:afterAutospacing="0"/>
                    <w:ind w:left="0" w:right="0"/>
                    <w:rPr>
                      <w:color w:val="auto"/>
                    </w:rPr>
                  </w:pPr>
                  <w:r>
                    <w:rPr>
                      <w:color w:val="auto"/>
                    </w:rPr>
                    <w:t>Sulfuric acid</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 w:type="pct"/>
                  <w:vAlign w:val="center"/>
                </w:tcPr>
                <w:p>
                  <w:pPr>
                    <w:pStyle w:val="28"/>
                    <w:keepNext w:val="0"/>
                    <w:keepLines w:val="0"/>
                    <w:suppressLineNumbers w:val="0"/>
                    <w:bidi w:val="0"/>
                    <w:spacing w:before="0" w:beforeAutospacing="0" w:after="0" w:afterAutospacing="0"/>
                    <w:ind w:left="0" w:right="0"/>
                    <w:rPr>
                      <w:color w:val="auto"/>
                    </w:rPr>
                  </w:pPr>
                  <w:r>
                    <w:rPr>
                      <w:color w:val="auto"/>
                    </w:rPr>
                    <w:t>分子式</w:t>
                  </w:r>
                </w:p>
              </w:tc>
              <w:tc>
                <w:tcPr>
                  <w:tcW w:w="1555" w:type="pct"/>
                  <w:vAlign w:val="center"/>
                </w:tcPr>
                <w:p>
                  <w:pPr>
                    <w:pStyle w:val="28"/>
                    <w:keepNext w:val="0"/>
                    <w:keepLines w:val="0"/>
                    <w:suppressLineNumbers w:val="0"/>
                    <w:bidi w:val="0"/>
                    <w:spacing w:before="0" w:beforeAutospacing="0" w:after="0" w:afterAutospacing="0"/>
                    <w:ind w:left="0" w:right="0"/>
                    <w:rPr>
                      <w:color w:val="auto"/>
                    </w:rPr>
                  </w:pPr>
                  <w:r>
                    <w:rPr>
                      <w:color w:val="auto"/>
                    </w:rPr>
                    <w:t xml:space="preserve"> H</w:t>
                  </w:r>
                  <w:r>
                    <w:rPr>
                      <w:color w:val="auto"/>
                      <w:vertAlign w:val="subscript"/>
                    </w:rPr>
                    <w:t>2</w:t>
                  </w:r>
                  <w:r>
                    <w:rPr>
                      <w:color w:val="auto"/>
                    </w:rPr>
                    <w:t>SO</w:t>
                  </w:r>
                  <w:r>
                    <w:rPr>
                      <w:color w:val="auto"/>
                      <w:vertAlign w:val="subscript"/>
                    </w:rPr>
                    <w:t>4</w:t>
                  </w:r>
                </w:p>
              </w:tc>
              <w:tc>
                <w:tcPr>
                  <w:tcW w:w="692" w:type="pct"/>
                  <w:vAlign w:val="center"/>
                </w:tcPr>
                <w:p>
                  <w:pPr>
                    <w:pStyle w:val="28"/>
                    <w:keepNext w:val="0"/>
                    <w:keepLines w:val="0"/>
                    <w:suppressLineNumbers w:val="0"/>
                    <w:bidi w:val="0"/>
                    <w:spacing w:before="0" w:beforeAutospacing="0" w:after="0" w:afterAutospacing="0"/>
                    <w:ind w:left="0" w:right="0"/>
                    <w:rPr>
                      <w:color w:val="auto"/>
                    </w:rPr>
                  </w:pPr>
                  <w:r>
                    <w:rPr>
                      <w:color w:val="auto"/>
                    </w:rPr>
                    <w:t>外观与性状</w:t>
                  </w:r>
                </w:p>
              </w:tc>
              <w:tc>
                <w:tcPr>
                  <w:tcW w:w="1920" w:type="pct"/>
                  <w:gridSpan w:val="2"/>
                  <w:vAlign w:val="center"/>
                </w:tcPr>
                <w:p>
                  <w:pPr>
                    <w:pStyle w:val="28"/>
                    <w:keepNext w:val="0"/>
                    <w:keepLines w:val="0"/>
                    <w:suppressLineNumbers w:val="0"/>
                    <w:bidi w:val="0"/>
                    <w:spacing w:before="0" w:beforeAutospacing="0" w:after="0" w:afterAutospacing="0"/>
                    <w:ind w:left="0" w:right="0"/>
                    <w:rPr>
                      <w:color w:val="auto"/>
                    </w:rPr>
                  </w:pPr>
                  <w:r>
                    <w:rPr>
                      <w:color w:val="auto"/>
                    </w:rPr>
                    <w:t>纯品为无色透明油状液体，无臭</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 w:type="pct"/>
                  <w:vAlign w:val="center"/>
                </w:tcPr>
                <w:p>
                  <w:pPr>
                    <w:pStyle w:val="28"/>
                    <w:keepNext w:val="0"/>
                    <w:keepLines w:val="0"/>
                    <w:suppressLineNumbers w:val="0"/>
                    <w:bidi w:val="0"/>
                    <w:spacing w:before="0" w:beforeAutospacing="0" w:after="0" w:afterAutospacing="0"/>
                    <w:ind w:left="0" w:right="0"/>
                    <w:rPr>
                      <w:color w:val="auto"/>
                    </w:rPr>
                  </w:pPr>
                  <w:r>
                    <w:rPr>
                      <w:color w:val="auto"/>
                    </w:rPr>
                    <w:t>分子量</w:t>
                  </w:r>
                </w:p>
              </w:tc>
              <w:tc>
                <w:tcPr>
                  <w:tcW w:w="1555" w:type="pct"/>
                  <w:vAlign w:val="center"/>
                </w:tcPr>
                <w:p>
                  <w:pPr>
                    <w:pStyle w:val="28"/>
                    <w:keepNext w:val="0"/>
                    <w:keepLines w:val="0"/>
                    <w:suppressLineNumbers w:val="0"/>
                    <w:bidi w:val="0"/>
                    <w:spacing w:before="0" w:beforeAutospacing="0" w:after="0" w:afterAutospacing="0"/>
                    <w:ind w:left="0" w:right="0"/>
                    <w:rPr>
                      <w:color w:val="auto"/>
                    </w:rPr>
                  </w:pPr>
                  <w:r>
                    <w:rPr>
                      <w:color w:val="auto"/>
                    </w:rPr>
                    <w:t>98.08</w:t>
                  </w:r>
                </w:p>
              </w:tc>
              <w:tc>
                <w:tcPr>
                  <w:tcW w:w="692" w:type="pct"/>
                  <w:vAlign w:val="center"/>
                </w:tcPr>
                <w:p>
                  <w:pPr>
                    <w:pStyle w:val="28"/>
                    <w:keepNext w:val="0"/>
                    <w:keepLines w:val="0"/>
                    <w:suppressLineNumbers w:val="0"/>
                    <w:bidi w:val="0"/>
                    <w:spacing w:before="0" w:beforeAutospacing="0" w:after="0" w:afterAutospacing="0"/>
                    <w:ind w:left="0" w:right="0"/>
                    <w:rPr>
                      <w:color w:val="auto"/>
                    </w:rPr>
                  </w:pPr>
                  <w:r>
                    <w:rPr>
                      <w:color w:val="auto"/>
                    </w:rPr>
                    <w:t>蒸汽压</w:t>
                  </w:r>
                </w:p>
              </w:tc>
              <w:tc>
                <w:tcPr>
                  <w:tcW w:w="1920" w:type="pct"/>
                  <w:gridSpan w:val="2"/>
                  <w:vAlign w:val="center"/>
                </w:tcPr>
                <w:p>
                  <w:pPr>
                    <w:pStyle w:val="28"/>
                    <w:keepNext w:val="0"/>
                    <w:keepLines w:val="0"/>
                    <w:suppressLineNumbers w:val="0"/>
                    <w:bidi w:val="0"/>
                    <w:spacing w:before="0" w:beforeAutospacing="0" w:after="0" w:afterAutospacing="0"/>
                    <w:ind w:left="0" w:right="0"/>
                    <w:rPr>
                      <w:color w:val="auto"/>
                    </w:rPr>
                  </w:pPr>
                  <w:r>
                    <w:rPr>
                      <w:color w:val="auto"/>
                    </w:rPr>
                    <w:t>0.13kPa(145.8℃)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 w:type="pct"/>
                  <w:vAlign w:val="center"/>
                </w:tcPr>
                <w:p>
                  <w:pPr>
                    <w:pStyle w:val="28"/>
                    <w:keepNext w:val="0"/>
                    <w:keepLines w:val="0"/>
                    <w:suppressLineNumbers w:val="0"/>
                    <w:bidi w:val="0"/>
                    <w:spacing w:before="0" w:beforeAutospacing="0" w:after="0" w:afterAutospacing="0"/>
                    <w:ind w:left="0" w:right="0"/>
                    <w:rPr>
                      <w:color w:val="auto"/>
                    </w:rPr>
                  </w:pPr>
                  <w:r>
                    <w:rPr>
                      <w:color w:val="auto"/>
                    </w:rPr>
                    <w:t>熔点</w:t>
                  </w:r>
                </w:p>
              </w:tc>
              <w:tc>
                <w:tcPr>
                  <w:tcW w:w="1555" w:type="pct"/>
                  <w:vAlign w:val="center"/>
                </w:tcPr>
                <w:p>
                  <w:pPr>
                    <w:pStyle w:val="28"/>
                    <w:keepNext w:val="0"/>
                    <w:keepLines w:val="0"/>
                    <w:suppressLineNumbers w:val="0"/>
                    <w:bidi w:val="0"/>
                    <w:spacing w:before="0" w:beforeAutospacing="0" w:after="0" w:afterAutospacing="0"/>
                    <w:ind w:left="0" w:right="0"/>
                    <w:rPr>
                      <w:color w:val="auto"/>
                    </w:rPr>
                  </w:pPr>
                  <w:r>
                    <w:rPr>
                      <w:color w:val="auto"/>
                    </w:rPr>
                    <w:t>10.5℃沸点：330.0℃</w:t>
                  </w:r>
                </w:p>
              </w:tc>
              <w:tc>
                <w:tcPr>
                  <w:tcW w:w="692" w:type="pct"/>
                  <w:vAlign w:val="center"/>
                </w:tcPr>
                <w:p>
                  <w:pPr>
                    <w:pStyle w:val="28"/>
                    <w:keepNext w:val="0"/>
                    <w:keepLines w:val="0"/>
                    <w:suppressLineNumbers w:val="0"/>
                    <w:bidi w:val="0"/>
                    <w:spacing w:before="0" w:beforeAutospacing="0" w:after="0" w:afterAutospacing="0"/>
                    <w:ind w:left="0" w:right="0"/>
                    <w:rPr>
                      <w:color w:val="auto"/>
                    </w:rPr>
                  </w:pPr>
                  <w:r>
                    <w:rPr>
                      <w:color w:val="auto"/>
                    </w:rPr>
                    <w:t>溶解性</w:t>
                  </w:r>
                </w:p>
              </w:tc>
              <w:tc>
                <w:tcPr>
                  <w:tcW w:w="1920" w:type="pct"/>
                  <w:gridSpan w:val="2"/>
                  <w:vAlign w:val="center"/>
                </w:tcPr>
                <w:p>
                  <w:pPr>
                    <w:pStyle w:val="28"/>
                    <w:keepNext w:val="0"/>
                    <w:keepLines w:val="0"/>
                    <w:suppressLineNumbers w:val="0"/>
                    <w:bidi w:val="0"/>
                    <w:spacing w:before="0" w:beforeAutospacing="0" w:after="0" w:afterAutospacing="0"/>
                    <w:ind w:left="0" w:right="0"/>
                    <w:rPr>
                      <w:color w:val="auto"/>
                    </w:rPr>
                  </w:pPr>
                  <w:r>
                    <w:rPr>
                      <w:color w:val="auto"/>
                    </w:rPr>
                    <w:t>与水混溶</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 w:type="pct"/>
                  <w:vAlign w:val="center"/>
                </w:tcPr>
                <w:p>
                  <w:pPr>
                    <w:pStyle w:val="28"/>
                    <w:keepNext w:val="0"/>
                    <w:keepLines w:val="0"/>
                    <w:suppressLineNumbers w:val="0"/>
                    <w:bidi w:val="0"/>
                    <w:spacing w:before="0" w:beforeAutospacing="0" w:after="0" w:afterAutospacing="0"/>
                    <w:ind w:left="0" w:right="0"/>
                    <w:rPr>
                      <w:color w:val="auto"/>
                    </w:rPr>
                  </w:pPr>
                  <w:r>
                    <w:rPr>
                      <w:color w:val="auto"/>
                    </w:rPr>
                    <w:t>密度</w:t>
                  </w:r>
                </w:p>
              </w:tc>
              <w:tc>
                <w:tcPr>
                  <w:tcW w:w="1555" w:type="pct"/>
                  <w:vAlign w:val="center"/>
                </w:tcPr>
                <w:p>
                  <w:pPr>
                    <w:pStyle w:val="28"/>
                    <w:keepNext w:val="0"/>
                    <w:keepLines w:val="0"/>
                    <w:suppressLineNumbers w:val="0"/>
                    <w:bidi w:val="0"/>
                    <w:spacing w:before="0" w:beforeAutospacing="0" w:after="0" w:afterAutospacing="0"/>
                    <w:ind w:left="0" w:right="0"/>
                    <w:rPr>
                      <w:color w:val="auto"/>
                    </w:rPr>
                  </w:pPr>
                  <w:r>
                    <w:rPr>
                      <w:color w:val="auto"/>
                    </w:rPr>
                    <w:t>相对密度(水=1)1.83；相对密度(空气=1)3.4</w:t>
                  </w:r>
                </w:p>
              </w:tc>
              <w:tc>
                <w:tcPr>
                  <w:tcW w:w="692" w:type="pct"/>
                  <w:vAlign w:val="center"/>
                </w:tcPr>
                <w:p>
                  <w:pPr>
                    <w:pStyle w:val="28"/>
                    <w:keepNext w:val="0"/>
                    <w:keepLines w:val="0"/>
                    <w:suppressLineNumbers w:val="0"/>
                    <w:bidi w:val="0"/>
                    <w:spacing w:before="0" w:beforeAutospacing="0" w:after="0" w:afterAutospacing="0"/>
                    <w:ind w:left="0" w:right="0"/>
                    <w:rPr>
                      <w:color w:val="auto"/>
                    </w:rPr>
                  </w:pPr>
                  <w:r>
                    <w:rPr>
                      <w:color w:val="auto"/>
                    </w:rPr>
                    <w:t>稳定性</w:t>
                  </w:r>
                </w:p>
              </w:tc>
              <w:tc>
                <w:tcPr>
                  <w:tcW w:w="1920" w:type="pct"/>
                  <w:gridSpan w:val="2"/>
                  <w:vAlign w:val="center"/>
                </w:tcPr>
                <w:p>
                  <w:pPr>
                    <w:pStyle w:val="28"/>
                    <w:keepNext w:val="0"/>
                    <w:keepLines w:val="0"/>
                    <w:suppressLineNumbers w:val="0"/>
                    <w:bidi w:val="0"/>
                    <w:spacing w:before="0" w:beforeAutospacing="0" w:after="0" w:afterAutospacing="0"/>
                    <w:ind w:left="0" w:right="0"/>
                    <w:rPr>
                      <w:color w:val="auto"/>
                    </w:rPr>
                  </w:pPr>
                  <w:r>
                    <w:rPr>
                      <w:color w:val="auto"/>
                    </w:rPr>
                    <w:t>稳定</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 w:type="pct"/>
                  <w:vAlign w:val="center"/>
                </w:tcPr>
                <w:p>
                  <w:pPr>
                    <w:pStyle w:val="28"/>
                    <w:keepNext w:val="0"/>
                    <w:keepLines w:val="0"/>
                    <w:suppressLineNumbers w:val="0"/>
                    <w:bidi w:val="0"/>
                    <w:spacing w:before="0" w:beforeAutospacing="0" w:after="0" w:afterAutospacing="0"/>
                    <w:ind w:left="0" w:right="0"/>
                    <w:rPr>
                      <w:color w:val="auto"/>
                    </w:rPr>
                  </w:pPr>
                  <w:r>
                    <w:rPr>
                      <w:color w:val="auto"/>
                    </w:rPr>
                    <w:t>危险标记</w:t>
                  </w:r>
                </w:p>
              </w:tc>
              <w:tc>
                <w:tcPr>
                  <w:tcW w:w="1555" w:type="pct"/>
                  <w:vAlign w:val="center"/>
                </w:tcPr>
                <w:p>
                  <w:pPr>
                    <w:pStyle w:val="28"/>
                    <w:keepNext w:val="0"/>
                    <w:keepLines w:val="0"/>
                    <w:suppressLineNumbers w:val="0"/>
                    <w:bidi w:val="0"/>
                    <w:spacing w:before="0" w:beforeAutospacing="0" w:after="0" w:afterAutospacing="0"/>
                    <w:ind w:left="0" w:right="0"/>
                    <w:rPr>
                      <w:color w:val="auto"/>
                    </w:rPr>
                  </w:pPr>
                  <w:r>
                    <w:rPr>
                      <w:color w:val="auto"/>
                    </w:rPr>
                    <w:t>20(酸性腐蚀品)</w:t>
                  </w:r>
                </w:p>
              </w:tc>
              <w:tc>
                <w:tcPr>
                  <w:tcW w:w="692" w:type="pct"/>
                  <w:vAlign w:val="center"/>
                </w:tcPr>
                <w:p>
                  <w:pPr>
                    <w:pStyle w:val="28"/>
                    <w:keepNext w:val="0"/>
                    <w:keepLines w:val="0"/>
                    <w:suppressLineNumbers w:val="0"/>
                    <w:bidi w:val="0"/>
                    <w:spacing w:before="0" w:beforeAutospacing="0" w:after="0" w:afterAutospacing="0"/>
                    <w:ind w:left="0" w:right="0"/>
                    <w:rPr>
                      <w:color w:val="auto"/>
                    </w:rPr>
                  </w:pPr>
                  <w:r>
                    <w:rPr>
                      <w:color w:val="auto"/>
                    </w:rPr>
                    <w:t>主要用途</w:t>
                  </w:r>
                </w:p>
              </w:tc>
              <w:tc>
                <w:tcPr>
                  <w:tcW w:w="1920" w:type="pct"/>
                  <w:gridSpan w:val="2"/>
                  <w:vAlign w:val="center"/>
                </w:tcPr>
                <w:p>
                  <w:pPr>
                    <w:pStyle w:val="28"/>
                    <w:keepNext w:val="0"/>
                    <w:keepLines w:val="0"/>
                    <w:suppressLineNumbers w:val="0"/>
                    <w:bidi w:val="0"/>
                    <w:spacing w:before="0" w:beforeAutospacing="0" w:after="0" w:afterAutospacing="0"/>
                    <w:ind w:left="0" w:right="0"/>
                    <w:rPr>
                      <w:color w:val="auto"/>
                    </w:rPr>
                  </w:pPr>
                  <w:r>
                    <w:rPr>
                      <w:color w:val="auto"/>
                    </w:rPr>
                    <w:t>用于生产化学肥料，在化工、医药、塑料、染料、石油提炼等工业也有广泛的应用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 w:type="pct"/>
                  <w:vAlign w:val="center"/>
                </w:tcPr>
                <w:p>
                  <w:pPr>
                    <w:pStyle w:val="28"/>
                    <w:keepNext w:val="0"/>
                    <w:keepLines w:val="0"/>
                    <w:suppressLineNumbers w:val="0"/>
                    <w:bidi w:val="0"/>
                    <w:spacing w:before="0" w:beforeAutospacing="0" w:after="0" w:afterAutospacing="0"/>
                    <w:ind w:left="0" w:right="0"/>
                    <w:rPr>
                      <w:color w:val="auto"/>
                    </w:rPr>
                  </w:pPr>
                  <w:r>
                    <w:rPr>
                      <w:color w:val="auto"/>
                    </w:rPr>
                    <w:t>健康危害、</w:t>
                  </w:r>
                </w:p>
                <w:p>
                  <w:pPr>
                    <w:pStyle w:val="28"/>
                    <w:keepNext w:val="0"/>
                    <w:keepLines w:val="0"/>
                    <w:suppressLineNumbers w:val="0"/>
                    <w:bidi w:val="0"/>
                    <w:spacing w:before="0" w:beforeAutospacing="0" w:after="0" w:afterAutospacing="0"/>
                    <w:ind w:left="0" w:right="0"/>
                    <w:rPr>
                      <w:color w:val="auto"/>
                    </w:rPr>
                  </w:pPr>
                  <w:r>
                    <w:rPr>
                      <w:color w:val="auto"/>
                    </w:rPr>
                    <w:t>环境危害、</w:t>
                  </w:r>
                </w:p>
              </w:tc>
              <w:tc>
                <w:tcPr>
                  <w:tcW w:w="4167" w:type="pct"/>
                  <w:gridSpan w:val="4"/>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侵入途径：吸入。</w:t>
                  </w:r>
                </w:p>
                <w:p>
                  <w:pPr>
                    <w:pStyle w:val="28"/>
                    <w:keepNext w:val="0"/>
                    <w:keepLines w:val="0"/>
                    <w:suppressLineNumbers w:val="0"/>
                    <w:bidi w:val="0"/>
                    <w:spacing w:before="0" w:beforeAutospacing="0" w:after="0" w:afterAutospacing="0"/>
                    <w:ind w:left="0" w:right="0"/>
                    <w:jc w:val="both"/>
                    <w:rPr>
                      <w:color w:val="auto"/>
                    </w:rPr>
                  </w:pPr>
                  <w:r>
                    <w:rPr>
                      <w:color w:val="auto"/>
                    </w:rPr>
                    <w:t>对皮肤、粘膜等组织有强烈的刺激和腐蚀作用。对眼睛可引起结膜炎、水肿、角膜混浊，以致失明；引起呼吸道刺激症状，重者发生呼吸困难和肺水肿；高浓度引起喉痉挛或声门水肿而死亡。口服后引起消化道的烧伤以至溃疡形成。严重者可能有胃穿孔、腹膜炎、喉痉挛和声门水肿、肾损害、休克等。慢性影响有牙齿酸蚀症、慢性支气管炎、肺气肿和肺硬化。</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 w:type="pct"/>
                  <w:vAlign w:val="center"/>
                </w:tcPr>
                <w:p>
                  <w:pPr>
                    <w:pStyle w:val="28"/>
                    <w:keepNext w:val="0"/>
                    <w:keepLines w:val="0"/>
                    <w:suppressLineNumbers w:val="0"/>
                    <w:bidi w:val="0"/>
                    <w:spacing w:before="0" w:beforeAutospacing="0" w:after="0" w:afterAutospacing="0"/>
                    <w:ind w:left="0" w:right="0"/>
                    <w:rPr>
                      <w:color w:val="auto"/>
                    </w:rPr>
                  </w:pPr>
                  <w:r>
                    <w:rPr>
                      <w:color w:val="auto"/>
                    </w:rPr>
                    <w:t>毒理学资料及环境行为</w:t>
                  </w:r>
                </w:p>
              </w:tc>
              <w:tc>
                <w:tcPr>
                  <w:tcW w:w="4167" w:type="pct"/>
                  <w:gridSpan w:val="4"/>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毒性：属中等毒性。</w:t>
                  </w:r>
                </w:p>
                <w:p>
                  <w:pPr>
                    <w:pStyle w:val="28"/>
                    <w:keepNext w:val="0"/>
                    <w:keepLines w:val="0"/>
                    <w:suppressLineNumbers w:val="0"/>
                    <w:bidi w:val="0"/>
                    <w:spacing w:before="0" w:beforeAutospacing="0" w:after="0" w:afterAutospacing="0"/>
                    <w:ind w:left="0" w:right="0"/>
                    <w:jc w:val="both"/>
                    <w:rPr>
                      <w:color w:val="auto"/>
                    </w:rPr>
                  </w:pPr>
                  <w:r>
                    <w:rPr>
                      <w:color w:val="auto"/>
                    </w:rPr>
                    <w:t>急性毒性：LD</w:t>
                  </w:r>
                  <w:r>
                    <w:rPr>
                      <w:color w:val="auto"/>
                      <w:vertAlign w:val="subscript"/>
                    </w:rPr>
                    <w:t>50</w:t>
                  </w:r>
                  <w:r>
                    <w:rPr>
                      <w:color w:val="auto"/>
                    </w:rPr>
                    <w:t>80mg/kg(大鼠经口)；LC</w:t>
                  </w:r>
                  <w:r>
                    <w:rPr>
                      <w:color w:val="auto"/>
                      <w:vertAlign w:val="subscript"/>
                    </w:rPr>
                    <w:t>50</w:t>
                  </w:r>
                  <w:r>
                    <w:rPr>
                      <w:color w:val="auto"/>
                    </w:rPr>
                    <w:t>510mg/</w:t>
                  </w:r>
                  <w:r>
                    <w:rPr>
                      <w:rFonts w:hint="eastAsia"/>
                      <w:color w:val="auto"/>
                      <w:lang w:eastAsia="zh-CN"/>
                    </w:rPr>
                    <w:t>m³</w:t>
                  </w:r>
                  <w:r>
                    <w:rPr>
                      <w:color w:val="auto"/>
                    </w:rPr>
                    <w:t>，2小时(大鼠吸入)；320mg/</w:t>
                  </w:r>
                  <w:r>
                    <w:rPr>
                      <w:rFonts w:hint="eastAsia"/>
                      <w:color w:val="auto"/>
                      <w:lang w:eastAsia="zh-CN"/>
                    </w:rPr>
                    <w:t>m³</w:t>
                  </w:r>
                  <w:r>
                    <w:rPr>
                      <w:color w:val="auto"/>
                    </w:rPr>
                    <w:t>，2小时(小鼠吸入)。</w:t>
                  </w:r>
                </w:p>
                <w:p>
                  <w:pPr>
                    <w:pStyle w:val="28"/>
                    <w:keepNext w:val="0"/>
                    <w:keepLines w:val="0"/>
                    <w:suppressLineNumbers w:val="0"/>
                    <w:bidi w:val="0"/>
                    <w:spacing w:before="0" w:beforeAutospacing="0" w:after="0" w:afterAutospacing="0"/>
                    <w:ind w:left="0" w:right="0"/>
                    <w:jc w:val="both"/>
                    <w:rPr>
                      <w:color w:val="auto"/>
                    </w:rPr>
                  </w:pPr>
                  <w:r>
                    <w:rPr>
                      <w:color w:val="auto"/>
                    </w:rPr>
                    <w:t>危险特性：与易燃物(如苯)和有机物(如糖、纤维素等)接触会发生剧烈反应，甚至引起燃烧。能与一些活性金属粉末发生反应，放出氢气。遇水大量放热，可发生沸溅。具有强腐蚀性。</w:t>
                  </w:r>
                </w:p>
                <w:p>
                  <w:pPr>
                    <w:pStyle w:val="28"/>
                    <w:keepNext w:val="0"/>
                    <w:keepLines w:val="0"/>
                    <w:suppressLineNumbers w:val="0"/>
                    <w:bidi w:val="0"/>
                    <w:spacing w:before="0" w:beforeAutospacing="0" w:after="0" w:afterAutospacing="0"/>
                    <w:ind w:left="0" w:right="0"/>
                    <w:jc w:val="both"/>
                    <w:rPr>
                      <w:color w:val="auto"/>
                    </w:rPr>
                  </w:pPr>
                  <w:r>
                    <w:rPr>
                      <w:color w:val="auto"/>
                    </w:rPr>
                    <w:t>燃烧(分解)产物：氧化硫。无爆炸</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 w:type="pct"/>
                  <w:vAlign w:val="center"/>
                </w:tcPr>
                <w:p>
                  <w:pPr>
                    <w:pStyle w:val="28"/>
                    <w:keepNext w:val="0"/>
                    <w:keepLines w:val="0"/>
                    <w:suppressLineNumbers w:val="0"/>
                    <w:bidi w:val="0"/>
                    <w:spacing w:before="0" w:beforeAutospacing="0" w:after="0" w:afterAutospacing="0"/>
                    <w:ind w:left="0" w:right="0"/>
                    <w:rPr>
                      <w:color w:val="auto"/>
                    </w:rPr>
                  </w:pPr>
                  <w:r>
                    <w:rPr>
                      <w:color w:val="auto"/>
                    </w:rPr>
                    <w:t>泄漏应急</w:t>
                  </w:r>
                </w:p>
                <w:p>
                  <w:pPr>
                    <w:pStyle w:val="28"/>
                    <w:keepNext w:val="0"/>
                    <w:keepLines w:val="0"/>
                    <w:suppressLineNumbers w:val="0"/>
                    <w:bidi w:val="0"/>
                    <w:spacing w:before="0" w:beforeAutospacing="0" w:after="0" w:afterAutospacing="0"/>
                    <w:ind w:left="0" w:right="0"/>
                    <w:rPr>
                      <w:color w:val="auto"/>
                    </w:rPr>
                  </w:pPr>
                  <w:r>
                    <w:rPr>
                      <w:color w:val="auto"/>
                    </w:rPr>
                    <w:t>处理</w:t>
                  </w:r>
                </w:p>
              </w:tc>
              <w:tc>
                <w:tcPr>
                  <w:tcW w:w="4167" w:type="pct"/>
                  <w:gridSpan w:val="4"/>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疏散泄漏污染区人员至安全区，禁止无关人员进入污染区，建议应急处理人员戴好面罩，穿化学防护服。合理通风，不要直接接触泄漏物，勿使泄漏物与可燃物质(木材、纸、油等)接触，在确保安全情况下堵漏。喷水雾减慢挥发(或扩散)，但不要对泄漏物或泄漏点直接喷水。用沙土、干燥石灰或苏打灰混合，然后收集运至废物处理场所处置。如大量泄漏，利用围堤收容，然后收集、转移、回收或无害处理后废弃。</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 w:type="pct"/>
                  <w:vAlign w:val="center"/>
                </w:tcPr>
                <w:p>
                  <w:pPr>
                    <w:pStyle w:val="28"/>
                    <w:keepNext w:val="0"/>
                    <w:keepLines w:val="0"/>
                    <w:suppressLineNumbers w:val="0"/>
                    <w:bidi w:val="0"/>
                    <w:spacing w:before="0" w:beforeAutospacing="0" w:after="0" w:afterAutospacing="0"/>
                    <w:ind w:left="0" w:right="0"/>
                    <w:rPr>
                      <w:color w:val="auto"/>
                    </w:rPr>
                  </w:pPr>
                  <w:r>
                    <w:rPr>
                      <w:color w:val="auto"/>
                    </w:rPr>
                    <w:t>防护措施</w:t>
                  </w:r>
                </w:p>
              </w:tc>
              <w:tc>
                <w:tcPr>
                  <w:tcW w:w="4167" w:type="pct"/>
                  <w:gridSpan w:val="4"/>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呼吸系统防护：可能接触其蒸气或烟雾时，必须佩戴防毒面具或供气式头盔。紧急事态抢救或逃生时，建议佩带自给式呼吸器。</w:t>
                  </w:r>
                </w:p>
                <w:p>
                  <w:pPr>
                    <w:pStyle w:val="28"/>
                    <w:keepNext w:val="0"/>
                    <w:keepLines w:val="0"/>
                    <w:suppressLineNumbers w:val="0"/>
                    <w:bidi w:val="0"/>
                    <w:spacing w:before="0" w:beforeAutospacing="0" w:after="0" w:afterAutospacing="0"/>
                    <w:ind w:left="0" w:right="0"/>
                    <w:jc w:val="both"/>
                    <w:rPr>
                      <w:color w:val="auto"/>
                    </w:rPr>
                  </w:pPr>
                  <w:r>
                    <w:rPr>
                      <w:color w:val="auto"/>
                    </w:rPr>
                    <w:t>眼睛防护：戴化学安全防护眼镜。</w:t>
                  </w:r>
                </w:p>
                <w:p>
                  <w:pPr>
                    <w:pStyle w:val="28"/>
                    <w:keepNext w:val="0"/>
                    <w:keepLines w:val="0"/>
                    <w:suppressLineNumbers w:val="0"/>
                    <w:bidi w:val="0"/>
                    <w:spacing w:before="0" w:beforeAutospacing="0" w:after="0" w:afterAutospacing="0"/>
                    <w:ind w:left="0" w:right="0"/>
                    <w:jc w:val="both"/>
                    <w:rPr>
                      <w:color w:val="auto"/>
                    </w:rPr>
                  </w:pPr>
                  <w:r>
                    <w:rPr>
                      <w:color w:val="auto"/>
                    </w:rPr>
                    <w:t>防护服：穿工作服(防腐材料制作)。</w:t>
                  </w:r>
                </w:p>
                <w:p>
                  <w:pPr>
                    <w:pStyle w:val="28"/>
                    <w:keepNext w:val="0"/>
                    <w:keepLines w:val="0"/>
                    <w:suppressLineNumbers w:val="0"/>
                    <w:bidi w:val="0"/>
                    <w:spacing w:before="0" w:beforeAutospacing="0" w:after="0" w:afterAutospacing="0"/>
                    <w:ind w:left="0" w:right="0"/>
                    <w:jc w:val="both"/>
                    <w:rPr>
                      <w:color w:val="auto"/>
                    </w:rPr>
                  </w:pPr>
                  <w:r>
                    <w:rPr>
                      <w:color w:val="auto"/>
                    </w:rPr>
                    <w:t>手防护：戴橡皮手套。</w:t>
                  </w:r>
                </w:p>
                <w:p>
                  <w:pPr>
                    <w:pStyle w:val="28"/>
                    <w:keepNext w:val="0"/>
                    <w:keepLines w:val="0"/>
                    <w:suppressLineNumbers w:val="0"/>
                    <w:bidi w:val="0"/>
                    <w:spacing w:before="0" w:beforeAutospacing="0" w:after="0" w:afterAutospacing="0"/>
                    <w:ind w:left="0" w:right="0"/>
                    <w:jc w:val="both"/>
                    <w:rPr>
                      <w:color w:val="auto"/>
                    </w:rPr>
                  </w:pPr>
                  <w:r>
                    <w:rPr>
                      <w:color w:val="auto"/>
                    </w:rPr>
                    <w:t>其它：工作后，淋浴更衣。单独存放被毒物污染的衣服，洗后再用。保持良好的卫生习惯。</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 w:type="pct"/>
                  <w:vAlign w:val="center"/>
                </w:tcPr>
                <w:p>
                  <w:pPr>
                    <w:pStyle w:val="28"/>
                    <w:keepNext w:val="0"/>
                    <w:keepLines w:val="0"/>
                    <w:suppressLineNumbers w:val="0"/>
                    <w:bidi w:val="0"/>
                    <w:spacing w:before="0" w:beforeAutospacing="0" w:after="0" w:afterAutospacing="0"/>
                    <w:ind w:left="0" w:right="0"/>
                    <w:rPr>
                      <w:color w:val="auto"/>
                    </w:rPr>
                  </w:pPr>
                  <w:r>
                    <w:rPr>
                      <w:color w:val="auto"/>
                    </w:rPr>
                    <w:t>急救措施</w:t>
                  </w:r>
                </w:p>
              </w:tc>
              <w:tc>
                <w:tcPr>
                  <w:tcW w:w="4167" w:type="pct"/>
                  <w:gridSpan w:val="4"/>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皮肤接触：脱去污染的衣着，立即用水冲洗至少15分钟。或用2%碳酸氢钠溶液冲洗。就医。</w:t>
                  </w:r>
                </w:p>
                <w:p>
                  <w:pPr>
                    <w:pStyle w:val="28"/>
                    <w:keepNext w:val="0"/>
                    <w:keepLines w:val="0"/>
                    <w:suppressLineNumbers w:val="0"/>
                    <w:bidi w:val="0"/>
                    <w:spacing w:before="0" w:beforeAutospacing="0" w:after="0" w:afterAutospacing="0"/>
                    <w:ind w:left="0" w:right="0"/>
                    <w:jc w:val="both"/>
                    <w:rPr>
                      <w:color w:val="auto"/>
                    </w:rPr>
                  </w:pPr>
                  <w:r>
                    <w:rPr>
                      <w:color w:val="auto"/>
                    </w:rPr>
                    <w:t>眼睛接触：立即提起眼睑，用流动清水或生理盐水冲洗至少15分钟。就医。吸入：迅速脱离现场至空气新鲜处。呼吸困难时给输氧。给予2-4%碳酸氢钠溶液雾化吸入。就医。</w:t>
                  </w:r>
                </w:p>
                <w:p>
                  <w:pPr>
                    <w:pStyle w:val="28"/>
                    <w:keepNext w:val="0"/>
                    <w:keepLines w:val="0"/>
                    <w:suppressLineNumbers w:val="0"/>
                    <w:bidi w:val="0"/>
                    <w:spacing w:before="0" w:beforeAutospacing="0" w:after="0" w:afterAutospacing="0"/>
                    <w:ind w:left="0" w:right="0"/>
                    <w:jc w:val="both"/>
                    <w:rPr>
                      <w:color w:val="auto"/>
                    </w:rPr>
                  </w:pPr>
                  <w:r>
                    <w:rPr>
                      <w:color w:val="auto"/>
                    </w:rPr>
                    <w:t>食入：误服者给牛奶、蛋清、植物油等口服，不可催吐。立即就医。</w:t>
                  </w:r>
                </w:p>
                <w:p>
                  <w:pPr>
                    <w:pStyle w:val="28"/>
                    <w:keepNext w:val="0"/>
                    <w:keepLines w:val="0"/>
                    <w:suppressLineNumbers w:val="0"/>
                    <w:bidi w:val="0"/>
                    <w:spacing w:before="0" w:beforeAutospacing="0" w:after="0" w:afterAutospacing="0"/>
                    <w:ind w:left="0" w:right="0"/>
                    <w:jc w:val="both"/>
                    <w:rPr>
                      <w:color w:val="auto"/>
                    </w:rPr>
                  </w:pPr>
                  <w:r>
                    <w:rPr>
                      <w:color w:val="auto"/>
                    </w:rPr>
                    <w:t>灭火方法：砂土。禁止用水。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 w:type="pct"/>
                  <w:vAlign w:val="center"/>
                </w:tcPr>
                <w:p>
                  <w:pPr>
                    <w:pStyle w:val="28"/>
                    <w:keepNext w:val="0"/>
                    <w:keepLines w:val="0"/>
                    <w:suppressLineNumbers w:val="0"/>
                    <w:bidi w:val="0"/>
                    <w:spacing w:before="0" w:beforeAutospacing="0" w:after="0" w:afterAutospacing="0"/>
                    <w:ind w:left="0" w:right="0"/>
                    <w:rPr>
                      <w:color w:val="auto"/>
                    </w:rPr>
                  </w:pPr>
                  <w:r>
                    <w:rPr>
                      <w:color w:val="auto"/>
                    </w:rPr>
                    <w:t>储存注意事项</w:t>
                  </w:r>
                </w:p>
              </w:tc>
              <w:tc>
                <w:tcPr>
                  <w:tcW w:w="4167" w:type="pct"/>
                  <w:gridSpan w:val="4"/>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储存于阴凉、通风的库房。库温不超过35℃，相对湿度不超过85%。保持容器密封。远离火种、热源，工作场所严禁吸烟。远离易燃、</w:t>
                  </w:r>
                  <w:r>
                    <w:rPr>
                      <w:color w:val="auto"/>
                    </w:rPr>
                    <w:fldChar w:fldCharType="begin"/>
                  </w:r>
                  <w:r>
                    <w:rPr>
                      <w:color w:val="auto"/>
                    </w:rPr>
                    <w:instrText xml:space="preserve"> HYPERLINK "http://baike.sogou.com/lemma/ShowInnerLink.htm?lemmaId=661012" \t "_blank" </w:instrText>
                  </w:r>
                  <w:r>
                    <w:rPr>
                      <w:color w:val="auto"/>
                    </w:rPr>
                    <w:fldChar w:fldCharType="separate"/>
                  </w:r>
                  <w:r>
                    <w:rPr>
                      <w:color w:val="auto"/>
                    </w:rPr>
                    <w:t>可燃物</w:t>
                  </w:r>
                  <w:r>
                    <w:rPr>
                      <w:color w:val="auto"/>
                    </w:rPr>
                    <w:fldChar w:fldCharType="end"/>
                  </w:r>
                  <w:r>
                    <w:rPr>
                      <w:color w:val="auto"/>
                    </w:rPr>
                    <w:t>。防止蒸气泄漏到工作场所空气中。避免与</w:t>
                  </w:r>
                  <w:r>
                    <w:rPr>
                      <w:color w:val="auto"/>
                    </w:rPr>
                    <w:fldChar w:fldCharType="begin"/>
                  </w:r>
                  <w:r>
                    <w:rPr>
                      <w:color w:val="auto"/>
                    </w:rPr>
                    <w:instrText xml:space="preserve"> HYPERLINK "http://baike.sogou.com/lemma/ShowInnerLink.htm?lemmaId=397364" \t "_blank" </w:instrText>
                  </w:r>
                  <w:r>
                    <w:rPr>
                      <w:color w:val="auto"/>
                    </w:rPr>
                    <w:fldChar w:fldCharType="separate"/>
                  </w:r>
                  <w:r>
                    <w:rPr>
                      <w:color w:val="auto"/>
                    </w:rPr>
                    <w:t>还原剂</w:t>
                  </w:r>
                  <w:r>
                    <w:rPr>
                      <w:color w:val="auto"/>
                    </w:rPr>
                    <w:fldChar w:fldCharType="end"/>
                  </w:r>
                  <w:r>
                    <w:rPr>
                      <w:color w:val="auto"/>
                    </w:rPr>
                    <w:t>、碱类、</w:t>
                  </w:r>
                  <w:r>
                    <w:rPr>
                      <w:color w:val="auto"/>
                    </w:rPr>
                    <w:fldChar w:fldCharType="begin"/>
                  </w:r>
                  <w:r>
                    <w:rPr>
                      <w:color w:val="auto"/>
                    </w:rPr>
                    <w:instrText xml:space="preserve"> HYPERLINK "http://baike.sogou.com/lemma/ShowInnerLink.htm?lemmaId=170639" \t "_blank" </w:instrText>
                  </w:r>
                  <w:r>
                    <w:rPr>
                      <w:color w:val="auto"/>
                    </w:rPr>
                    <w:fldChar w:fldCharType="separate"/>
                  </w:r>
                  <w:r>
                    <w:rPr>
                      <w:color w:val="auto"/>
                    </w:rPr>
                    <w:t>碱金属</w:t>
                  </w:r>
                  <w:r>
                    <w:rPr>
                      <w:color w:val="auto"/>
                    </w:rPr>
                    <w:fldChar w:fldCharType="end"/>
                  </w:r>
                  <w:r>
                    <w:rPr>
                      <w:color w:val="auto"/>
                    </w:rPr>
                    <w:t>接触。搬运时要轻装轻卸，防止包装及容器损坏。配备相应品种和数量的</w:t>
                  </w:r>
                  <w:r>
                    <w:rPr>
                      <w:color w:val="auto"/>
                    </w:rPr>
                    <w:fldChar w:fldCharType="begin"/>
                  </w:r>
                  <w:r>
                    <w:rPr>
                      <w:color w:val="auto"/>
                    </w:rPr>
                    <w:instrText xml:space="preserve"> HYPERLINK "http://baike.sogou.com/lemma/ShowInnerLink.htm?lemmaId=305526" \t "_blank" </w:instrText>
                  </w:r>
                  <w:r>
                    <w:rPr>
                      <w:color w:val="auto"/>
                    </w:rPr>
                    <w:fldChar w:fldCharType="separate"/>
                  </w:r>
                  <w:r>
                    <w:rPr>
                      <w:color w:val="auto"/>
                    </w:rPr>
                    <w:t>消防器材</w:t>
                  </w:r>
                  <w:r>
                    <w:rPr>
                      <w:color w:val="auto"/>
                    </w:rPr>
                    <w:fldChar w:fldCharType="end"/>
                  </w:r>
                  <w:r>
                    <w:rPr>
                      <w:color w:val="auto"/>
                    </w:rPr>
                    <w:t>及</w:t>
                  </w:r>
                  <w:r>
                    <w:rPr>
                      <w:color w:val="auto"/>
                    </w:rPr>
                    <w:fldChar w:fldCharType="begin"/>
                  </w:r>
                  <w:r>
                    <w:rPr>
                      <w:color w:val="auto"/>
                    </w:rPr>
                    <w:instrText xml:space="preserve"> HYPERLINK "http://baike.sogou.com/lemma/ShowInnerLink.htm?lemmaId=73845393" \t "_blank" </w:instrText>
                  </w:r>
                  <w:r>
                    <w:rPr>
                      <w:color w:val="auto"/>
                    </w:rPr>
                    <w:fldChar w:fldCharType="separate"/>
                  </w:r>
                  <w:r>
                    <w:rPr>
                      <w:color w:val="auto"/>
                    </w:rPr>
                    <w:t>泄漏应急处理</w:t>
                  </w:r>
                  <w:r>
                    <w:rPr>
                      <w:color w:val="auto"/>
                    </w:rPr>
                    <w:fldChar w:fldCharType="end"/>
                  </w:r>
                  <w:r>
                    <w:rPr>
                      <w:color w:val="auto"/>
                    </w:rPr>
                    <w:t>设备。倒空的容器可能残留有害物。稀释或制备溶液时，应把水加入酸中，避免沸腾和飞溅伤及人员。</w:t>
                  </w:r>
                </w:p>
              </w:tc>
            </w:tr>
          </w:tbl>
          <w:p>
            <w:pPr>
              <w:pStyle w:val="12"/>
              <w:keepNext w:val="0"/>
              <w:keepLines w:val="0"/>
              <w:suppressLineNumbers w:val="0"/>
              <w:bidi w:val="0"/>
              <w:spacing w:before="0" w:beforeAutospacing="0" w:after="0" w:afterAutospacing="0"/>
              <w:ind w:left="0" w:right="0"/>
              <w:rPr>
                <w:rFonts w:asciiTheme="minorEastAsia" w:hAnsiTheme="minorEastAsia" w:eastAsiaTheme="minorEastAsia"/>
                <w:b/>
                <w:bCs/>
                <w:color w:val="auto"/>
                <w:kern w:val="0"/>
                <w:sz w:val="21"/>
                <w:szCs w:val="21"/>
              </w:rPr>
            </w:pPr>
            <w:r>
              <w:rPr>
                <w:rFonts w:asciiTheme="minorEastAsia" w:hAnsiTheme="minorEastAsia" w:eastAsiaTheme="minorEastAsia"/>
                <w:b/>
                <w:color w:val="auto"/>
                <w:sz w:val="24"/>
                <w:szCs w:val="24"/>
              </w:rPr>
              <w:t>表</w:t>
            </w:r>
            <w:r>
              <w:rPr>
                <w:rFonts w:hint="eastAsia" w:eastAsiaTheme="minorEastAsia"/>
                <w:b/>
                <w:color w:val="auto"/>
                <w:sz w:val="24"/>
                <w:szCs w:val="24"/>
                <w:lang w:val="en-US" w:eastAsia="zh-CN"/>
              </w:rPr>
              <w:t>4-15</w:t>
            </w:r>
            <w:r>
              <w:rPr>
                <w:rFonts w:hint="eastAsia" w:eastAsiaTheme="minorEastAsia"/>
                <w:b/>
                <w:color w:val="auto"/>
                <w:sz w:val="24"/>
                <w:szCs w:val="24"/>
              </w:rPr>
              <w:t xml:space="preserve">       </w:t>
            </w:r>
            <w:r>
              <w:rPr>
                <w:rFonts w:asciiTheme="minorEastAsia" w:hAnsiTheme="minorEastAsia" w:eastAsiaTheme="minorEastAsia"/>
                <w:b/>
                <w:color w:val="auto"/>
                <w:sz w:val="24"/>
                <w:szCs w:val="24"/>
              </w:rPr>
              <w:t>铅理化性质相关情况</w:t>
            </w:r>
          </w:p>
          <w:tbl>
            <w:tblPr>
              <w:tblStyle w:val="22"/>
              <w:tblW w:w="495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87"/>
              <w:gridCol w:w="2342"/>
              <w:gridCol w:w="1145"/>
              <w:gridCol w:w="1258"/>
              <w:gridCol w:w="172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4" w:type="pct"/>
                  <w:vAlign w:val="center"/>
                </w:tcPr>
                <w:p>
                  <w:pPr>
                    <w:pStyle w:val="28"/>
                    <w:keepNext w:val="0"/>
                    <w:keepLines w:val="0"/>
                    <w:suppressLineNumbers w:val="0"/>
                    <w:bidi w:val="0"/>
                    <w:spacing w:before="0" w:beforeAutospacing="0" w:after="0" w:afterAutospacing="0"/>
                    <w:ind w:left="0" w:right="0"/>
                    <w:rPr>
                      <w:color w:val="auto"/>
                    </w:rPr>
                  </w:pPr>
                  <w:r>
                    <w:rPr>
                      <w:color w:val="auto"/>
                    </w:rPr>
                    <w:t>CAS号</w:t>
                  </w:r>
                </w:p>
              </w:tc>
              <w:tc>
                <w:tcPr>
                  <w:tcW w:w="2190" w:type="pct"/>
                  <w:gridSpan w:val="2"/>
                  <w:vAlign w:val="center"/>
                </w:tcPr>
                <w:p>
                  <w:pPr>
                    <w:pStyle w:val="28"/>
                    <w:keepNext w:val="0"/>
                    <w:keepLines w:val="0"/>
                    <w:suppressLineNumbers w:val="0"/>
                    <w:bidi w:val="0"/>
                    <w:spacing w:before="0" w:beforeAutospacing="0" w:after="0" w:afterAutospacing="0"/>
                    <w:ind w:left="0" w:right="0"/>
                    <w:rPr>
                      <w:color w:val="auto"/>
                    </w:rPr>
                  </w:pPr>
                  <w:r>
                    <w:rPr>
                      <w:color w:val="auto"/>
                    </w:rPr>
                    <w:t>7439-92-1</w:t>
                  </w:r>
                </w:p>
              </w:tc>
              <w:tc>
                <w:tcPr>
                  <w:tcW w:w="790" w:type="pct"/>
                  <w:vAlign w:val="center"/>
                </w:tcPr>
                <w:p>
                  <w:pPr>
                    <w:pStyle w:val="28"/>
                    <w:keepNext w:val="0"/>
                    <w:keepLines w:val="0"/>
                    <w:suppressLineNumbers w:val="0"/>
                    <w:bidi w:val="0"/>
                    <w:spacing w:before="0" w:beforeAutospacing="0" w:after="0" w:afterAutospacing="0"/>
                    <w:ind w:left="0" w:right="0"/>
                    <w:rPr>
                      <w:color w:val="auto"/>
                    </w:rPr>
                  </w:pPr>
                  <w:r>
                    <w:rPr>
                      <w:color w:val="auto"/>
                    </w:rPr>
                    <w:t>英文名称</w:t>
                  </w:r>
                </w:p>
              </w:tc>
              <w:tc>
                <w:tcPr>
                  <w:tcW w:w="1087" w:type="pct"/>
                  <w:vAlign w:val="center"/>
                </w:tcPr>
                <w:p>
                  <w:pPr>
                    <w:pStyle w:val="28"/>
                    <w:keepNext w:val="0"/>
                    <w:keepLines w:val="0"/>
                    <w:suppressLineNumbers w:val="0"/>
                    <w:bidi w:val="0"/>
                    <w:spacing w:before="0" w:beforeAutospacing="0" w:after="0" w:afterAutospacing="0"/>
                    <w:ind w:left="0" w:right="0"/>
                    <w:rPr>
                      <w:color w:val="auto"/>
                    </w:rPr>
                  </w:pPr>
                  <w:r>
                    <w:rPr>
                      <w:color w:val="auto"/>
                    </w:rPr>
                    <w:t>Lead;Lead flake</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4" w:type="pct"/>
                  <w:vAlign w:val="center"/>
                </w:tcPr>
                <w:p>
                  <w:pPr>
                    <w:pStyle w:val="28"/>
                    <w:keepNext w:val="0"/>
                    <w:keepLines w:val="0"/>
                    <w:suppressLineNumbers w:val="0"/>
                    <w:bidi w:val="0"/>
                    <w:spacing w:before="0" w:beforeAutospacing="0" w:after="0" w:afterAutospacing="0"/>
                    <w:ind w:left="0" w:right="0"/>
                    <w:rPr>
                      <w:color w:val="auto"/>
                    </w:rPr>
                  </w:pPr>
                  <w:r>
                    <w:rPr>
                      <w:color w:val="auto"/>
                    </w:rPr>
                    <w:t>分子式</w:t>
                  </w:r>
                </w:p>
              </w:tc>
              <w:tc>
                <w:tcPr>
                  <w:tcW w:w="1471" w:type="pct"/>
                  <w:vAlign w:val="center"/>
                </w:tcPr>
                <w:p>
                  <w:pPr>
                    <w:pStyle w:val="28"/>
                    <w:keepNext w:val="0"/>
                    <w:keepLines w:val="0"/>
                    <w:suppressLineNumbers w:val="0"/>
                    <w:bidi w:val="0"/>
                    <w:spacing w:before="0" w:beforeAutospacing="0" w:after="0" w:afterAutospacing="0"/>
                    <w:ind w:left="0" w:right="0"/>
                    <w:rPr>
                      <w:color w:val="auto"/>
                    </w:rPr>
                  </w:pPr>
                  <w:r>
                    <w:rPr>
                      <w:color w:val="auto"/>
                    </w:rPr>
                    <w:t>Pb</w:t>
                  </w:r>
                </w:p>
              </w:tc>
              <w:tc>
                <w:tcPr>
                  <w:tcW w:w="719" w:type="pct"/>
                  <w:vAlign w:val="center"/>
                </w:tcPr>
                <w:p>
                  <w:pPr>
                    <w:pStyle w:val="28"/>
                    <w:keepNext w:val="0"/>
                    <w:keepLines w:val="0"/>
                    <w:suppressLineNumbers w:val="0"/>
                    <w:bidi w:val="0"/>
                    <w:spacing w:before="0" w:beforeAutospacing="0" w:after="0" w:afterAutospacing="0"/>
                    <w:ind w:left="0" w:right="0"/>
                    <w:rPr>
                      <w:color w:val="auto"/>
                    </w:rPr>
                  </w:pPr>
                  <w:r>
                    <w:rPr>
                      <w:color w:val="auto"/>
                    </w:rPr>
                    <w:t>外观与性状</w:t>
                  </w:r>
                </w:p>
              </w:tc>
              <w:tc>
                <w:tcPr>
                  <w:tcW w:w="1877" w:type="pct"/>
                  <w:gridSpan w:val="2"/>
                  <w:vAlign w:val="center"/>
                </w:tcPr>
                <w:p>
                  <w:pPr>
                    <w:pStyle w:val="28"/>
                    <w:keepNext w:val="0"/>
                    <w:keepLines w:val="0"/>
                    <w:suppressLineNumbers w:val="0"/>
                    <w:bidi w:val="0"/>
                    <w:spacing w:before="0" w:beforeAutospacing="0" w:after="0" w:afterAutospacing="0"/>
                    <w:ind w:left="0" w:right="0"/>
                    <w:rPr>
                      <w:color w:val="auto"/>
                    </w:rPr>
                  </w:pPr>
                  <w:r>
                    <w:rPr>
                      <w:color w:val="auto"/>
                    </w:rPr>
                    <w:t>灰白色质软的粉末，切削面有光泽，延性弱，展性强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4" w:type="pct"/>
                  <w:vAlign w:val="center"/>
                </w:tcPr>
                <w:p>
                  <w:pPr>
                    <w:pStyle w:val="28"/>
                    <w:keepNext w:val="0"/>
                    <w:keepLines w:val="0"/>
                    <w:suppressLineNumbers w:val="0"/>
                    <w:bidi w:val="0"/>
                    <w:spacing w:before="0" w:beforeAutospacing="0" w:after="0" w:afterAutospacing="0"/>
                    <w:ind w:left="0" w:right="0"/>
                    <w:rPr>
                      <w:color w:val="auto"/>
                    </w:rPr>
                  </w:pPr>
                  <w:r>
                    <w:rPr>
                      <w:color w:val="auto"/>
                    </w:rPr>
                    <w:t>分子量</w:t>
                  </w:r>
                </w:p>
              </w:tc>
              <w:tc>
                <w:tcPr>
                  <w:tcW w:w="1471" w:type="pct"/>
                  <w:vAlign w:val="center"/>
                </w:tcPr>
                <w:p>
                  <w:pPr>
                    <w:pStyle w:val="28"/>
                    <w:keepNext w:val="0"/>
                    <w:keepLines w:val="0"/>
                    <w:suppressLineNumbers w:val="0"/>
                    <w:bidi w:val="0"/>
                    <w:spacing w:before="0" w:beforeAutospacing="0" w:after="0" w:afterAutospacing="0"/>
                    <w:ind w:left="0" w:right="0"/>
                    <w:rPr>
                      <w:color w:val="auto"/>
                    </w:rPr>
                  </w:pPr>
                  <w:r>
                    <w:rPr>
                      <w:color w:val="auto"/>
                    </w:rPr>
                    <w:t>207.2</w:t>
                  </w:r>
                </w:p>
              </w:tc>
              <w:tc>
                <w:tcPr>
                  <w:tcW w:w="719" w:type="pct"/>
                  <w:vAlign w:val="center"/>
                </w:tcPr>
                <w:p>
                  <w:pPr>
                    <w:pStyle w:val="28"/>
                    <w:keepNext w:val="0"/>
                    <w:keepLines w:val="0"/>
                    <w:suppressLineNumbers w:val="0"/>
                    <w:bidi w:val="0"/>
                    <w:spacing w:before="0" w:beforeAutospacing="0" w:after="0" w:afterAutospacing="0"/>
                    <w:ind w:left="0" w:right="0"/>
                    <w:rPr>
                      <w:color w:val="auto"/>
                    </w:rPr>
                  </w:pPr>
                  <w:r>
                    <w:rPr>
                      <w:color w:val="auto"/>
                    </w:rPr>
                    <w:t>蒸汽压</w:t>
                  </w:r>
                </w:p>
              </w:tc>
              <w:tc>
                <w:tcPr>
                  <w:tcW w:w="1877" w:type="pct"/>
                  <w:gridSpan w:val="2"/>
                  <w:vAlign w:val="center"/>
                </w:tcPr>
                <w:p>
                  <w:pPr>
                    <w:pStyle w:val="28"/>
                    <w:keepNext w:val="0"/>
                    <w:keepLines w:val="0"/>
                    <w:suppressLineNumbers w:val="0"/>
                    <w:bidi w:val="0"/>
                    <w:spacing w:before="0" w:beforeAutospacing="0" w:after="0" w:afterAutospacing="0"/>
                    <w:ind w:left="0" w:right="0"/>
                    <w:rPr>
                      <w:color w:val="auto"/>
                    </w:rPr>
                  </w:pPr>
                  <w:r>
                    <w:rPr>
                      <w:color w:val="auto"/>
                    </w:rPr>
                    <w:t>0.13kPa(970℃)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4" w:type="pct"/>
                  <w:vAlign w:val="center"/>
                </w:tcPr>
                <w:p>
                  <w:pPr>
                    <w:pStyle w:val="28"/>
                    <w:keepNext w:val="0"/>
                    <w:keepLines w:val="0"/>
                    <w:suppressLineNumbers w:val="0"/>
                    <w:bidi w:val="0"/>
                    <w:spacing w:before="0" w:beforeAutospacing="0" w:after="0" w:afterAutospacing="0"/>
                    <w:ind w:left="0" w:right="0"/>
                    <w:rPr>
                      <w:color w:val="auto"/>
                    </w:rPr>
                  </w:pPr>
                  <w:r>
                    <w:rPr>
                      <w:color w:val="auto"/>
                    </w:rPr>
                    <w:t>熔点</w:t>
                  </w:r>
                </w:p>
              </w:tc>
              <w:tc>
                <w:tcPr>
                  <w:tcW w:w="1471" w:type="pct"/>
                  <w:vAlign w:val="center"/>
                </w:tcPr>
                <w:p>
                  <w:pPr>
                    <w:pStyle w:val="28"/>
                    <w:keepNext w:val="0"/>
                    <w:keepLines w:val="0"/>
                    <w:suppressLineNumbers w:val="0"/>
                    <w:bidi w:val="0"/>
                    <w:spacing w:before="0" w:beforeAutospacing="0" w:after="0" w:afterAutospacing="0"/>
                    <w:ind w:left="0" w:right="0"/>
                    <w:rPr>
                      <w:color w:val="auto"/>
                    </w:rPr>
                  </w:pPr>
                  <w:r>
                    <w:rPr>
                      <w:color w:val="auto"/>
                    </w:rPr>
                    <w:t>327℃  沸点：1620℃</w:t>
                  </w:r>
                </w:p>
              </w:tc>
              <w:tc>
                <w:tcPr>
                  <w:tcW w:w="719" w:type="pct"/>
                  <w:vAlign w:val="center"/>
                </w:tcPr>
                <w:p>
                  <w:pPr>
                    <w:pStyle w:val="28"/>
                    <w:keepNext w:val="0"/>
                    <w:keepLines w:val="0"/>
                    <w:suppressLineNumbers w:val="0"/>
                    <w:bidi w:val="0"/>
                    <w:spacing w:before="0" w:beforeAutospacing="0" w:after="0" w:afterAutospacing="0"/>
                    <w:ind w:left="0" w:right="0"/>
                    <w:rPr>
                      <w:color w:val="auto"/>
                    </w:rPr>
                  </w:pPr>
                  <w:r>
                    <w:rPr>
                      <w:color w:val="auto"/>
                    </w:rPr>
                    <w:t>溶解性</w:t>
                  </w:r>
                </w:p>
              </w:tc>
              <w:tc>
                <w:tcPr>
                  <w:tcW w:w="1877" w:type="pct"/>
                  <w:gridSpan w:val="2"/>
                  <w:vAlign w:val="center"/>
                </w:tcPr>
                <w:p>
                  <w:pPr>
                    <w:pStyle w:val="28"/>
                    <w:keepNext w:val="0"/>
                    <w:keepLines w:val="0"/>
                    <w:suppressLineNumbers w:val="0"/>
                    <w:bidi w:val="0"/>
                    <w:spacing w:before="0" w:beforeAutospacing="0" w:after="0" w:afterAutospacing="0"/>
                    <w:ind w:left="0" w:right="0"/>
                    <w:rPr>
                      <w:color w:val="auto"/>
                    </w:rPr>
                  </w:pPr>
                  <w:r>
                    <w:rPr>
                      <w:color w:val="auto"/>
                    </w:rPr>
                    <w:t>不溶于水，溶于硝酸、热浓硫酸、碱液，不溶于稀盐酸</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4" w:type="pct"/>
                  <w:vAlign w:val="center"/>
                </w:tcPr>
                <w:p>
                  <w:pPr>
                    <w:pStyle w:val="28"/>
                    <w:keepNext w:val="0"/>
                    <w:keepLines w:val="0"/>
                    <w:suppressLineNumbers w:val="0"/>
                    <w:bidi w:val="0"/>
                    <w:spacing w:before="0" w:beforeAutospacing="0" w:after="0" w:afterAutospacing="0"/>
                    <w:ind w:left="0" w:right="0"/>
                    <w:rPr>
                      <w:color w:val="auto"/>
                    </w:rPr>
                  </w:pPr>
                  <w:r>
                    <w:rPr>
                      <w:color w:val="auto"/>
                    </w:rPr>
                    <w:t>密度</w:t>
                  </w:r>
                </w:p>
              </w:tc>
              <w:tc>
                <w:tcPr>
                  <w:tcW w:w="1471" w:type="pct"/>
                  <w:vAlign w:val="center"/>
                </w:tcPr>
                <w:p>
                  <w:pPr>
                    <w:pStyle w:val="28"/>
                    <w:keepNext w:val="0"/>
                    <w:keepLines w:val="0"/>
                    <w:suppressLineNumbers w:val="0"/>
                    <w:bidi w:val="0"/>
                    <w:spacing w:before="0" w:beforeAutospacing="0" w:after="0" w:afterAutospacing="0"/>
                    <w:ind w:left="0" w:right="0"/>
                    <w:rPr>
                      <w:color w:val="auto"/>
                    </w:rPr>
                  </w:pPr>
                  <w:r>
                    <w:rPr>
                      <w:color w:val="auto"/>
                    </w:rPr>
                    <w:t>相对密度(水=1)11.34(20℃)</w:t>
                  </w:r>
                </w:p>
              </w:tc>
              <w:tc>
                <w:tcPr>
                  <w:tcW w:w="719" w:type="pct"/>
                  <w:vAlign w:val="center"/>
                </w:tcPr>
                <w:p>
                  <w:pPr>
                    <w:pStyle w:val="28"/>
                    <w:keepNext w:val="0"/>
                    <w:keepLines w:val="0"/>
                    <w:suppressLineNumbers w:val="0"/>
                    <w:bidi w:val="0"/>
                    <w:spacing w:before="0" w:beforeAutospacing="0" w:after="0" w:afterAutospacing="0"/>
                    <w:ind w:left="0" w:right="0"/>
                    <w:rPr>
                      <w:color w:val="auto"/>
                    </w:rPr>
                  </w:pPr>
                  <w:r>
                    <w:rPr>
                      <w:color w:val="auto"/>
                    </w:rPr>
                    <w:t>稳定性</w:t>
                  </w:r>
                </w:p>
              </w:tc>
              <w:tc>
                <w:tcPr>
                  <w:tcW w:w="1877" w:type="pct"/>
                  <w:gridSpan w:val="2"/>
                  <w:vAlign w:val="center"/>
                </w:tcPr>
                <w:p>
                  <w:pPr>
                    <w:pStyle w:val="28"/>
                    <w:keepNext w:val="0"/>
                    <w:keepLines w:val="0"/>
                    <w:suppressLineNumbers w:val="0"/>
                    <w:bidi w:val="0"/>
                    <w:spacing w:before="0" w:beforeAutospacing="0" w:after="0" w:afterAutospacing="0"/>
                    <w:ind w:left="0" w:right="0"/>
                    <w:rPr>
                      <w:color w:val="auto"/>
                    </w:rPr>
                  </w:pPr>
                  <w:r>
                    <w:rPr>
                      <w:color w:val="auto"/>
                    </w:rPr>
                    <w:t>稳定</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4" w:type="pct"/>
                  <w:vAlign w:val="center"/>
                </w:tcPr>
                <w:p>
                  <w:pPr>
                    <w:pStyle w:val="28"/>
                    <w:keepNext w:val="0"/>
                    <w:keepLines w:val="0"/>
                    <w:suppressLineNumbers w:val="0"/>
                    <w:bidi w:val="0"/>
                    <w:spacing w:before="0" w:beforeAutospacing="0" w:after="0" w:afterAutospacing="0"/>
                    <w:ind w:left="0" w:right="0"/>
                    <w:rPr>
                      <w:color w:val="auto"/>
                    </w:rPr>
                  </w:pPr>
                  <w:r>
                    <w:rPr>
                      <w:color w:val="auto"/>
                    </w:rPr>
                    <w:t>危险标记</w:t>
                  </w:r>
                </w:p>
              </w:tc>
              <w:tc>
                <w:tcPr>
                  <w:tcW w:w="1471" w:type="pct"/>
                  <w:vAlign w:val="center"/>
                </w:tcPr>
                <w:p>
                  <w:pPr>
                    <w:pStyle w:val="28"/>
                    <w:keepNext w:val="0"/>
                    <w:keepLines w:val="0"/>
                    <w:suppressLineNumbers w:val="0"/>
                    <w:bidi w:val="0"/>
                    <w:spacing w:before="0" w:beforeAutospacing="0" w:after="0" w:afterAutospacing="0"/>
                    <w:ind w:left="0" w:right="0"/>
                    <w:rPr>
                      <w:color w:val="auto"/>
                    </w:rPr>
                  </w:pPr>
                  <w:r>
                    <w:rPr>
                      <w:color w:val="auto"/>
                    </w:rPr>
                    <w:t>/</w:t>
                  </w:r>
                </w:p>
              </w:tc>
              <w:tc>
                <w:tcPr>
                  <w:tcW w:w="719" w:type="pct"/>
                  <w:vAlign w:val="center"/>
                </w:tcPr>
                <w:p>
                  <w:pPr>
                    <w:pStyle w:val="28"/>
                    <w:keepNext w:val="0"/>
                    <w:keepLines w:val="0"/>
                    <w:suppressLineNumbers w:val="0"/>
                    <w:bidi w:val="0"/>
                    <w:spacing w:before="0" w:beforeAutospacing="0" w:after="0" w:afterAutospacing="0"/>
                    <w:ind w:left="0" w:right="0"/>
                    <w:rPr>
                      <w:color w:val="auto"/>
                    </w:rPr>
                  </w:pPr>
                  <w:r>
                    <w:rPr>
                      <w:color w:val="auto"/>
                    </w:rPr>
                    <w:t>主要用途</w:t>
                  </w:r>
                </w:p>
              </w:tc>
              <w:tc>
                <w:tcPr>
                  <w:tcW w:w="1877" w:type="pct"/>
                  <w:gridSpan w:val="2"/>
                  <w:vAlign w:val="center"/>
                </w:tcPr>
                <w:p>
                  <w:pPr>
                    <w:pStyle w:val="28"/>
                    <w:keepNext w:val="0"/>
                    <w:keepLines w:val="0"/>
                    <w:suppressLineNumbers w:val="0"/>
                    <w:bidi w:val="0"/>
                    <w:spacing w:before="0" w:beforeAutospacing="0" w:after="0" w:afterAutospacing="0"/>
                    <w:ind w:left="0" w:right="0"/>
                    <w:rPr>
                      <w:color w:val="auto"/>
                    </w:rPr>
                  </w:pPr>
                  <w:r>
                    <w:rPr>
                      <w:color w:val="auto"/>
                    </w:rPr>
                    <w:t>主要用作电缆、蓄电池、铅冶炼、废杂铜冶炼、印刷、焊锡等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4" w:type="pct"/>
                  <w:vAlign w:val="center"/>
                </w:tcPr>
                <w:p>
                  <w:pPr>
                    <w:pStyle w:val="28"/>
                    <w:keepNext w:val="0"/>
                    <w:keepLines w:val="0"/>
                    <w:suppressLineNumbers w:val="0"/>
                    <w:bidi w:val="0"/>
                    <w:spacing w:before="0" w:beforeAutospacing="0" w:after="0" w:afterAutospacing="0"/>
                    <w:ind w:left="0" w:right="0"/>
                    <w:rPr>
                      <w:color w:val="auto"/>
                    </w:rPr>
                  </w:pPr>
                  <w:r>
                    <w:rPr>
                      <w:color w:val="auto"/>
                    </w:rPr>
                    <w:t>健康危害</w:t>
                  </w:r>
                  <w:r>
                    <w:rPr>
                      <w:rFonts w:hint="eastAsia"/>
                      <w:color w:val="auto"/>
                    </w:rPr>
                    <w:t>和</w:t>
                  </w:r>
                </w:p>
                <w:p>
                  <w:pPr>
                    <w:pStyle w:val="28"/>
                    <w:keepNext w:val="0"/>
                    <w:keepLines w:val="0"/>
                    <w:suppressLineNumbers w:val="0"/>
                    <w:bidi w:val="0"/>
                    <w:spacing w:before="0" w:beforeAutospacing="0" w:after="0" w:afterAutospacing="0"/>
                    <w:ind w:left="0" w:right="0"/>
                    <w:rPr>
                      <w:color w:val="auto"/>
                    </w:rPr>
                  </w:pPr>
                  <w:r>
                    <w:rPr>
                      <w:color w:val="auto"/>
                    </w:rPr>
                    <w:t>环境危害</w:t>
                  </w:r>
                </w:p>
              </w:tc>
              <w:tc>
                <w:tcPr>
                  <w:tcW w:w="4066" w:type="pct"/>
                  <w:gridSpan w:val="4"/>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侵入途径：吸入、食入。</w:t>
                  </w:r>
                </w:p>
                <w:p>
                  <w:pPr>
                    <w:pStyle w:val="28"/>
                    <w:keepNext w:val="0"/>
                    <w:keepLines w:val="0"/>
                    <w:suppressLineNumbers w:val="0"/>
                    <w:bidi w:val="0"/>
                    <w:spacing w:before="0" w:beforeAutospacing="0" w:after="0" w:afterAutospacing="0"/>
                    <w:ind w:left="0" w:right="0"/>
                    <w:jc w:val="both"/>
                    <w:rPr>
                      <w:color w:val="auto"/>
                    </w:rPr>
                  </w:pPr>
                  <w:r>
                    <w:rPr>
                      <w:color w:val="auto"/>
                    </w:rPr>
                    <w:t>健康危害：损害造血、神经、消化系统及肾脏。职业中毒主要为慢性。神经系统主要表现为神经衰弱综合征、周围神经病(以运动功能受累较明显)，重者出现铅中毒性脑病。消化系统表现有齿龈铅线、食欲不振、恶吣、腹胀、腹泻或便秘，腹绞痛见于中等及较重病例。造血系统损害出现卟啉代谢障碍、贫血等。短时接触大剂量可发生急性或亚急性铅中毒，表现类似重症慢性铅中毒。</w:t>
                  </w:r>
                </w:p>
                <w:p>
                  <w:pPr>
                    <w:pStyle w:val="28"/>
                    <w:keepNext w:val="0"/>
                    <w:keepLines w:val="0"/>
                    <w:suppressLineNumbers w:val="0"/>
                    <w:bidi w:val="0"/>
                    <w:spacing w:before="0" w:beforeAutospacing="0" w:after="0" w:afterAutospacing="0"/>
                    <w:ind w:left="0" w:right="0"/>
                    <w:jc w:val="both"/>
                    <w:rPr>
                      <w:color w:val="auto"/>
                    </w:rPr>
                  </w:pPr>
                  <w:r>
                    <w:rPr>
                      <w:color w:val="auto"/>
                    </w:rPr>
                    <w:t>铅以无机物或粉尘形式吸入人体或通过水、食物经消化道侵入人体后，积蓄于骨髓、肝、肾、脾和大脑等处“储存库”，以后慢慢放出，进入血液，引起慢性中毒(急性中毒较少见)。铅对全身都有毒性作用，但以神经系统、血液和心血管系统为甚。烷基铅类化合物为易燃液体，为神经性毒物，剧毒。急性中毒时可引起兴奋、肌肉震颤、痉挛及四肢麻痹。</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4" w:type="pct"/>
                  <w:vAlign w:val="center"/>
                </w:tcPr>
                <w:p>
                  <w:pPr>
                    <w:pStyle w:val="28"/>
                    <w:keepNext w:val="0"/>
                    <w:keepLines w:val="0"/>
                    <w:suppressLineNumbers w:val="0"/>
                    <w:bidi w:val="0"/>
                    <w:spacing w:before="0" w:beforeAutospacing="0" w:after="0" w:afterAutospacing="0"/>
                    <w:ind w:left="0" w:right="0"/>
                    <w:rPr>
                      <w:color w:val="auto"/>
                    </w:rPr>
                  </w:pPr>
                  <w:r>
                    <w:rPr>
                      <w:color w:val="auto"/>
                    </w:rPr>
                    <w:t>毒理学资料及环境行为</w:t>
                  </w:r>
                </w:p>
              </w:tc>
              <w:tc>
                <w:tcPr>
                  <w:tcW w:w="4066" w:type="pct"/>
                  <w:gridSpan w:val="4"/>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急性毒性：LD</w:t>
                  </w:r>
                  <w:r>
                    <w:rPr>
                      <w:color w:val="auto"/>
                      <w:vertAlign w:val="subscript"/>
                    </w:rPr>
                    <w:t>50</w:t>
                  </w:r>
                  <w:r>
                    <w:rPr>
                      <w:color w:val="auto"/>
                    </w:rPr>
                    <w:t>70mg/kg(大鼠经静脉)</w:t>
                  </w:r>
                </w:p>
                <w:p>
                  <w:pPr>
                    <w:pStyle w:val="28"/>
                    <w:keepNext w:val="0"/>
                    <w:keepLines w:val="0"/>
                    <w:suppressLineNumbers w:val="0"/>
                    <w:bidi w:val="0"/>
                    <w:spacing w:before="0" w:beforeAutospacing="0" w:after="0" w:afterAutospacing="0"/>
                    <w:ind w:left="0" w:right="0"/>
                    <w:jc w:val="both"/>
                    <w:rPr>
                      <w:color w:val="auto"/>
                    </w:rPr>
                  </w:pPr>
                  <w:r>
                    <w:rPr>
                      <w:color w:val="auto"/>
                    </w:rPr>
                    <w:t>亚急性毒性：10μg/</w:t>
                  </w:r>
                  <w:r>
                    <w:rPr>
                      <w:rFonts w:hint="eastAsia"/>
                      <w:color w:val="auto"/>
                      <w:lang w:eastAsia="zh-CN"/>
                    </w:rPr>
                    <w:t>m³</w:t>
                  </w:r>
                  <w:r>
                    <w:rPr>
                      <w:color w:val="auto"/>
                    </w:rPr>
                    <w:t>，大鼠接触30至40天，红细胞胆色素原合酶(ALAD)活性减少80%～90%，血铅浓度高达150～200 μg/100ml。出现明显中毒症状。10μg/</w:t>
                  </w:r>
                  <w:r>
                    <w:rPr>
                      <w:rFonts w:hint="eastAsia"/>
                      <w:color w:val="auto"/>
                      <w:lang w:eastAsia="zh-CN"/>
                    </w:rPr>
                    <w:t>m³</w:t>
                  </w:r>
                  <w:r>
                    <w:rPr>
                      <w:color w:val="auto"/>
                    </w:rPr>
                    <w:t>，大鼠吸入3至12个月后，从肺部洗脱下来的巨噬细胞减少了60%，多种中毒症状。0.01mg/</w:t>
                  </w:r>
                  <w:r>
                    <w:rPr>
                      <w:rFonts w:hint="eastAsia"/>
                      <w:color w:val="auto"/>
                      <w:lang w:eastAsia="zh-CN"/>
                    </w:rPr>
                    <w:t>m³</w:t>
                  </w:r>
                  <w:r>
                    <w:rPr>
                      <w:color w:val="auto"/>
                    </w:rPr>
                    <w:t>，人职业接触，泌尿系统炎症，血压变化，死亡，妇女胎儿死亡。</w:t>
                  </w:r>
                </w:p>
                <w:p>
                  <w:pPr>
                    <w:pStyle w:val="28"/>
                    <w:keepNext w:val="0"/>
                    <w:keepLines w:val="0"/>
                    <w:suppressLineNumbers w:val="0"/>
                    <w:bidi w:val="0"/>
                    <w:spacing w:before="0" w:beforeAutospacing="0" w:after="0" w:afterAutospacing="0"/>
                    <w:ind w:left="0" w:right="0"/>
                    <w:jc w:val="both"/>
                    <w:rPr>
                      <w:color w:val="auto"/>
                    </w:rPr>
                  </w:pPr>
                  <w:r>
                    <w:rPr>
                      <w:color w:val="auto"/>
                    </w:rPr>
                    <w:t>慢性毒性：长期接触铅及其化合物会导致心悸，血象红细胞增多。铅侵犯神经系统后，出现失眠、多梦、记忆减退、疲乏，进而发展为狂躁、失明、神志模糊、昏迷，最后因脑血管缺氧而死亡。</w:t>
                  </w:r>
                </w:p>
                <w:p>
                  <w:pPr>
                    <w:pStyle w:val="28"/>
                    <w:keepNext w:val="0"/>
                    <w:keepLines w:val="0"/>
                    <w:suppressLineNumbers w:val="0"/>
                    <w:bidi w:val="0"/>
                    <w:spacing w:before="0" w:beforeAutospacing="0" w:after="0" w:afterAutospacing="0"/>
                    <w:ind w:left="0" w:right="0"/>
                    <w:jc w:val="both"/>
                    <w:rPr>
                      <w:color w:val="auto"/>
                    </w:rPr>
                  </w:pPr>
                  <w:r>
                    <w:rPr>
                      <w:color w:val="auto"/>
                    </w:rPr>
                    <w:t>致癌：铅的无机化合物的动物试验表明可能引发癌症。另据文献记载，铅是一种慢性和积累性毒物，不同的个体敏感性很不相同，对人来说铅是一种潜在性泌尿系统致癌物质。</w:t>
                  </w:r>
                </w:p>
                <w:p>
                  <w:pPr>
                    <w:pStyle w:val="28"/>
                    <w:keepNext w:val="0"/>
                    <w:keepLines w:val="0"/>
                    <w:suppressLineNumbers w:val="0"/>
                    <w:bidi w:val="0"/>
                    <w:spacing w:before="0" w:beforeAutospacing="0" w:after="0" w:afterAutospacing="0"/>
                    <w:ind w:left="0" w:right="0"/>
                    <w:jc w:val="both"/>
                    <w:rPr>
                      <w:color w:val="auto"/>
                    </w:rPr>
                  </w:pPr>
                  <w:r>
                    <w:rPr>
                      <w:color w:val="auto"/>
                    </w:rPr>
                    <w:t> 致畸：没有足够的动物试验能够提供证据表明铅及其化合物有致畸作用。</w:t>
                  </w:r>
                </w:p>
                <w:p>
                  <w:pPr>
                    <w:pStyle w:val="28"/>
                    <w:keepNext w:val="0"/>
                    <w:keepLines w:val="0"/>
                    <w:suppressLineNumbers w:val="0"/>
                    <w:bidi w:val="0"/>
                    <w:spacing w:before="0" w:beforeAutospacing="0" w:after="0" w:afterAutospacing="0"/>
                    <w:ind w:left="0" w:right="0"/>
                    <w:jc w:val="both"/>
                    <w:rPr>
                      <w:color w:val="auto"/>
                    </w:rPr>
                  </w:pPr>
                  <w:r>
                    <w:rPr>
                      <w:color w:val="auto"/>
                    </w:rPr>
                    <w:t>致突变：用含 1%的醋酸铅饲料喂小鼠，白细胞培养的染色体裂隙-断裂型畸变的数目增加，这些改变涉及单个染色体，表明DNA复制受到损伤。</w:t>
                  </w:r>
                </w:p>
                <w:p>
                  <w:pPr>
                    <w:pStyle w:val="28"/>
                    <w:keepNext w:val="0"/>
                    <w:keepLines w:val="0"/>
                    <w:suppressLineNumbers w:val="0"/>
                    <w:bidi w:val="0"/>
                    <w:spacing w:before="0" w:beforeAutospacing="0" w:after="0" w:afterAutospacing="0"/>
                    <w:ind w:left="0" w:right="0"/>
                    <w:jc w:val="both"/>
                    <w:rPr>
                      <w:color w:val="auto"/>
                    </w:rPr>
                  </w:pPr>
                  <w:r>
                    <w:rPr>
                      <w:color w:val="auto"/>
                    </w:rPr>
                    <w:t>代谢和降解：环境中的无机铅及其化合物十分稳定，不易代谢和降解。</w:t>
                  </w:r>
                </w:p>
                <w:p>
                  <w:pPr>
                    <w:pStyle w:val="28"/>
                    <w:keepNext w:val="0"/>
                    <w:keepLines w:val="0"/>
                    <w:suppressLineNumbers w:val="0"/>
                    <w:bidi w:val="0"/>
                    <w:spacing w:before="0" w:beforeAutospacing="0" w:after="0" w:afterAutospacing="0"/>
                    <w:ind w:left="0" w:right="0"/>
                    <w:jc w:val="both"/>
                    <w:rPr>
                      <w:color w:val="auto"/>
                    </w:rPr>
                  </w:pPr>
                  <w:r>
                    <w:rPr>
                      <w:color w:val="auto"/>
                    </w:rPr>
                    <w:t>危险特性：粉体在受热、遇明火或接触氧化剂时会引起燃烧爆炸。</w:t>
                  </w:r>
                </w:p>
                <w:p>
                  <w:pPr>
                    <w:pStyle w:val="28"/>
                    <w:keepNext w:val="0"/>
                    <w:keepLines w:val="0"/>
                    <w:suppressLineNumbers w:val="0"/>
                    <w:bidi w:val="0"/>
                    <w:spacing w:before="0" w:beforeAutospacing="0" w:after="0" w:afterAutospacing="0"/>
                    <w:ind w:left="0" w:right="0"/>
                    <w:jc w:val="both"/>
                    <w:rPr>
                      <w:color w:val="auto"/>
                    </w:rPr>
                  </w:pPr>
                  <w:r>
                    <w:rPr>
                      <w:color w:val="auto"/>
                    </w:rPr>
                    <w:t>燃烧(分解)产物：氧化铅。</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4" w:type="pct"/>
                  <w:vAlign w:val="center"/>
                </w:tcPr>
                <w:p>
                  <w:pPr>
                    <w:pStyle w:val="28"/>
                    <w:keepNext w:val="0"/>
                    <w:keepLines w:val="0"/>
                    <w:suppressLineNumbers w:val="0"/>
                    <w:bidi w:val="0"/>
                    <w:spacing w:before="0" w:beforeAutospacing="0" w:after="0" w:afterAutospacing="0"/>
                    <w:ind w:left="0" w:right="0"/>
                    <w:rPr>
                      <w:color w:val="auto"/>
                    </w:rPr>
                  </w:pPr>
                  <w:r>
                    <w:rPr>
                      <w:color w:val="auto"/>
                    </w:rPr>
                    <w:t>泄漏应急处理</w:t>
                  </w:r>
                </w:p>
              </w:tc>
              <w:tc>
                <w:tcPr>
                  <w:tcW w:w="4066" w:type="pct"/>
                  <w:gridSpan w:val="4"/>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切断火源。戴好防毒面具，穿好一般消防防护服。用洁净的铲子收集于干燥净洁有盖的容器中，用水泥、沥青或适当的热塑性材料固化处理再废弃。如大量泄漏，收集回收或无害处理后废弃。</w:t>
                  </w:r>
                </w:p>
                <w:p>
                  <w:pPr>
                    <w:pStyle w:val="28"/>
                    <w:keepNext w:val="0"/>
                    <w:keepLines w:val="0"/>
                    <w:suppressLineNumbers w:val="0"/>
                    <w:bidi w:val="0"/>
                    <w:spacing w:before="0" w:beforeAutospacing="0" w:after="0" w:afterAutospacing="0"/>
                    <w:ind w:left="0" w:right="0"/>
                    <w:jc w:val="both"/>
                    <w:rPr>
                      <w:color w:val="auto"/>
                    </w:rPr>
                  </w:pPr>
                  <w:r>
                    <w:rPr>
                      <w:color w:val="auto"/>
                    </w:rPr>
                    <w:t>①对于泄漏的PbCl</w:t>
                  </w:r>
                  <w:r>
                    <w:rPr>
                      <w:color w:val="auto"/>
                      <w:vertAlign w:val="subscript"/>
                    </w:rPr>
                    <w:t>4</w:t>
                  </w:r>
                  <w:r>
                    <w:rPr>
                      <w:color w:val="auto"/>
                    </w:rPr>
                    <w:t>和Pb(ClO</w:t>
                  </w:r>
                  <w:r>
                    <w:rPr>
                      <w:color w:val="auto"/>
                      <w:vertAlign w:val="subscript"/>
                    </w:rPr>
                    <w:t>4</w:t>
                  </w:r>
                  <w:r>
                    <w:rPr>
                      <w:color w:val="auto"/>
                    </w:rPr>
                    <w:t>)</w:t>
                  </w:r>
                  <w:r>
                    <w:rPr>
                      <w:color w:val="auto"/>
                      <w:vertAlign w:val="subscript"/>
                    </w:rPr>
                    <w:t>2</w:t>
                  </w:r>
                  <w:r>
                    <w:rPr>
                      <w:color w:val="auto"/>
                    </w:rPr>
                    <w:t>，应戴好防毒面具等全部防护用品。用干砂土混合。</w:t>
                  </w:r>
                </w:p>
                <w:p>
                  <w:pPr>
                    <w:pStyle w:val="28"/>
                    <w:keepNext w:val="0"/>
                    <w:keepLines w:val="0"/>
                    <w:suppressLineNumbers w:val="0"/>
                    <w:bidi w:val="0"/>
                    <w:spacing w:before="0" w:beforeAutospacing="0" w:after="0" w:afterAutospacing="0"/>
                    <w:ind w:left="0" w:right="0"/>
                    <w:jc w:val="both"/>
                    <w:rPr>
                      <w:color w:val="auto"/>
                    </w:rPr>
                  </w:pPr>
                  <w:r>
                    <w:rPr>
                      <w:color w:val="auto"/>
                    </w:rPr>
                    <w:t>②对于泄漏的PbO、四甲(乙)基铅和Pb</w:t>
                  </w:r>
                  <w:r>
                    <w:rPr>
                      <w:color w:val="auto"/>
                      <w:vertAlign w:val="subscript"/>
                    </w:rPr>
                    <w:t>3</w:t>
                  </w:r>
                  <w:r>
                    <w:rPr>
                      <w:color w:val="auto"/>
                    </w:rPr>
                    <w:t>O</w:t>
                  </w:r>
                  <w:r>
                    <w:rPr>
                      <w:color w:val="auto"/>
                      <w:vertAlign w:val="subscript"/>
                    </w:rPr>
                    <w:t>4</w:t>
                  </w:r>
                  <w:r>
                    <w:rPr>
                      <w:color w:val="auto"/>
                    </w:rPr>
                    <w:t>，应戴好防毒面具等全部防护用品。用干砂土混合后倒至空旷地掩埋。</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4" w:type="pct"/>
                  <w:vAlign w:val="center"/>
                </w:tcPr>
                <w:p>
                  <w:pPr>
                    <w:pStyle w:val="28"/>
                    <w:keepNext w:val="0"/>
                    <w:keepLines w:val="0"/>
                    <w:suppressLineNumbers w:val="0"/>
                    <w:bidi w:val="0"/>
                    <w:spacing w:before="0" w:beforeAutospacing="0" w:after="0" w:afterAutospacing="0"/>
                    <w:ind w:left="0" w:right="0"/>
                    <w:rPr>
                      <w:color w:val="auto"/>
                    </w:rPr>
                  </w:pPr>
                  <w:r>
                    <w:rPr>
                      <w:color w:val="auto"/>
                    </w:rPr>
                    <w:t>防护措施</w:t>
                  </w:r>
                </w:p>
              </w:tc>
              <w:tc>
                <w:tcPr>
                  <w:tcW w:w="4066" w:type="pct"/>
                  <w:gridSpan w:val="4"/>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呼吸系统防护：作业工人应该佩戴防尘口罩。</w:t>
                  </w:r>
                </w:p>
                <w:p>
                  <w:pPr>
                    <w:pStyle w:val="28"/>
                    <w:keepNext w:val="0"/>
                    <w:keepLines w:val="0"/>
                    <w:suppressLineNumbers w:val="0"/>
                    <w:bidi w:val="0"/>
                    <w:spacing w:before="0" w:beforeAutospacing="0" w:after="0" w:afterAutospacing="0"/>
                    <w:ind w:left="0" w:right="0"/>
                    <w:jc w:val="both"/>
                    <w:rPr>
                      <w:color w:val="auto"/>
                    </w:rPr>
                  </w:pPr>
                  <w:r>
                    <w:rPr>
                      <w:color w:val="auto"/>
                    </w:rPr>
                    <w:t>眼睛防护：必要时可采用安全面罩。</w:t>
                  </w:r>
                </w:p>
                <w:p>
                  <w:pPr>
                    <w:pStyle w:val="28"/>
                    <w:keepNext w:val="0"/>
                    <w:keepLines w:val="0"/>
                    <w:suppressLineNumbers w:val="0"/>
                    <w:bidi w:val="0"/>
                    <w:spacing w:before="0" w:beforeAutospacing="0" w:after="0" w:afterAutospacing="0"/>
                    <w:ind w:left="0" w:right="0"/>
                    <w:jc w:val="both"/>
                    <w:rPr>
                      <w:color w:val="auto"/>
                    </w:rPr>
                  </w:pPr>
                  <w:r>
                    <w:rPr>
                      <w:color w:val="auto"/>
                    </w:rPr>
                    <w:t>防护服：穿工作服。</w:t>
                  </w:r>
                </w:p>
                <w:p>
                  <w:pPr>
                    <w:pStyle w:val="28"/>
                    <w:keepNext w:val="0"/>
                    <w:keepLines w:val="0"/>
                    <w:suppressLineNumbers w:val="0"/>
                    <w:bidi w:val="0"/>
                    <w:spacing w:before="0" w:beforeAutospacing="0" w:after="0" w:afterAutospacing="0"/>
                    <w:ind w:left="0" w:right="0"/>
                    <w:jc w:val="both"/>
                    <w:rPr>
                      <w:color w:val="auto"/>
                    </w:rPr>
                  </w:pPr>
                  <w:r>
                    <w:rPr>
                      <w:color w:val="auto"/>
                    </w:rPr>
                    <w:t>手防护：必要时戴防护手套。</w:t>
                  </w:r>
                </w:p>
                <w:p>
                  <w:pPr>
                    <w:pStyle w:val="28"/>
                    <w:keepNext w:val="0"/>
                    <w:keepLines w:val="0"/>
                    <w:suppressLineNumbers w:val="0"/>
                    <w:bidi w:val="0"/>
                    <w:spacing w:before="0" w:beforeAutospacing="0" w:after="0" w:afterAutospacing="0"/>
                    <w:ind w:left="0" w:right="0"/>
                    <w:jc w:val="both"/>
                    <w:rPr>
                      <w:color w:val="auto"/>
                    </w:rPr>
                  </w:pPr>
                  <w:r>
                    <w:rPr>
                      <w:color w:val="auto"/>
                    </w:rPr>
                    <w:t>其它：工作现场禁止吸烟、进食和饮水。工作后，淋浴更衣。实行就业前和定期的体检。保持良好的卫生习惯。</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4" w:type="pct"/>
                  <w:vAlign w:val="center"/>
                </w:tcPr>
                <w:p>
                  <w:pPr>
                    <w:pStyle w:val="28"/>
                    <w:keepNext w:val="0"/>
                    <w:keepLines w:val="0"/>
                    <w:suppressLineNumbers w:val="0"/>
                    <w:bidi w:val="0"/>
                    <w:spacing w:before="0" w:beforeAutospacing="0" w:after="0" w:afterAutospacing="0"/>
                    <w:ind w:left="0" w:right="0"/>
                    <w:rPr>
                      <w:color w:val="auto"/>
                    </w:rPr>
                  </w:pPr>
                  <w:r>
                    <w:rPr>
                      <w:color w:val="auto"/>
                    </w:rPr>
                    <w:t>急救措施</w:t>
                  </w:r>
                </w:p>
              </w:tc>
              <w:tc>
                <w:tcPr>
                  <w:tcW w:w="4066" w:type="pct"/>
                  <w:gridSpan w:val="4"/>
                  <w:vAlign w:val="center"/>
                </w:tcPr>
                <w:p>
                  <w:pPr>
                    <w:pStyle w:val="28"/>
                    <w:keepNext w:val="0"/>
                    <w:keepLines w:val="0"/>
                    <w:suppressLineNumbers w:val="0"/>
                    <w:bidi w:val="0"/>
                    <w:spacing w:before="0" w:beforeAutospacing="0" w:after="0" w:afterAutospacing="0"/>
                    <w:ind w:left="0" w:right="0"/>
                    <w:jc w:val="both"/>
                    <w:rPr>
                      <w:color w:val="auto"/>
                    </w:rPr>
                  </w:pPr>
                  <w:r>
                    <w:rPr>
                      <w:color w:val="auto"/>
                    </w:rPr>
                    <w:t>皮肤接触：脱去污染的衣着，用肥皂水及流动清水彻底冲洗。</w:t>
                  </w:r>
                </w:p>
                <w:p>
                  <w:pPr>
                    <w:pStyle w:val="28"/>
                    <w:keepNext w:val="0"/>
                    <w:keepLines w:val="0"/>
                    <w:suppressLineNumbers w:val="0"/>
                    <w:bidi w:val="0"/>
                    <w:spacing w:before="0" w:beforeAutospacing="0" w:after="0" w:afterAutospacing="0"/>
                    <w:ind w:left="0" w:right="0"/>
                    <w:jc w:val="both"/>
                    <w:rPr>
                      <w:color w:val="auto"/>
                    </w:rPr>
                  </w:pPr>
                  <w:r>
                    <w:rPr>
                      <w:color w:val="auto"/>
                    </w:rPr>
                    <w:t>眼睛接触：立即翻开上下眼睑，用流动清水或生理盐水冲洗。就医。</w:t>
                  </w:r>
                </w:p>
                <w:p>
                  <w:pPr>
                    <w:pStyle w:val="28"/>
                    <w:keepNext w:val="0"/>
                    <w:keepLines w:val="0"/>
                    <w:suppressLineNumbers w:val="0"/>
                    <w:bidi w:val="0"/>
                    <w:spacing w:before="0" w:beforeAutospacing="0" w:after="0" w:afterAutospacing="0"/>
                    <w:ind w:left="0" w:right="0"/>
                    <w:jc w:val="both"/>
                    <w:rPr>
                      <w:color w:val="auto"/>
                    </w:rPr>
                  </w:pPr>
                  <w:r>
                    <w:rPr>
                      <w:color w:val="auto"/>
                    </w:rPr>
                    <w:t> 吸入：迅速脱离现场至空气新鲜处。保持呼吸道通畅。呼吸困难时给输氧。呼吸停止时，立即进行人工呼吸。就医。</w:t>
                  </w:r>
                </w:p>
                <w:p>
                  <w:pPr>
                    <w:pStyle w:val="28"/>
                    <w:keepNext w:val="0"/>
                    <w:keepLines w:val="0"/>
                    <w:suppressLineNumbers w:val="0"/>
                    <w:bidi w:val="0"/>
                    <w:spacing w:before="0" w:beforeAutospacing="0" w:after="0" w:afterAutospacing="0"/>
                    <w:ind w:left="0" w:right="0"/>
                    <w:jc w:val="both"/>
                    <w:rPr>
                      <w:color w:val="auto"/>
                    </w:rPr>
                  </w:pPr>
                  <w:r>
                    <w:rPr>
                      <w:color w:val="auto"/>
                    </w:rPr>
                    <w:t>食入：给饮足量温水，催吐，就医。</w:t>
                  </w:r>
                </w:p>
              </w:tc>
            </w:tr>
          </w:tbl>
          <w:p>
            <w:pPr>
              <w:keepNext w:val="0"/>
              <w:keepLines w:val="0"/>
              <w:suppressLineNumbers w:val="0"/>
              <w:bidi w:val="0"/>
              <w:spacing w:before="0" w:beforeAutospacing="0" w:after="0" w:afterAutospacing="0"/>
              <w:ind w:left="0" w:right="0"/>
              <w:rPr>
                <w:color w:val="auto"/>
              </w:rPr>
            </w:pPr>
            <w:r>
              <w:rPr>
                <w:rFonts w:hint="eastAsia"/>
                <w:color w:val="auto"/>
              </w:rPr>
              <w:t>（2）风险源分布情况及可能影响途径</w:t>
            </w:r>
          </w:p>
          <w:p>
            <w:pPr>
              <w:keepNext w:val="0"/>
              <w:keepLines w:val="0"/>
              <w:suppressLineNumbers w:val="0"/>
              <w:bidi w:val="0"/>
              <w:spacing w:before="0" w:beforeAutospacing="0" w:after="0" w:afterAutospacing="0"/>
              <w:ind w:left="0" w:right="0"/>
              <w:rPr>
                <w:color w:val="auto"/>
              </w:rPr>
            </w:pPr>
            <w:r>
              <w:rPr>
                <w:color w:val="auto"/>
              </w:rPr>
              <w:t>本项目不对废铅酸蓄电池进行再分类、拆解以及再生加工等。</w:t>
            </w:r>
            <w:r>
              <w:rPr>
                <w:rFonts w:hint="eastAsia"/>
                <w:color w:val="auto"/>
              </w:rPr>
              <w:t>风险主要来自运输及贮存过程。</w:t>
            </w:r>
            <w:r>
              <w:rPr>
                <w:color w:val="auto"/>
              </w:rPr>
              <w:t>项目回收的电池</w:t>
            </w:r>
            <w:r>
              <w:rPr>
                <w:rFonts w:hint="eastAsia"/>
                <w:color w:val="auto"/>
              </w:rPr>
              <w:t>大部分是</w:t>
            </w:r>
            <w:r>
              <w:rPr>
                <w:color w:val="auto"/>
              </w:rPr>
              <w:t>完整</w:t>
            </w:r>
            <w:r>
              <w:rPr>
                <w:rFonts w:hint="eastAsia"/>
                <w:color w:val="auto"/>
              </w:rPr>
              <w:t>的</w:t>
            </w:r>
            <w:r>
              <w:rPr>
                <w:color w:val="auto"/>
              </w:rPr>
              <w:t>铅酸蓄电池，电池经专门的车辆运至本项目</w:t>
            </w:r>
            <w:r>
              <w:rPr>
                <w:rFonts w:hint="eastAsia"/>
                <w:color w:val="auto"/>
                <w:lang w:val="en-US" w:eastAsia="zh-CN"/>
              </w:rPr>
              <w:t>储存</w:t>
            </w:r>
            <w:r>
              <w:rPr>
                <w:color w:val="auto"/>
              </w:rPr>
              <w:t>区。</w:t>
            </w:r>
            <w:r>
              <w:rPr>
                <w:rFonts w:hint="eastAsia"/>
                <w:color w:val="auto"/>
              </w:rPr>
              <w:t>一般不会对电池造成损伤，回收中少数发生破损的电池均贮存在防腐防渗的容器内，因此并不会环境带来较大的影响。本项目环境风险主要体现在如不慎在储运过程中对电池造成了损伤，电解液的泄漏，因此，本次风险的重点是对电解液泄漏引起的环境风险事故进行分析。</w:t>
            </w:r>
          </w:p>
          <w:p>
            <w:pPr>
              <w:keepNext w:val="0"/>
              <w:keepLines w:val="0"/>
              <w:suppressLineNumbers w:val="0"/>
              <w:bidi w:val="0"/>
              <w:spacing w:before="0" w:beforeAutospacing="0" w:after="0" w:afterAutospacing="0"/>
              <w:ind w:left="0" w:right="0"/>
              <w:rPr>
                <w:color w:val="auto"/>
              </w:rPr>
            </w:pPr>
            <w:r>
              <w:rPr>
                <w:rFonts w:hint="eastAsia"/>
                <w:color w:val="auto"/>
              </w:rPr>
              <w:t>一般铅酸蓄电池用的是1.24-1.31g/c</w:t>
            </w:r>
            <w:r>
              <w:rPr>
                <w:rFonts w:hint="eastAsia"/>
                <w:color w:val="auto"/>
                <w:lang w:eastAsia="zh-CN"/>
              </w:rPr>
              <w:t>m³</w:t>
            </w:r>
            <w:r>
              <w:rPr>
                <w:rFonts w:hint="eastAsia"/>
                <w:color w:val="auto"/>
              </w:rPr>
              <w:t>浓度的稀硫酸，挥发性不强，事故时用片碱覆盖，并引入事故应急池。贮存区及事故应急池地面硬化并做防腐蚀和防渗处理，则污染物不会进入土壤及地下水。本环评要求企业加强管理，严格按照</w:t>
            </w:r>
            <w:r>
              <w:rPr>
                <w:color w:val="auto"/>
              </w:rPr>
              <w:t>《危险废物贮存污染控制标准》（GB18597-2023）</w:t>
            </w:r>
            <w:r>
              <w:rPr>
                <w:rFonts w:hint="eastAsia"/>
                <w:color w:val="auto"/>
              </w:rPr>
              <w:t>和《废铅酸蓄电池处理污染控制技规范》（HJ519-2020）的相关规定进行建设、管理运营，在此前提下，不会对周围环境造成影响。</w:t>
            </w:r>
          </w:p>
          <w:p>
            <w:pPr>
              <w:keepNext w:val="0"/>
              <w:keepLines w:val="0"/>
              <w:suppressLineNumbers w:val="0"/>
              <w:bidi w:val="0"/>
              <w:spacing w:before="0" w:beforeAutospacing="0" w:after="0" w:afterAutospacing="0"/>
              <w:ind w:left="0" w:right="0"/>
              <w:rPr>
                <w:color w:val="auto"/>
              </w:rPr>
            </w:pPr>
            <w:r>
              <w:rPr>
                <w:rFonts w:hint="eastAsia"/>
                <w:color w:val="auto"/>
              </w:rPr>
              <w:t>（3）环境风险防范措施及应急要求</w:t>
            </w:r>
          </w:p>
          <w:p>
            <w:pPr>
              <w:keepNext w:val="0"/>
              <w:keepLines w:val="0"/>
              <w:suppressLineNumbers w:val="0"/>
              <w:bidi w:val="0"/>
              <w:spacing w:before="0" w:beforeAutospacing="0" w:after="0" w:afterAutospacing="0"/>
              <w:ind w:left="0" w:right="0"/>
              <w:rPr>
                <w:color w:val="auto"/>
              </w:rPr>
            </w:pPr>
            <w:r>
              <w:rPr>
                <w:rFonts w:hint="eastAsia"/>
                <w:color w:val="auto"/>
              </w:rPr>
              <w:t>本项目在工程设计施工及生产运营中应严格执行我国《中华人民共和国安全生产法》(2016年修订)、《危险化学品安全管理条例》(国务院【2013)645号令)、《中华人民共和国消防法》(国家主席[2009]6号令)和企业安全卫生设计规定、化学工业环境保护管理规定，并建议采取如下措施：</w:t>
            </w:r>
          </w:p>
          <w:p>
            <w:pPr>
              <w:keepNext w:val="0"/>
              <w:keepLines w:val="0"/>
              <w:suppressLineNumbers w:val="0"/>
              <w:bidi w:val="0"/>
              <w:spacing w:before="0" w:beforeAutospacing="0" w:after="0" w:afterAutospacing="0"/>
              <w:ind w:left="0" w:right="0"/>
              <w:rPr>
                <w:color w:val="auto"/>
              </w:rPr>
            </w:pPr>
            <w:r>
              <w:rPr>
                <w:rFonts w:hint="eastAsia"/>
                <w:color w:val="auto"/>
              </w:rPr>
              <w:t>1）运输过程风险防范</w:t>
            </w:r>
          </w:p>
          <w:p>
            <w:pPr>
              <w:keepNext w:val="0"/>
              <w:keepLines w:val="0"/>
              <w:suppressLineNumbers w:val="0"/>
              <w:bidi w:val="0"/>
              <w:spacing w:before="0" w:beforeAutospacing="0" w:after="0" w:afterAutospacing="0"/>
              <w:ind w:left="0" w:right="0"/>
              <w:rPr>
                <w:color w:val="auto"/>
              </w:rPr>
            </w:pPr>
            <w:r>
              <w:rPr>
                <w:rFonts w:hint="eastAsia"/>
                <w:color w:val="auto"/>
              </w:rPr>
              <w:t>①本项目只负责废旧电池贮存，其再生加工利用均由有资质单位处置，在危险废物收集运输过程中，需由专用危险废物运输车辆运送。</w:t>
            </w:r>
          </w:p>
          <w:p>
            <w:pPr>
              <w:keepNext w:val="0"/>
              <w:keepLines w:val="0"/>
              <w:suppressLineNumbers w:val="0"/>
              <w:bidi w:val="0"/>
              <w:spacing w:before="0" w:beforeAutospacing="0" w:after="0" w:afterAutospacing="0"/>
              <w:ind w:left="0" w:right="0"/>
              <w:rPr>
                <w:color w:val="auto"/>
              </w:rPr>
            </w:pPr>
            <w:r>
              <w:rPr>
                <w:rFonts w:hint="eastAsia"/>
                <w:color w:val="auto"/>
              </w:rPr>
              <w:t>②在装车运输前，对回收的废旧蓄电池外壳进行检查，确保外壳不存在破损情况，若废旧蓄电池外壳有破损，应对蓄电池进行单独包装后再装车运输。</w:t>
            </w:r>
          </w:p>
          <w:p>
            <w:pPr>
              <w:keepNext w:val="0"/>
              <w:keepLines w:val="0"/>
              <w:suppressLineNumbers w:val="0"/>
              <w:bidi w:val="0"/>
              <w:spacing w:before="0" w:beforeAutospacing="0" w:after="0" w:afterAutospacing="0"/>
              <w:ind w:left="0" w:right="0"/>
              <w:rPr>
                <w:color w:val="auto"/>
              </w:rPr>
            </w:pPr>
            <w:r>
              <w:rPr>
                <w:rFonts w:hint="eastAsia"/>
                <w:color w:val="auto"/>
              </w:rPr>
              <w:t>③废旧铅酸蓄电池运输过程中，应携带备用耐酸容器，以便发生事故时能对泄漏的电解液进行收集。</w:t>
            </w:r>
          </w:p>
          <w:p>
            <w:pPr>
              <w:keepNext w:val="0"/>
              <w:keepLines w:val="0"/>
              <w:suppressLineNumbers w:val="0"/>
              <w:bidi w:val="0"/>
              <w:spacing w:before="0" w:beforeAutospacing="0" w:after="0" w:afterAutospacing="0"/>
              <w:ind w:left="0" w:right="0"/>
              <w:rPr>
                <w:color w:val="auto"/>
              </w:rPr>
            </w:pPr>
            <w:r>
              <w:rPr>
                <w:rFonts w:hint="eastAsia"/>
                <w:color w:val="auto"/>
              </w:rPr>
              <w:t>④装运的危险物品必须在其外包装的明显部位按规定</w:t>
            </w:r>
            <w:r>
              <w:rPr>
                <w:rFonts w:hint="eastAsia"/>
                <w:color w:val="auto"/>
                <w:lang w:eastAsia="zh-CN"/>
              </w:rPr>
              <w:t>粘贴</w:t>
            </w:r>
            <w:r>
              <w:rPr>
                <w:rFonts w:hint="eastAsia"/>
                <w:color w:val="auto"/>
              </w:rPr>
              <w:t>《危险货物包装标志》(GB190-2009)规定的危险物资标记，包括标记的粘贴要正确、牢固。</w:t>
            </w:r>
          </w:p>
          <w:p>
            <w:pPr>
              <w:keepNext w:val="0"/>
              <w:keepLines w:val="0"/>
              <w:suppressLineNumbers w:val="0"/>
              <w:bidi w:val="0"/>
              <w:spacing w:before="0" w:beforeAutospacing="0" w:after="0" w:afterAutospacing="0"/>
              <w:ind w:left="0" w:right="0"/>
              <w:rPr>
                <w:color w:val="auto"/>
              </w:rPr>
            </w:pPr>
            <w:r>
              <w:rPr>
                <w:rFonts w:hint="eastAsia"/>
                <w:color w:val="auto"/>
              </w:rPr>
              <w:t>2）贮存过程中泄漏事故风险防范</w:t>
            </w:r>
          </w:p>
          <w:p>
            <w:pPr>
              <w:keepNext w:val="0"/>
              <w:keepLines w:val="0"/>
              <w:suppressLineNumbers w:val="0"/>
              <w:bidi w:val="0"/>
              <w:spacing w:before="0" w:beforeAutospacing="0" w:after="0" w:afterAutospacing="0"/>
              <w:ind w:left="0" w:right="0"/>
              <w:rPr>
                <w:color w:val="auto"/>
              </w:rPr>
            </w:pPr>
            <w:r>
              <w:rPr>
                <w:rFonts w:hint="eastAsia"/>
                <w:color w:val="auto"/>
              </w:rPr>
              <w:t>①铅酸蓄电池贮存区按照《废铅酸蓄电池处理污染控制技术规范》(HJ519-2020)及</w:t>
            </w:r>
            <w:r>
              <w:rPr>
                <w:color w:val="auto"/>
              </w:rPr>
              <w:t>《危险废物贮存污染控制标准》（GB18597-2023）</w:t>
            </w:r>
            <w:r>
              <w:rPr>
                <w:rFonts w:hint="eastAsia"/>
                <w:color w:val="auto"/>
              </w:rPr>
              <w:t>相关要求进行防渗、防腐改造，贮存区域四周设导流</w:t>
            </w:r>
            <w:r>
              <w:rPr>
                <w:rFonts w:hint="eastAsia"/>
                <w:color w:val="auto"/>
                <w:lang w:val="en-US" w:eastAsia="zh-CN"/>
              </w:rPr>
              <w:t>槽</w:t>
            </w:r>
            <w:r>
              <w:rPr>
                <w:rFonts w:hint="eastAsia"/>
                <w:color w:val="auto"/>
              </w:rPr>
              <w:t>，导流</w:t>
            </w:r>
            <w:r>
              <w:rPr>
                <w:rFonts w:hint="eastAsia"/>
                <w:color w:val="auto"/>
                <w:lang w:val="en-US" w:eastAsia="zh-CN"/>
              </w:rPr>
              <w:t>槽</w:t>
            </w:r>
            <w:r>
              <w:rPr>
                <w:rFonts w:hint="eastAsia"/>
                <w:color w:val="auto"/>
              </w:rPr>
              <w:t>与事故应急池相连，使事故情况下的电解液可以纳入事故应急池内。</w:t>
            </w:r>
          </w:p>
          <w:p>
            <w:pPr>
              <w:keepNext w:val="0"/>
              <w:keepLines w:val="0"/>
              <w:suppressLineNumbers w:val="0"/>
              <w:bidi w:val="0"/>
              <w:spacing w:before="0" w:beforeAutospacing="0" w:after="0" w:afterAutospacing="0"/>
              <w:ind w:left="0" w:right="0"/>
              <w:rPr>
                <w:color w:val="auto"/>
              </w:rPr>
            </w:pPr>
            <w:r>
              <w:rPr>
                <w:rFonts w:hint="eastAsia"/>
                <w:color w:val="auto"/>
              </w:rPr>
              <w:t>②贮存区内的铅酸蓄电池存放在塑料箱内，破损铅酸蓄电池存放在带盖塑料筐内。</w:t>
            </w:r>
          </w:p>
          <w:p>
            <w:pPr>
              <w:keepNext w:val="0"/>
              <w:keepLines w:val="0"/>
              <w:suppressLineNumbers w:val="0"/>
              <w:bidi w:val="0"/>
              <w:spacing w:before="0" w:beforeAutospacing="0" w:after="0" w:afterAutospacing="0"/>
              <w:ind w:left="0" w:right="0"/>
              <w:rPr>
                <w:color w:val="auto"/>
              </w:rPr>
            </w:pPr>
            <w:r>
              <w:rPr>
                <w:rFonts w:hint="eastAsia"/>
                <w:color w:val="auto"/>
              </w:rPr>
              <w:t>③暂存前应检查废旧铅酸蓄电池外壳是否完整，若存在破损，应对蓄电池进行单独包装后贮存，同时在放入贮存区前应放空电池电量。</w:t>
            </w:r>
          </w:p>
          <w:p>
            <w:pPr>
              <w:keepNext w:val="0"/>
              <w:keepLines w:val="0"/>
              <w:suppressLineNumbers w:val="0"/>
              <w:bidi w:val="0"/>
              <w:spacing w:before="0" w:beforeAutospacing="0" w:after="0" w:afterAutospacing="0"/>
              <w:ind w:left="0" w:right="0"/>
              <w:rPr>
                <w:color w:val="auto"/>
              </w:rPr>
            </w:pPr>
            <w:r>
              <w:rPr>
                <w:rFonts w:hint="eastAsia"/>
                <w:color w:val="auto"/>
              </w:rPr>
              <w:t>④企业应加强管理，每天安排人员对贮存区进行巡查，一经发现存在电解液泄漏时，立即组织人员对泄漏的电解液进行收集转移至耐酸容器内，并对塑料容器和受到污染的蓄电池进行擦洗，擦洗产生的废抹布作为危险废物与电解液一并委托有资质单位处置。</w:t>
            </w:r>
          </w:p>
          <w:p>
            <w:pPr>
              <w:keepNext w:val="0"/>
              <w:keepLines w:val="0"/>
              <w:suppressLineNumbers w:val="0"/>
              <w:bidi w:val="0"/>
              <w:spacing w:before="0" w:beforeAutospacing="0" w:after="0" w:afterAutospacing="0"/>
              <w:ind w:left="0" w:right="0"/>
              <w:rPr>
                <w:color w:val="auto"/>
              </w:rPr>
            </w:pPr>
            <w:r>
              <w:rPr>
                <w:rFonts w:hint="eastAsia"/>
                <w:color w:val="auto"/>
              </w:rPr>
              <w:t>3）贮存过程中火灾事故风险防范</w:t>
            </w:r>
          </w:p>
          <w:p>
            <w:pPr>
              <w:keepNext w:val="0"/>
              <w:keepLines w:val="0"/>
              <w:suppressLineNumbers w:val="0"/>
              <w:bidi w:val="0"/>
              <w:spacing w:before="0" w:beforeAutospacing="0" w:after="0" w:afterAutospacing="0"/>
              <w:ind w:left="0" w:right="0"/>
              <w:rPr>
                <w:color w:val="auto"/>
              </w:rPr>
            </w:pPr>
            <w:r>
              <w:rPr>
                <w:rFonts w:hint="eastAsia"/>
                <w:color w:val="auto"/>
              </w:rPr>
              <w:t>①废旧电池贮存区旁边禁止有热源和明火，禁止员工在厂内吸烟。</w:t>
            </w:r>
          </w:p>
          <w:p>
            <w:pPr>
              <w:keepNext w:val="0"/>
              <w:keepLines w:val="0"/>
              <w:suppressLineNumbers w:val="0"/>
              <w:bidi w:val="0"/>
              <w:spacing w:before="0" w:beforeAutospacing="0" w:after="0" w:afterAutospacing="0"/>
              <w:ind w:left="0" w:right="0"/>
              <w:rPr>
                <w:color w:val="auto"/>
              </w:rPr>
            </w:pPr>
            <w:r>
              <w:rPr>
                <w:rFonts w:hint="eastAsia"/>
                <w:color w:val="auto"/>
              </w:rPr>
              <w:t>②贮存区必须设有明显的标志。</w:t>
            </w:r>
          </w:p>
          <w:p>
            <w:pPr>
              <w:keepNext w:val="0"/>
              <w:keepLines w:val="0"/>
              <w:suppressLineNumbers w:val="0"/>
              <w:bidi w:val="0"/>
              <w:spacing w:before="0" w:beforeAutospacing="0" w:after="0" w:afterAutospacing="0"/>
              <w:ind w:left="0" w:right="0"/>
              <w:rPr>
                <w:color w:val="auto"/>
              </w:rPr>
            </w:pPr>
            <w:r>
              <w:rPr>
                <w:rFonts w:hint="eastAsia"/>
                <w:color w:val="auto"/>
              </w:rPr>
              <w:t>③项目贮存区的消防设施、用电设施等必须符合国家规定的安全要求，采用冷光源及防爆灯具。</w:t>
            </w:r>
          </w:p>
          <w:p>
            <w:pPr>
              <w:keepNext w:val="0"/>
              <w:keepLines w:val="0"/>
              <w:suppressLineNumbers w:val="0"/>
              <w:bidi w:val="0"/>
              <w:spacing w:before="0" w:beforeAutospacing="0" w:after="0" w:afterAutospacing="0"/>
              <w:ind w:left="0" w:right="0"/>
              <w:rPr>
                <w:color w:val="auto"/>
              </w:rPr>
            </w:pPr>
            <w:r>
              <w:rPr>
                <w:rFonts w:hint="eastAsia"/>
                <w:color w:val="auto"/>
              </w:rPr>
              <w:t>④管理人员必须经过专业知识培训，熟悉贮存物品的特性、事故处理办法和防护知识，同时，必须配备有关的个人防护用品。</w:t>
            </w:r>
          </w:p>
          <w:p>
            <w:pPr>
              <w:keepNext w:val="0"/>
              <w:keepLines w:val="0"/>
              <w:suppressLineNumbers w:val="0"/>
              <w:bidi w:val="0"/>
              <w:spacing w:before="0" w:beforeAutospacing="0" w:after="0" w:afterAutospacing="0"/>
              <w:ind w:left="0" w:right="0"/>
              <w:rPr>
                <w:color w:val="auto"/>
              </w:rPr>
            </w:pPr>
            <w:r>
              <w:rPr>
                <w:rFonts w:hint="eastAsia"/>
                <w:color w:val="auto"/>
              </w:rPr>
              <w:t>⑤若发生火灾时，可能造成废旧铅酸蓄电池中电解液的泄漏，项目贮存区内应配备片碱，中和泄漏的硫酸。</w:t>
            </w:r>
          </w:p>
          <w:p>
            <w:pPr>
              <w:keepNext w:val="0"/>
              <w:keepLines w:val="0"/>
              <w:suppressLineNumbers w:val="0"/>
              <w:bidi w:val="0"/>
              <w:spacing w:before="0" w:beforeAutospacing="0" w:after="0" w:afterAutospacing="0"/>
              <w:ind w:left="0" w:right="0"/>
              <w:rPr>
                <w:color w:val="auto"/>
              </w:rPr>
            </w:pPr>
            <w:r>
              <w:rPr>
                <w:rFonts w:hint="eastAsia"/>
                <w:color w:val="auto"/>
              </w:rPr>
              <w:t>⑥当仓库发生火灾时，开启事故应急池，使消防废水全部进入事故应急池。</w:t>
            </w:r>
          </w:p>
          <w:p>
            <w:pPr>
              <w:keepNext w:val="0"/>
              <w:keepLines w:val="0"/>
              <w:suppressLineNumbers w:val="0"/>
              <w:bidi w:val="0"/>
              <w:spacing w:before="0" w:beforeAutospacing="0" w:after="0" w:afterAutospacing="0"/>
              <w:ind w:left="0" w:right="0"/>
              <w:rPr>
                <w:color w:val="auto"/>
              </w:rPr>
            </w:pPr>
            <w:r>
              <w:rPr>
                <w:rFonts w:hint="eastAsia"/>
                <w:color w:val="auto"/>
              </w:rPr>
              <w:t>⑦事故结束后应急池内的消防废水应处理达标后排放。</w:t>
            </w:r>
          </w:p>
          <w:p>
            <w:pPr>
              <w:keepNext w:val="0"/>
              <w:keepLines w:val="0"/>
              <w:suppressLineNumbers w:val="0"/>
              <w:bidi w:val="0"/>
              <w:spacing w:before="0" w:beforeAutospacing="0" w:after="0" w:afterAutospacing="0"/>
              <w:ind w:left="0" w:right="0"/>
              <w:rPr>
                <w:color w:val="auto"/>
              </w:rPr>
            </w:pPr>
            <w:r>
              <w:rPr>
                <w:rFonts w:hint="eastAsia"/>
                <w:color w:val="auto"/>
              </w:rPr>
              <w:t>⑧要严格遵守有关贮存的安全规定，具体包括《仓库防火安全管理规则》、《建筑设计防火规范》、《危险废物收集、贮存、运输技术规范》等。</w:t>
            </w:r>
          </w:p>
          <w:p>
            <w:pPr>
              <w:pStyle w:val="12"/>
              <w:keepNext w:val="0"/>
              <w:keepLines w:val="0"/>
              <w:suppressLineNumbers w:val="0"/>
              <w:bidi w:val="0"/>
              <w:spacing w:before="0" w:beforeAutospacing="0" w:after="0" w:afterAutospacing="0"/>
              <w:ind w:left="0" w:right="0"/>
              <w:rPr>
                <w:color w:val="auto"/>
              </w:rPr>
            </w:pPr>
            <w:r>
              <w:rPr>
                <w:color w:val="auto"/>
              </w:rPr>
              <w:t>表</w:t>
            </w:r>
            <w:r>
              <w:rPr>
                <w:rFonts w:hint="eastAsia"/>
                <w:color w:val="auto"/>
                <w:lang w:val="en-US" w:eastAsia="zh-CN"/>
              </w:rPr>
              <w:t xml:space="preserve"> 4-15</w:t>
            </w:r>
            <w:r>
              <w:rPr>
                <w:rFonts w:hint="eastAsia"/>
                <w:color w:val="auto"/>
              </w:rPr>
              <w:t xml:space="preserve">  </w:t>
            </w:r>
            <w:r>
              <w:rPr>
                <w:rFonts w:hint="eastAsia"/>
                <w:color w:val="auto"/>
                <w:lang w:val="en-US" w:eastAsia="zh-CN"/>
              </w:rPr>
              <w:t xml:space="preserve"> </w:t>
            </w:r>
            <w:r>
              <w:rPr>
                <w:rFonts w:hint="eastAsia"/>
                <w:color w:val="auto"/>
              </w:rPr>
              <w:t xml:space="preserve"> </w:t>
            </w:r>
            <w:r>
              <w:rPr>
                <w:color w:val="auto"/>
              </w:rPr>
              <w:t>风险防范措施一览表</w:t>
            </w:r>
          </w:p>
          <w:tbl>
            <w:tblPr>
              <w:tblStyle w:val="23"/>
              <w:tblW w:w="495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38"/>
              <w:gridCol w:w="2631"/>
              <w:gridCol w:w="369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50" w:type="dxa"/>
                  <w:vAlign w:val="center"/>
                </w:tcPr>
                <w:p>
                  <w:pPr>
                    <w:pStyle w:val="28"/>
                    <w:keepNext w:val="0"/>
                    <w:keepLines w:val="0"/>
                    <w:suppressLineNumbers w:val="0"/>
                    <w:bidi w:val="0"/>
                    <w:spacing w:before="0" w:beforeAutospacing="0" w:after="0" w:afterAutospacing="0"/>
                    <w:ind w:left="0" w:right="0"/>
                    <w:jc w:val="center"/>
                    <w:rPr>
                      <w:b/>
                      <w:bCs/>
                      <w:color w:val="auto"/>
                    </w:rPr>
                  </w:pPr>
                  <w:r>
                    <w:rPr>
                      <w:b/>
                      <w:bCs/>
                      <w:color w:val="auto"/>
                    </w:rPr>
                    <w:t>序号</w:t>
                  </w:r>
                </w:p>
              </w:tc>
              <w:tc>
                <w:tcPr>
                  <w:tcW w:w="2835" w:type="dxa"/>
                  <w:vAlign w:val="center"/>
                </w:tcPr>
                <w:p>
                  <w:pPr>
                    <w:pStyle w:val="28"/>
                    <w:keepNext w:val="0"/>
                    <w:keepLines w:val="0"/>
                    <w:suppressLineNumbers w:val="0"/>
                    <w:bidi w:val="0"/>
                    <w:spacing w:before="0" w:beforeAutospacing="0" w:after="0" w:afterAutospacing="0"/>
                    <w:ind w:left="0" w:right="0"/>
                    <w:jc w:val="center"/>
                    <w:rPr>
                      <w:b/>
                      <w:bCs/>
                      <w:color w:val="auto"/>
                    </w:rPr>
                  </w:pPr>
                  <w:r>
                    <w:rPr>
                      <w:b/>
                      <w:bCs/>
                      <w:color w:val="auto"/>
                    </w:rPr>
                    <w:t>防治措施</w:t>
                  </w:r>
                </w:p>
              </w:tc>
              <w:tc>
                <w:tcPr>
                  <w:tcW w:w="3945" w:type="dxa"/>
                  <w:vAlign w:val="center"/>
                </w:tcPr>
                <w:p>
                  <w:pPr>
                    <w:pStyle w:val="28"/>
                    <w:keepNext w:val="0"/>
                    <w:keepLines w:val="0"/>
                    <w:suppressLineNumbers w:val="0"/>
                    <w:bidi w:val="0"/>
                    <w:spacing w:before="0" w:beforeAutospacing="0" w:after="0" w:afterAutospacing="0"/>
                    <w:ind w:left="0" w:right="0"/>
                    <w:jc w:val="center"/>
                    <w:rPr>
                      <w:b/>
                      <w:bCs/>
                      <w:color w:val="auto"/>
                    </w:rPr>
                  </w:pPr>
                  <w:r>
                    <w:rPr>
                      <w:b/>
                      <w:bCs/>
                      <w:color w:val="auto"/>
                    </w:rPr>
                    <w:t>面积（</w:t>
                  </w:r>
                  <w:r>
                    <w:rPr>
                      <w:rFonts w:hint="eastAsia" w:hAnsiTheme="minorEastAsia" w:eastAsiaTheme="minorEastAsia"/>
                      <w:b/>
                      <w:bCs/>
                      <w:color w:val="auto"/>
                      <w:sz w:val="24"/>
                      <w:lang w:eastAsia="zh-CN"/>
                    </w:rPr>
                    <w:t>m²</w:t>
                  </w:r>
                  <w:r>
                    <w:rPr>
                      <w:b/>
                      <w:bCs/>
                      <w:color w:val="auto"/>
                    </w:rPr>
                    <w:t>）/容积（</w:t>
                  </w:r>
                  <w:r>
                    <w:rPr>
                      <w:rFonts w:hint="eastAsia"/>
                      <w:b/>
                      <w:bCs/>
                      <w:color w:val="auto"/>
                      <w:lang w:eastAsia="zh-CN"/>
                    </w:rPr>
                    <w:t>m³</w:t>
                  </w:r>
                  <w:r>
                    <w:rPr>
                      <w:b/>
                      <w:bCs/>
                      <w:color w:val="auto"/>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50" w:type="dxa"/>
                  <w:vAlign w:val="center"/>
                </w:tcPr>
                <w:p>
                  <w:pPr>
                    <w:pStyle w:val="28"/>
                    <w:keepNext w:val="0"/>
                    <w:keepLines w:val="0"/>
                    <w:suppressLineNumbers w:val="0"/>
                    <w:bidi w:val="0"/>
                    <w:spacing w:before="0" w:beforeAutospacing="0" w:after="0" w:afterAutospacing="0"/>
                    <w:ind w:left="0" w:right="0"/>
                    <w:jc w:val="center"/>
                    <w:rPr>
                      <w:rFonts w:hint="eastAsia"/>
                      <w:color w:val="auto"/>
                      <w:lang w:eastAsia="zh-CN"/>
                    </w:rPr>
                  </w:pPr>
                  <w:r>
                    <w:rPr>
                      <w:rFonts w:hint="eastAsia"/>
                      <w:color w:val="auto"/>
                      <w:lang w:val="en-US" w:eastAsia="zh-CN"/>
                    </w:rPr>
                    <w:t>1</w:t>
                  </w:r>
                </w:p>
              </w:tc>
              <w:tc>
                <w:tcPr>
                  <w:tcW w:w="2835" w:type="dxa"/>
                  <w:vAlign w:val="center"/>
                </w:tcPr>
                <w:p>
                  <w:pPr>
                    <w:pStyle w:val="28"/>
                    <w:keepNext w:val="0"/>
                    <w:keepLines w:val="0"/>
                    <w:suppressLineNumbers w:val="0"/>
                    <w:bidi w:val="0"/>
                    <w:spacing w:before="0" w:beforeAutospacing="0" w:after="0" w:afterAutospacing="0"/>
                    <w:ind w:left="0" w:right="0"/>
                    <w:jc w:val="center"/>
                    <w:rPr>
                      <w:color w:val="auto"/>
                    </w:rPr>
                  </w:pPr>
                  <w:r>
                    <w:rPr>
                      <w:color w:val="auto"/>
                    </w:rPr>
                    <w:t>废液收集池</w:t>
                  </w:r>
                </w:p>
              </w:tc>
              <w:tc>
                <w:tcPr>
                  <w:tcW w:w="3945" w:type="dxa"/>
                  <w:vAlign w:val="center"/>
                </w:tcPr>
                <w:p>
                  <w:pPr>
                    <w:pStyle w:val="28"/>
                    <w:keepNext w:val="0"/>
                    <w:keepLines w:val="0"/>
                    <w:suppressLineNumbers w:val="0"/>
                    <w:bidi w:val="0"/>
                    <w:spacing w:before="0" w:beforeAutospacing="0" w:after="0" w:afterAutospacing="0"/>
                    <w:ind w:left="0" w:right="0"/>
                    <w:jc w:val="center"/>
                    <w:rPr>
                      <w:rFonts w:hint="eastAsia" w:eastAsia="宋体"/>
                      <w:color w:val="auto"/>
                      <w:lang w:eastAsia="zh-CN"/>
                    </w:rPr>
                  </w:pPr>
                  <w:r>
                    <w:rPr>
                      <w:color w:val="auto"/>
                    </w:rPr>
                    <w:t>0.5</w:t>
                  </w:r>
                  <w:r>
                    <w:rPr>
                      <w:rFonts w:hint="eastAsia"/>
                      <w:color w:val="auto"/>
                      <w:lang w:eastAsia="zh-CN"/>
                    </w:rPr>
                    <w:t>m³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50" w:type="dxa"/>
                  <w:vAlign w:val="center"/>
                </w:tcPr>
                <w:p>
                  <w:pPr>
                    <w:pStyle w:val="28"/>
                    <w:keepNext w:val="0"/>
                    <w:keepLines w:val="0"/>
                    <w:suppressLineNumbers w:val="0"/>
                    <w:bidi w:val="0"/>
                    <w:spacing w:before="0" w:beforeAutospacing="0" w:after="0" w:afterAutospacing="0"/>
                    <w:ind w:left="0" w:right="0"/>
                    <w:jc w:val="center"/>
                    <w:rPr>
                      <w:rFonts w:hint="eastAsia"/>
                      <w:color w:val="auto"/>
                      <w:lang w:eastAsia="zh-CN"/>
                    </w:rPr>
                  </w:pPr>
                  <w:r>
                    <w:rPr>
                      <w:rFonts w:hint="eastAsia"/>
                      <w:color w:val="auto"/>
                      <w:lang w:val="en-US" w:eastAsia="zh-CN"/>
                    </w:rPr>
                    <w:t>2</w:t>
                  </w:r>
                </w:p>
              </w:tc>
              <w:tc>
                <w:tcPr>
                  <w:tcW w:w="2835" w:type="dxa"/>
                  <w:vAlign w:val="center"/>
                </w:tcPr>
                <w:p>
                  <w:pPr>
                    <w:pStyle w:val="28"/>
                    <w:keepNext w:val="0"/>
                    <w:keepLines w:val="0"/>
                    <w:suppressLineNumbers w:val="0"/>
                    <w:bidi w:val="0"/>
                    <w:spacing w:before="0" w:beforeAutospacing="0" w:after="0" w:afterAutospacing="0"/>
                    <w:ind w:left="0" w:right="0"/>
                    <w:jc w:val="center"/>
                    <w:rPr>
                      <w:rFonts w:hint="eastAsia"/>
                      <w:color w:val="auto"/>
                      <w:lang w:eastAsia="zh-CN"/>
                    </w:rPr>
                  </w:pPr>
                  <w:r>
                    <w:rPr>
                      <w:color w:val="auto"/>
                    </w:rPr>
                    <w:t>导流</w:t>
                  </w:r>
                  <w:r>
                    <w:rPr>
                      <w:rFonts w:hint="eastAsia"/>
                      <w:color w:val="auto"/>
                      <w:lang w:val="en-US" w:eastAsia="zh-CN"/>
                    </w:rPr>
                    <w:t>槽</w:t>
                  </w:r>
                </w:p>
              </w:tc>
              <w:tc>
                <w:tcPr>
                  <w:tcW w:w="3945" w:type="dxa"/>
                  <w:vAlign w:val="center"/>
                </w:tcPr>
                <w:p>
                  <w:pPr>
                    <w:pStyle w:val="28"/>
                    <w:keepNext w:val="0"/>
                    <w:keepLines w:val="0"/>
                    <w:suppressLineNumbers w:val="0"/>
                    <w:bidi w:val="0"/>
                    <w:spacing w:before="0" w:beforeAutospacing="0" w:after="0" w:afterAutospacing="0"/>
                    <w:ind w:left="0" w:right="0"/>
                    <w:jc w:val="center"/>
                    <w:rPr>
                      <w:rFonts w:hint="eastAsia"/>
                      <w:color w:val="auto"/>
                      <w:lang w:eastAsia="zh-CN"/>
                    </w:rPr>
                  </w:pPr>
                  <w:r>
                    <w:rPr>
                      <w:rFonts w:hint="eastAsia"/>
                      <w:color w:val="auto"/>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50" w:type="dxa"/>
                  <w:vAlign w:val="center"/>
                </w:tcPr>
                <w:p>
                  <w:pPr>
                    <w:pStyle w:val="28"/>
                    <w:keepNext w:val="0"/>
                    <w:keepLines w:val="0"/>
                    <w:suppressLineNumbers w:val="0"/>
                    <w:bidi w:val="0"/>
                    <w:spacing w:before="0" w:beforeAutospacing="0" w:after="0" w:afterAutospacing="0"/>
                    <w:ind w:left="0" w:right="0"/>
                    <w:jc w:val="center"/>
                    <w:rPr>
                      <w:rFonts w:hint="eastAsia"/>
                      <w:color w:val="auto"/>
                      <w:lang w:eastAsia="zh-CN"/>
                    </w:rPr>
                  </w:pPr>
                  <w:r>
                    <w:rPr>
                      <w:rFonts w:hint="eastAsia"/>
                      <w:color w:val="auto"/>
                      <w:lang w:val="en-US" w:eastAsia="zh-CN"/>
                    </w:rPr>
                    <w:t>3</w:t>
                  </w:r>
                </w:p>
              </w:tc>
              <w:tc>
                <w:tcPr>
                  <w:tcW w:w="2835" w:type="dxa"/>
                  <w:vAlign w:val="center"/>
                </w:tcPr>
                <w:p>
                  <w:pPr>
                    <w:pStyle w:val="28"/>
                    <w:keepNext w:val="0"/>
                    <w:keepLines w:val="0"/>
                    <w:suppressLineNumbers w:val="0"/>
                    <w:bidi w:val="0"/>
                    <w:spacing w:before="0" w:beforeAutospacing="0" w:after="0" w:afterAutospacing="0"/>
                    <w:ind w:left="0" w:right="0"/>
                    <w:jc w:val="center"/>
                    <w:rPr>
                      <w:color w:val="auto"/>
                    </w:rPr>
                  </w:pPr>
                  <w:r>
                    <w:rPr>
                      <w:color w:val="auto"/>
                    </w:rPr>
                    <w:t>应急事故池</w:t>
                  </w:r>
                </w:p>
              </w:tc>
              <w:tc>
                <w:tcPr>
                  <w:tcW w:w="3945" w:type="dxa"/>
                  <w:vAlign w:val="center"/>
                </w:tcPr>
                <w:p>
                  <w:pPr>
                    <w:pStyle w:val="28"/>
                    <w:keepNext w:val="0"/>
                    <w:keepLines w:val="0"/>
                    <w:suppressLineNumbers w:val="0"/>
                    <w:bidi w:val="0"/>
                    <w:spacing w:before="0" w:beforeAutospacing="0" w:after="0" w:afterAutospacing="0"/>
                    <w:ind w:left="0" w:right="0"/>
                    <w:jc w:val="center"/>
                    <w:rPr>
                      <w:rFonts w:hint="eastAsia" w:eastAsia="宋体"/>
                      <w:color w:val="auto"/>
                      <w:lang w:eastAsia="zh-CN"/>
                    </w:rPr>
                  </w:pPr>
                  <w:r>
                    <w:rPr>
                      <w:rFonts w:hint="eastAsia"/>
                      <w:color w:val="auto"/>
                    </w:rPr>
                    <w:t>40</w:t>
                  </w:r>
                  <w:r>
                    <w:rPr>
                      <w:rFonts w:hint="eastAsia"/>
                      <w:color w:val="auto"/>
                      <w:lang w:eastAsia="zh-CN"/>
                    </w:rPr>
                    <w:t>m³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50" w:type="dxa"/>
                  <w:vAlign w:val="center"/>
                </w:tcPr>
                <w:p>
                  <w:pPr>
                    <w:pStyle w:val="28"/>
                    <w:keepNext w:val="0"/>
                    <w:keepLines w:val="0"/>
                    <w:suppressLineNumbers w:val="0"/>
                    <w:bidi w:val="0"/>
                    <w:spacing w:before="0" w:beforeAutospacing="0" w:after="0" w:afterAutospacing="0"/>
                    <w:ind w:left="0" w:right="0"/>
                    <w:jc w:val="center"/>
                    <w:rPr>
                      <w:rFonts w:hint="eastAsia"/>
                      <w:color w:val="auto"/>
                      <w:lang w:eastAsia="zh-CN"/>
                    </w:rPr>
                  </w:pPr>
                  <w:r>
                    <w:rPr>
                      <w:rFonts w:hint="eastAsia"/>
                      <w:color w:val="auto"/>
                      <w:lang w:val="en-US" w:eastAsia="zh-CN"/>
                    </w:rPr>
                    <w:t>4</w:t>
                  </w:r>
                </w:p>
              </w:tc>
              <w:tc>
                <w:tcPr>
                  <w:tcW w:w="2835" w:type="dxa"/>
                  <w:vAlign w:val="center"/>
                </w:tcPr>
                <w:p>
                  <w:pPr>
                    <w:pStyle w:val="28"/>
                    <w:keepNext w:val="0"/>
                    <w:keepLines w:val="0"/>
                    <w:suppressLineNumbers w:val="0"/>
                    <w:bidi w:val="0"/>
                    <w:spacing w:before="0" w:beforeAutospacing="0" w:after="0" w:afterAutospacing="0"/>
                    <w:ind w:left="0" w:right="0"/>
                    <w:jc w:val="center"/>
                    <w:rPr>
                      <w:color w:val="auto"/>
                    </w:rPr>
                  </w:pPr>
                  <w:r>
                    <w:rPr>
                      <w:color w:val="auto"/>
                    </w:rPr>
                    <w:t>消防沙池</w:t>
                  </w:r>
                </w:p>
              </w:tc>
              <w:tc>
                <w:tcPr>
                  <w:tcW w:w="3945" w:type="dxa"/>
                  <w:vAlign w:val="center"/>
                </w:tcPr>
                <w:p>
                  <w:pPr>
                    <w:pStyle w:val="28"/>
                    <w:keepNext w:val="0"/>
                    <w:keepLines w:val="0"/>
                    <w:suppressLineNumbers w:val="0"/>
                    <w:bidi w:val="0"/>
                    <w:spacing w:before="0" w:beforeAutospacing="0" w:after="0" w:afterAutospacing="0"/>
                    <w:ind w:left="0" w:right="0"/>
                    <w:jc w:val="center"/>
                    <w:rPr>
                      <w:rFonts w:hint="eastAsia" w:eastAsia="宋体"/>
                      <w:color w:val="auto"/>
                      <w:lang w:eastAsia="zh-CN"/>
                    </w:rPr>
                  </w:pPr>
                  <w:r>
                    <w:rPr>
                      <w:rFonts w:hint="eastAsia"/>
                      <w:color w:val="auto"/>
                    </w:rPr>
                    <w:t>5</w:t>
                  </w:r>
                  <w:r>
                    <w:rPr>
                      <w:rFonts w:hint="eastAsia"/>
                      <w:color w:val="auto"/>
                      <w:lang w:eastAsia="zh-CN"/>
                    </w:rPr>
                    <w:t>m³</w:t>
                  </w:r>
                </w:p>
              </w:tc>
            </w:tr>
          </w:tbl>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color w:val="auto"/>
                <w:kern w:val="0"/>
                <w:sz w:val="24"/>
                <w:szCs w:val="24"/>
              </w:rPr>
            </w:pPr>
            <w:r>
              <w:rPr>
                <w:rFonts w:hint="eastAsia"/>
                <w:b/>
                <w:color w:val="auto"/>
                <w:sz w:val="24"/>
                <w:szCs w:val="24"/>
                <w:lang w:val="en-US" w:eastAsia="zh-CN"/>
              </w:rPr>
              <w:t>七</w:t>
            </w:r>
            <w:r>
              <w:rPr>
                <w:rFonts w:hint="eastAsia"/>
                <w:b/>
                <w:color w:val="auto"/>
                <w:sz w:val="24"/>
                <w:szCs w:val="24"/>
              </w:rPr>
              <w:t>、电磁辐射</w:t>
            </w:r>
            <w:r>
              <w:rPr>
                <w:b/>
                <w:color w:val="auto"/>
                <w:sz w:val="24"/>
                <w:szCs w:val="24"/>
              </w:rPr>
              <w:t>影响分析</w:t>
            </w:r>
          </w:p>
          <w:p>
            <w:pPr>
              <w:keepNext w:val="0"/>
              <w:keepLines w:val="0"/>
              <w:pageBreakBefore w:val="0"/>
              <w:widowControl w:val="0"/>
              <w:suppressLineNumbers w:val="0"/>
              <w:tabs>
                <w:tab w:val="left" w:pos="7200"/>
              </w:tabs>
              <w:kinsoku/>
              <w:wordWrap/>
              <w:overflowPunct/>
              <w:topLinePunct w:val="0"/>
              <w:autoSpaceDE/>
              <w:autoSpaceDN/>
              <w:bidi w:val="0"/>
              <w:spacing w:before="0" w:beforeAutospacing="0" w:after="0" w:afterAutospacing="0" w:line="360" w:lineRule="auto"/>
              <w:ind w:left="0" w:right="0" w:firstLine="480" w:firstLineChars="200"/>
              <w:textAlignment w:val="auto"/>
              <w:rPr>
                <w:color w:val="auto"/>
              </w:rPr>
            </w:pPr>
            <w:r>
              <w:rPr>
                <w:rFonts w:hint="eastAsia" w:ascii="宋体" w:hAnsi="宋体"/>
                <w:color w:val="auto"/>
                <w:kern w:val="0"/>
                <w:sz w:val="24"/>
                <w:szCs w:val="24"/>
              </w:rPr>
              <w:t>本项目不涉及电磁辐射。</w:t>
            </w:r>
          </w:p>
        </w:tc>
      </w:tr>
    </w:tbl>
    <w:p>
      <w:pPr>
        <w:pStyle w:val="2"/>
        <w:bidi w:val="0"/>
        <w:rPr>
          <w:color w:val="auto"/>
        </w:rPr>
      </w:pPr>
      <w:r>
        <w:rPr>
          <w:color w:val="auto"/>
        </w:rPr>
        <w:t>五、</w:t>
      </w:r>
      <w:bookmarkStart w:id="257" w:name="_Hlk54167917"/>
      <w:r>
        <w:rPr>
          <w:color w:val="auto"/>
        </w:rPr>
        <w:t>环境保护措施监督检查清单</w:t>
      </w:r>
      <w:bookmarkEnd w:id="257"/>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78"/>
        <w:gridCol w:w="1225"/>
        <w:gridCol w:w="975"/>
        <w:gridCol w:w="3105"/>
        <w:gridCol w:w="23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78" w:type="dxa"/>
            <w:tcBorders>
              <w:tl2br w:val="nil"/>
              <w:tr2bl w:val="nil"/>
            </w:tcBorders>
            <w:noWrap/>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right"/>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color w:val="auto"/>
                <w:sz w:val="24"/>
                <w:szCs w:val="24"/>
              </w:rPr>
              <w:pict>
                <v:line id="_x0000_s2090" o:spid="_x0000_s2090" o:spt="20" style="position:absolute;left:0pt;margin-left:-6.1pt;margin-top:0.8pt;height:61.95pt;width:70.3pt;z-index:251663360;mso-width-relative:page;mso-height-relative:page;" filled="f" stroked="t" coordsize="21600,21600">
                  <v:path arrowok="t"/>
                  <v:fill on="f" focussize="0,0"/>
                  <v:stroke color="#000000"/>
                  <v:imagedata o:title=""/>
                  <o:lock v:ext="edit" aspectratio="f"/>
                </v:line>
              </w:pict>
            </w:r>
            <w:r>
              <w:rPr>
                <w:rFonts w:hint="default" w:ascii="Times New Roman" w:hAnsi="Times New Roman" w:eastAsia="宋体" w:cs="Times New Roman"/>
                <w:b/>
                <w:color w:val="auto"/>
                <w:sz w:val="24"/>
                <w:szCs w:val="24"/>
              </w:rPr>
              <w:t>内容</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right"/>
              <w:textAlignment w:val="auto"/>
              <w:rPr>
                <w:rFonts w:hint="default" w:ascii="Times New Roman" w:hAnsi="Times New Roman" w:eastAsia="宋体" w:cs="Times New Roman"/>
                <w:b/>
                <w:color w:val="auto"/>
                <w:sz w:val="24"/>
                <w:szCs w:val="24"/>
              </w:rPr>
            </w:pP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要素</w:t>
            </w:r>
          </w:p>
        </w:tc>
        <w:tc>
          <w:tcPr>
            <w:tcW w:w="1225" w:type="dxa"/>
            <w:tcBorders>
              <w:tl2br w:val="nil"/>
              <w:tr2bl w:val="nil"/>
            </w:tcBorders>
            <w:noWrap/>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排放口(编号、名称)/</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污染源</w:t>
            </w:r>
          </w:p>
        </w:tc>
        <w:tc>
          <w:tcPr>
            <w:tcW w:w="975" w:type="dxa"/>
            <w:tcBorders>
              <w:tl2br w:val="nil"/>
              <w:tr2bl w:val="nil"/>
            </w:tcBorders>
            <w:noWrap/>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污染物</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项目</w:t>
            </w:r>
          </w:p>
        </w:tc>
        <w:tc>
          <w:tcPr>
            <w:tcW w:w="3105" w:type="dxa"/>
            <w:tcBorders>
              <w:tl2br w:val="nil"/>
              <w:tr2bl w:val="nil"/>
            </w:tcBorders>
            <w:noWrap/>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环境保护措施</w:t>
            </w:r>
          </w:p>
        </w:tc>
        <w:tc>
          <w:tcPr>
            <w:tcW w:w="2377" w:type="dxa"/>
            <w:tcBorders>
              <w:tl2br w:val="nil"/>
              <w:tr2bl w:val="nil"/>
            </w:tcBorders>
            <w:noWrap/>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78" w:type="dxa"/>
            <w:vMerge w:val="restart"/>
            <w:tcBorders>
              <w:tl2br w:val="nil"/>
              <w:tr2bl w:val="nil"/>
            </w:tcBorders>
            <w:noWra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大气环境</w:t>
            </w:r>
          </w:p>
        </w:tc>
        <w:tc>
          <w:tcPr>
            <w:tcW w:w="1225" w:type="dxa"/>
            <w:tcBorders>
              <w:tl2br w:val="nil"/>
              <w:tr2bl w:val="nil"/>
            </w:tcBorders>
            <w:noWrap/>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DA001</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废气排放口</w:t>
            </w:r>
          </w:p>
        </w:tc>
        <w:tc>
          <w:tcPr>
            <w:tcW w:w="975" w:type="dxa"/>
            <w:tcBorders>
              <w:tl2br w:val="nil"/>
              <w:tr2bl w:val="nil"/>
            </w:tcBorders>
            <w:noWrap/>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4"/>
                <w:szCs w:val="24"/>
              </w:rPr>
            </w:pPr>
            <w:bookmarkStart w:id="258" w:name="OLE_LINK108"/>
            <w:r>
              <w:rPr>
                <w:rFonts w:hint="default" w:ascii="Times New Roman" w:hAnsi="Times New Roman" w:eastAsia="宋体" w:cs="Times New Roman"/>
                <w:color w:val="auto"/>
                <w:sz w:val="24"/>
                <w:szCs w:val="24"/>
              </w:rPr>
              <w:t>硫酸雾</w:t>
            </w:r>
            <w:bookmarkEnd w:id="258"/>
          </w:p>
        </w:tc>
        <w:tc>
          <w:tcPr>
            <w:tcW w:w="3105" w:type="dxa"/>
            <w:tcBorders>
              <w:tl2br w:val="nil"/>
              <w:tr2bl w:val="nil"/>
            </w:tcBorders>
            <w:noWrap/>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硫酸雾废气经收集后送至1套酸雾吸收塔处理，后经1根15m高排气筒</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DA001</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有组织排放</w:t>
            </w:r>
            <w:r>
              <w:rPr>
                <w:rFonts w:hint="eastAsia" w:ascii="Times New Roman" w:hAnsi="Times New Roman" w:eastAsia="宋体" w:cs="Times New Roman"/>
                <w:color w:val="auto"/>
                <w:sz w:val="24"/>
                <w:szCs w:val="24"/>
                <w:lang w:eastAsia="zh-CN"/>
              </w:rPr>
              <w:t>。</w:t>
            </w:r>
          </w:p>
        </w:tc>
        <w:tc>
          <w:tcPr>
            <w:tcW w:w="2377" w:type="dxa"/>
            <w:vMerge w:val="restart"/>
            <w:tcBorders>
              <w:tl2br w:val="nil"/>
              <w:tr2bl w:val="nil"/>
            </w:tcBorders>
            <w:noWrap/>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《大气污染物综合排放标准》（GB16297-1996）表2二级硫酸雾</w:t>
            </w:r>
            <w:r>
              <w:rPr>
                <w:rFonts w:hint="default" w:ascii="Times New Roman" w:hAnsi="Times New Roman" w:cs="Times New Roman" w:eastAsiaTheme="minorEastAsia"/>
                <w:color w:val="auto"/>
                <w:sz w:val="24"/>
                <w:szCs w:val="24"/>
                <w:lang w:val="en-US" w:eastAsia="zh-CN"/>
              </w:rPr>
              <w:t>15m高排气筒：</w:t>
            </w:r>
            <w:r>
              <w:rPr>
                <w:rFonts w:hint="default" w:ascii="Times New Roman" w:hAnsi="Times New Roman" w:cs="Times New Roman" w:eastAsiaTheme="minorEastAsia"/>
                <w:color w:val="auto"/>
                <w:sz w:val="24"/>
                <w:szCs w:val="24"/>
              </w:rPr>
              <w:t>最高允许排放浓度45mg/</w:t>
            </w:r>
            <w:r>
              <w:rPr>
                <w:rFonts w:hint="eastAsia" w:cs="Times New Roman" w:eastAsiaTheme="minorEastAsia"/>
                <w:color w:val="auto"/>
                <w:sz w:val="24"/>
                <w:szCs w:val="24"/>
                <w:lang w:eastAsia="zh-CN"/>
              </w:rPr>
              <w:t>m³</w:t>
            </w:r>
            <w:r>
              <w:rPr>
                <w:rFonts w:hint="default" w:ascii="Times New Roman" w:hAnsi="Times New Roman" w:cs="Times New Roman" w:eastAsiaTheme="minorEastAsia"/>
                <w:color w:val="auto"/>
                <w:sz w:val="24"/>
                <w:szCs w:val="24"/>
                <w:vertAlign w:val="baseline"/>
                <w:lang w:eastAsia="zh-CN"/>
              </w:rPr>
              <w:t>、</w:t>
            </w:r>
            <w:r>
              <w:rPr>
                <w:rFonts w:hint="default" w:ascii="Times New Roman" w:hAnsi="Times New Roman" w:cs="Times New Roman" w:eastAsiaTheme="minorEastAsia"/>
                <w:color w:val="auto"/>
                <w:sz w:val="24"/>
                <w:szCs w:val="24"/>
              </w:rPr>
              <w:t>最高排放速率1.5kg/h</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周界外浓度最高点1.2mg/</w:t>
            </w:r>
            <w:bookmarkStart w:id="259" w:name="OLE_LINK111"/>
            <w:r>
              <w:rPr>
                <w:rFonts w:hint="eastAsia" w:cs="Times New Roman" w:eastAsiaTheme="minorEastAsia"/>
                <w:color w:val="auto"/>
                <w:sz w:val="24"/>
                <w:szCs w:val="24"/>
                <w:lang w:eastAsia="zh-CN"/>
              </w:rPr>
              <w:t>m³</w:t>
            </w:r>
            <w:bookmarkEnd w:id="259"/>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78" w:type="dxa"/>
            <w:vMerge w:val="continue"/>
            <w:tcBorders>
              <w:tl2br w:val="nil"/>
              <w:tr2bl w:val="nil"/>
            </w:tcBorders>
            <w:noWrap/>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b/>
                <w:color w:val="auto"/>
                <w:sz w:val="24"/>
                <w:szCs w:val="24"/>
              </w:rPr>
            </w:pPr>
          </w:p>
        </w:tc>
        <w:tc>
          <w:tcPr>
            <w:tcW w:w="1225" w:type="dxa"/>
            <w:tcBorders>
              <w:tl2br w:val="nil"/>
              <w:tr2bl w:val="nil"/>
            </w:tcBorders>
            <w:noWrap/>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无组织</w:t>
            </w:r>
          </w:p>
        </w:tc>
        <w:tc>
          <w:tcPr>
            <w:tcW w:w="975" w:type="dxa"/>
            <w:tcBorders>
              <w:tl2br w:val="nil"/>
              <w:tr2bl w:val="nil"/>
            </w:tcBorders>
            <w:noWrap/>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硫酸雾</w:t>
            </w:r>
          </w:p>
        </w:tc>
        <w:tc>
          <w:tcPr>
            <w:tcW w:w="3105" w:type="dxa"/>
            <w:tcBorders>
              <w:tl2br w:val="nil"/>
              <w:tr2bl w:val="nil"/>
            </w:tcBorders>
            <w:noWrap/>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a.</w:t>
            </w:r>
            <w:r>
              <w:rPr>
                <w:rFonts w:hint="eastAsia" w:ascii="Times New Roman" w:hAnsi="Times New Roman" w:eastAsia="宋体" w:cs="Times New Roman"/>
                <w:color w:val="auto"/>
                <w:sz w:val="24"/>
                <w:szCs w:val="24"/>
              </w:rPr>
              <w:t>破损电池</w:t>
            </w:r>
            <w:r>
              <w:rPr>
                <w:rFonts w:hint="eastAsia" w:ascii="Times New Roman" w:hAnsi="Times New Roman" w:eastAsia="宋体" w:cs="Times New Roman"/>
                <w:color w:val="auto"/>
                <w:sz w:val="24"/>
                <w:szCs w:val="24"/>
                <w:lang w:val="en-US" w:eastAsia="zh-CN"/>
              </w:rPr>
              <w:t>储存</w:t>
            </w:r>
            <w:r>
              <w:rPr>
                <w:rFonts w:hint="eastAsia" w:ascii="Times New Roman" w:hAnsi="Times New Roman" w:eastAsia="宋体" w:cs="Times New Roman"/>
                <w:color w:val="auto"/>
                <w:sz w:val="24"/>
                <w:szCs w:val="24"/>
              </w:rPr>
              <w:t>区</w:t>
            </w:r>
            <w:r>
              <w:rPr>
                <w:rFonts w:hint="eastAsia" w:ascii="Times New Roman" w:hAnsi="Times New Roman" w:eastAsia="宋体" w:cs="Times New Roman"/>
                <w:color w:val="auto"/>
                <w:sz w:val="24"/>
                <w:szCs w:val="24"/>
                <w:lang w:val="en-US" w:eastAsia="zh-CN"/>
              </w:rPr>
              <w:t>密闭，负压收集，</w:t>
            </w:r>
            <w:r>
              <w:rPr>
                <w:rFonts w:hint="eastAsia" w:ascii="Times New Roman" w:hAnsi="Times New Roman" w:eastAsia="宋体" w:cs="Times New Roman"/>
                <w:color w:val="auto"/>
                <w:sz w:val="24"/>
                <w:szCs w:val="24"/>
              </w:rPr>
              <w:t>挥发的硫酸雾废气经收集后送至1套酸雾吸收塔处理，后经1根15m高排气筒</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DA001</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有组织排放</w:t>
            </w:r>
            <w:r>
              <w:rPr>
                <w:rFonts w:hint="eastAsia" w:ascii="Times New Roman" w:hAnsi="Times New Roman" w:eastAsia="宋体" w:cs="Times New Roman"/>
                <w:color w:val="auto"/>
                <w:sz w:val="24"/>
                <w:szCs w:val="24"/>
                <w:lang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b.</w:t>
            </w:r>
            <w:r>
              <w:rPr>
                <w:rFonts w:hint="eastAsia" w:ascii="Times New Roman" w:hAnsi="Times New Roman" w:eastAsia="宋体" w:cs="Times New Roman"/>
                <w:color w:val="auto"/>
                <w:sz w:val="24"/>
                <w:szCs w:val="24"/>
              </w:rPr>
              <w:t>厂区道路及车间地面硬化，车间地面、墙壁、设备顶部整洁无积尘；厂内地面全部硬化，无成片裸露土地</w:t>
            </w:r>
          </w:p>
        </w:tc>
        <w:tc>
          <w:tcPr>
            <w:tcW w:w="2377" w:type="dxa"/>
            <w:vMerge w:val="continue"/>
            <w:tcBorders>
              <w:tl2br w:val="nil"/>
              <w:tr2bl w:val="nil"/>
            </w:tcBorders>
            <w:noWrap/>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78" w:type="dxa"/>
            <w:tcBorders>
              <w:tl2br w:val="nil"/>
              <w:tr2bl w:val="nil"/>
            </w:tcBorders>
            <w:noWrap/>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地表水环境</w:t>
            </w:r>
          </w:p>
        </w:tc>
        <w:tc>
          <w:tcPr>
            <w:tcW w:w="1225" w:type="dxa"/>
            <w:tcBorders>
              <w:tl2br w:val="nil"/>
              <w:tr2bl w:val="nil"/>
            </w:tcBorders>
            <w:noWrap/>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生活污水</w:t>
            </w:r>
          </w:p>
        </w:tc>
        <w:tc>
          <w:tcPr>
            <w:tcW w:w="975" w:type="dxa"/>
            <w:tcBorders>
              <w:tl2br w:val="nil"/>
              <w:tr2bl w:val="nil"/>
            </w:tcBorders>
            <w:noWrap/>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COD、SS、</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-N、TP</w:t>
            </w:r>
            <w:r>
              <w:rPr>
                <w:rFonts w:hint="default" w:ascii="Times New Roman" w:hAnsi="Times New Roman" w:eastAsia="宋体" w:cs="Times New Roman"/>
                <w:color w:val="auto"/>
                <w:kern w:val="0"/>
                <w:sz w:val="24"/>
                <w:szCs w:val="24"/>
              </w:rPr>
              <w:t>、TN</w:t>
            </w:r>
          </w:p>
        </w:tc>
        <w:tc>
          <w:tcPr>
            <w:tcW w:w="3105" w:type="dxa"/>
            <w:tcBorders>
              <w:tl2br w:val="nil"/>
              <w:tr2bl w:val="nil"/>
            </w:tcBorders>
            <w:noWrap/>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bookmarkStart w:id="260" w:name="OLE_LINK123"/>
            <w:r>
              <w:rPr>
                <w:rFonts w:hint="eastAsia" w:cs="Times New Roman"/>
                <w:color w:val="auto"/>
                <w:sz w:val="24"/>
                <w:szCs w:val="24"/>
                <w:highlight w:val="none"/>
                <w:lang w:val="en-US" w:eastAsia="zh-CN"/>
              </w:rPr>
              <w:t>生活污水</w:t>
            </w:r>
            <w:r>
              <w:rPr>
                <w:rFonts w:hint="eastAsia" w:ascii="Times New Roman" w:hAnsi="Times New Roman" w:eastAsia="宋体" w:cs="Times New Roman"/>
                <w:color w:val="auto"/>
                <w:sz w:val="24"/>
                <w:szCs w:val="24"/>
                <w:highlight w:val="none"/>
                <w:lang w:val="en-US" w:eastAsia="zh-CN"/>
              </w:rPr>
              <w:t>经化粪池处理后</w:t>
            </w:r>
            <w:r>
              <w:rPr>
                <w:rFonts w:hint="eastAsia" w:cs="Times New Roman"/>
                <w:color w:val="auto"/>
                <w:sz w:val="24"/>
                <w:szCs w:val="24"/>
                <w:highlight w:val="none"/>
                <w:lang w:val="en-US" w:eastAsia="zh-CN"/>
              </w:rPr>
              <w:t>定期清运</w:t>
            </w:r>
            <w:r>
              <w:rPr>
                <w:rFonts w:hint="eastAsia" w:ascii="Times New Roman" w:hAnsi="Times New Roman" w:eastAsia="宋体" w:cs="Times New Roman"/>
                <w:color w:val="auto"/>
                <w:sz w:val="24"/>
                <w:szCs w:val="24"/>
                <w:highlight w:val="none"/>
                <w:lang w:val="en-US" w:eastAsia="zh-CN"/>
              </w:rPr>
              <w:t>。</w:t>
            </w:r>
            <w:bookmarkEnd w:id="260"/>
          </w:p>
        </w:tc>
        <w:tc>
          <w:tcPr>
            <w:tcW w:w="2377" w:type="dxa"/>
            <w:tcBorders>
              <w:tl2br w:val="nil"/>
              <w:tr2bl w:val="nil"/>
            </w:tcBorders>
            <w:noWrap/>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4"/>
                <w:szCs w:val="24"/>
                <w:lang w:eastAsia="zh-CN"/>
              </w:rPr>
            </w:pPr>
            <w:r>
              <w:rPr>
                <w:rFonts w:hint="eastAsia"/>
                <w:color w:val="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78" w:type="dxa"/>
            <w:tcBorders>
              <w:tl2br w:val="nil"/>
              <w:tr2bl w:val="nil"/>
            </w:tcBorders>
            <w:noWrap/>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声环境</w:t>
            </w:r>
          </w:p>
        </w:tc>
        <w:tc>
          <w:tcPr>
            <w:tcW w:w="1225" w:type="dxa"/>
            <w:tcBorders>
              <w:tl2br w:val="nil"/>
              <w:tr2bl w:val="nil"/>
            </w:tcBorders>
            <w:noWrap/>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生产设备</w:t>
            </w:r>
          </w:p>
        </w:tc>
        <w:tc>
          <w:tcPr>
            <w:tcW w:w="975" w:type="dxa"/>
            <w:tcBorders>
              <w:tl2br w:val="nil"/>
              <w:tr2bl w:val="nil"/>
            </w:tcBorders>
            <w:noWrap/>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噪声</w:t>
            </w:r>
          </w:p>
        </w:tc>
        <w:tc>
          <w:tcPr>
            <w:tcW w:w="3105" w:type="dxa"/>
            <w:tcBorders>
              <w:tl2br w:val="nil"/>
              <w:tr2bl w:val="nil"/>
            </w:tcBorders>
            <w:noWrap/>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基础减振、</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厂房密闭隔音等</w:t>
            </w:r>
          </w:p>
        </w:tc>
        <w:tc>
          <w:tcPr>
            <w:tcW w:w="2377" w:type="dxa"/>
            <w:tcBorders>
              <w:tl2br w:val="nil"/>
              <w:tr2bl w:val="nil"/>
            </w:tcBorders>
            <w:noWrap/>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《工业企业厂界环境噪声排放标准》（GB12348-2008）</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类昼间：</w:t>
            </w:r>
            <w:r>
              <w:rPr>
                <w:rFonts w:hint="default" w:ascii="Times New Roman" w:hAnsi="Times New Roman" w:eastAsia="宋体" w:cs="Times New Roman"/>
                <w:bCs/>
                <w:color w:val="auto"/>
                <w:sz w:val="24"/>
                <w:szCs w:val="24"/>
              </w:rPr>
              <w:t>6</w:t>
            </w:r>
            <w:r>
              <w:rPr>
                <w:rFonts w:hint="eastAsia" w:cs="Times New Roman"/>
                <w:bCs/>
                <w:color w:val="auto"/>
                <w:sz w:val="24"/>
                <w:szCs w:val="24"/>
                <w:lang w:val="en-US" w:eastAsia="zh-CN"/>
              </w:rPr>
              <w:t>0</w:t>
            </w:r>
            <w:r>
              <w:rPr>
                <w:rFonts w:hint="default" w:ascii="Times New Roman" w:hAnsi="Times New Roman" w:eastAsia="宋体" w:cs="Times New Roman"/>
                <w:bCs/>
                <w:color w:val="auto"/>
                <w:sz w:val="24"/>
                <w:szCs w:val="24"/>
              </w:rPr>
              <w:t>dB（A）</w:t>
            </w:r>
            <w:r>
              <w:rPr>
                <w:rFonts w:hint="eastAsia" w:cs="Times New Roman"/>
                <w:bCs/>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378" w:type="dxa"/>
            <w:vMerge w:val="restart"/>
            <w:tcBorders>
              <w:tl2br w:val="nil"/>
              <w:tr2bl w:val="nil"/>
            </w:tcBorders>
            <w:noWrap/>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一般</w:t>
            </w:r>
            <w:r>
              <w:rPr>
                <w:rFonts w:hint="default" w:ascii="Times New Roman" w:hAnsi="Times New Roman" w:eastAsia="宋体" w:cs="Times New Roman"/>
                <w:b/>
                <w:color w:val="auto"/>
                <w:sz w:val="24"/>
                <w:szCs w:val="24"/>
              </w:rPr>
              <w:t>固体废物</w:t>
            </w:r>
          </w:p>
        </w:tc>
        <w:tc>
          <w:tcPr>
            <w:tcW w:w="1225" w:type="dxa"/>
            <w:tcBorders>
              <w:tl2br w:val="nil"/>
              <w:tr2bl w:val="nil"/>
            </w:tcBorders>
            <w:noWrap/>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生产过程中</w:t>
            </w:r>
          </w:p>
        </w:tc>
        <w:tc>
          <w:tcPr>
            <w:tcW w:w="975" w:type="dxa"/>
            <w:tcBorders>
              <w:tl2br w:val="nil"/>
              <w:tr2bl w:val="nil"/>
            </w:tcBorders>
            <w:noWrap/>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废劳保用品</w:t>
            </w:r>
          </w:p>
        </w:tc>
        <w:tc>
          <w:tcPr>
            <w:tcW w:w="3105" w:type="dxa"/>
            <w:vMerge w:val="restart"/>
            <w:tcBorders>
              <w:tl2br w:val="nil"/>
              <w:tr2bl w:val="nil"/>
            </w:tcBorders>
            <w:noWrap/>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新建</w:t>
            </w:r>
            <w:r>
              <w:rPr>
                <w:rFonts w:hint="eastAsia" w:ascii="Times New Roman" w:hAnsi="Times New Roman" w:eastAsia="宋体" w:cs="Times New Roman"/>
                <w:color w:val="auto"/>
                <w:sz w:val="24"/>
                <w:szCs w:val="24"/>
                <w:lang w:val="en-US" w:eastAsia="zh-CN"/>
              </w:rPr>
              <w:t>危废暂存间</w:t>
            </w:r>
            <w:r>
              <w:rPr>
                <w:rFonts w:hint="eastAsia" w:ascii="Times New Roman" w:hAnsi="Times New Roman" w:eastAsia="宋体" w:cs="Times New Roman"/>
                <w:color w:val="auto"/>
                <w:sz w:val="24"/>
                <w:szCs w:val="24"/>
                <w:lang w:eastAsia="zh-CN"/>
              </w:rPr>
              <w:t>1座（15</w:t>
            </w:r>
            <w:r>
              <w:rPr>
                <w:rFonts w:hint="default" w:ascii="Times New Roman" w:hAnsi="Times New Roman" w:eastAsia="宋体" w:cs="Times New Roman"/>
                <w:color w:val="auto"/>
                <w:sz w:val="24"/>
                <w:szCs w:val="24"/>
                <w:lang w:val="en-US" w:eastAsia="zh-CN"/>
              </w:rPr>
              <w:t>m²</w:t>
            </w:r>
            <w:r>
              <w:rPr>
                <w:rFonts w:hint="eastAsia" w:ascii="Times New Roman" w:hAnsi="Times New Roman" w:eastAsia="宋体" w:cs="Times New Roman"/>
                <w:color w:val="auto"/>
                <w:sz w:val="24"/>
                <w:szCs w:val="24"/>
                <w:lang w:eastAsia="zh-CN"/>
              </w:rPr>
              <w:t>）</w:t>
            </w:r>
          </w:p>
        </w:tc>
        <w:tc>
          <w:tcPr>
            <w:tcW w:w="2377" w:type="dxa"/>
            <w:vMerge w:val="restart"/>
            <w:tcBorders>
              <w:tl2br w:val="nil"/>
              <w:tr2bl w:val="nil"/>
            </w:tcBorders>
            <w:noWrap/>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《危险废物贮存污染控制标准》（GB18597-2023）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78" w:type="dxa"/>
            <w:vMerge w:val="continue"/>
            <w:tcBorders>
              <w:tl2br w:val="nil"/>
              <w:tr2bl w:val="nil"/>
            </w:tcBorders>
            <w:noWrap/>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4"/>
                <w:szCs w:val="24"/>
              </w:rPr>
            </w:pPr>
          </w:p>
        </w:tc>
        <w:tc>
          <w:tcPr>
            <w:tcW w:w="1225" w:type="dxa"/>
            <w:tcBorders>
              <w:tl2br w:val="nil"/>
              <w:tr2bl w:val="nil"/>
            </w:tcBorders>
            <w:noWrap/>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破损电池</w:t>
            </w:r>
          </w:p>
        </w:tc>
        <w:tc>
          <w:tcPr>
            <w:tcW w:w="975" w:type="dxa"/>
            <w:tcBorders>
              <w:tl2br w:val="nil"/>
              <w:tr2bl w:val="nil"/>
            </w:tcBorders>
            <w:noWrap/>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废电解液</w:t>
            </w:r>
          </w:p>
        </w:tc>
        <w:tc>
          <w:tcPr>
            <w:tcW w:w="3105" w:type="dxa"/>
            <w:vMerge w:val="continue"/>
            <w:tcBorders>
              <w:tl2br w:val="nil"/>
              <w:tr2bl w:val="nil"/>
            </w:tcBorders>
            <w:noWrap/>
            <w:vAlign w:val="center"/>
          </w:tcPr>
          <w:p>
            <w:pPr>
              <w:keepNext w:val="0"/>
              <w:keepLines w:val="0"/>
              <w:pageBreakBefore w:val="0"/>
              <w:widowControl w:val="0"/>
              <w:suppressLineNumbers w:val="0"/>
              <w:kinsoku/>
              <w:wordWrap/>
              <w:topLinePunct w:val="0"/>
              <w:autoSpaceDE/>
              <w:autoSpaceDN/>
              <w:bidi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bCs/>
                <w:color w:val="auto"/>
                <w:sz w:val="24"/>
                <w:szCs w:val="24"/>
              </w:rPr>
            </w:pPr>
          </w:p>
        </w:tc>
        <w:tc>
          <w:tcPr>
            <w:tcW w:w="2377" w:type="dxa"/>
            <w:vMerge w:val="continue"/>
            <w:tcBorders>
              <w:tl2br w:val="nil"/>
              <w:tr2bl w:val="nil"/>
            </w:tcBorders>
            <w:noWrap/>
            <w:vAlign w:val="center"/>
          </w:tcPr>
          <w:p>
            <w:pPr>
              <w:keepNext w:val="0"/>
              <w:keepLines w:val="0"/>
              <w:pageBreakBefore w:val="0"/>
              <w:widowControl w:val="0"/>
              <w:suppressLineNumbers w:val="0"/>
              <w:kinsoku/>
              <w:wordWrap/>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378" w:type="dxa"/>
            <w:vMerge w:val="continue"/>
            <w:tcBorders>
              <w:tl2br w:val="nil"/>
              <w:tr2bl w:val="nil"/>
            </w:tcBorders>
            <w:noWrap/>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4"/>
                <w:szCs w:val="24"/>
                <w:lang w:val="en-US" w:eastAsia="zh-CN"/>
              </w:rPr>
            </w:pPr>
          </w:p>
        </w:tc>
        <w:tc>
          <w:tcPr>
            <w:tcW w:w="1225" w:type="dxa"/>
            <w:tcBorders>
              <w:tl2br w:val="nil"/>
              <w:tr2bl w:val="nil"/>
            </w:tcBorders>
            <w:noWrap/>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废气治理设施（酸雾吸收塔）</w:t>
            </w:r>
          </w:p>
        </w:tc>
        <w:tc>
          <w:tcPr>
            <w:tcW w:w="975" w:type="dxa"/>
            <w:tcBorders>
              <w:tl2br w:val="nil"/>
              <w:tr2bl w:val="nil"/>
            </w:tcBorders>
            <w:noWrap/>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废吸收液</w:t>
            </w:r>
          </w:p>
        </w:tc>
        <w:tc>
          <w:tcPr>
            <w:tcW w:w="3105" w:type="dxa"/>
            <w:vMerge w:val="continue"/>
            <w:tcBorders>
              <w:tl2br w:val="nil"/>
              <w:tr2bl w:val="nil"/>
            </w:tcBorders>
            <w:noWrap/>
            <w:vAlign w:val="center"/>
          </w:tcPr>
          <w:p>
            <w:pPr>
              <w:keepNext w:val="0"/>
              <w:keepLines w:val="0"/>
              <w:pageBreakBefore w:val="0"/>
              <w:widowControl w:val="0"/>
              <w:suppressLineNumbers w:val="0"/>
              <w:kinsoku/>
              <w:wordWrap/>
              <w:topLinePunct w:val="0"/>
              <w:autoSpaceDE/>
              <w:autoSpaceDN/>
              <w:bidi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4"/>
                <w:szCs w:val="24"/>
                <w:highlight w:val="none"/>
                <w:lang w:val="en-US" w:eastAsia="zh-CN" w:bidi="ar-SA"/>
              </w:rPr>
            </w:pPr>
          </w:p>
        </w:tc>
        <w:tc>
          <w:tcPr>
            <w:tcW w:w="2377" w:type="dxa"/>
            <w:vMerge w:val="continue"/>
            <w:tcBorders>
              <w:tl2br w:val="nil"/>
              <w:tr2bl w:val="nil"/>
            </w:tcBorders>
            <w:noWrap/>
            <w:vAlign w:val="center"/>
          </w:tcPr>
          <w:p>
            <w:pPr>
              <w:keepNext w:val="0"/>
              <w:keepLines w:val="0"/>
              <w:pageBreakBefore w:val="0"/>
              <w:widowControl w:val="0"/>
              <w:suppressLineNumbers w:val="0"/>
              <w:kinsoku/>
              <w:wordWrap/>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1378" w:type="dxa"/>
            <w:tcBorders>
              <w:tl2br w:val="nil"/>
              <w:tr2bl w:val="nil"/>
            </w:tcBorders>
            <w:noWrap/>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bCs/>
                <w:color w:val="auto"/>
                <w:sz w:val="24"/>
                <w:szCs w:val="24"/>
              </w:rPr>
              <w:t>电磁辐射</w:t>
            </w:r>
          </w:p>
        </w:tc>
        <w:tc>
          <w:tcPr>
            <w:tcW w:w="7682" w:type="dxa"/>
            <w:gridSpan w:val="4"/>
            <w:tcBorders>
              <w:tl2br w:val="nil"/>
              <w:tr2bl w:val="nil"/>
            </w:tcBorders>
            <w:noWrap/>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1378" w:type="dxa"/>
            <w:tcBorders>
              <w:tl2br w:val="nil"/>
              <w:tr2bl w:val="nil"/>
            </w:tcBorders>
            <w:noWrap/>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土壤及地下水污染防治措施</w:t>
            </w:r>
          </w:p>
        </w:tc>
        <w:tc>
          <w:tcPr>
            <w:tcW w:w="7682" w:type="dxa"/>
            <w:gridSpan w:val="4"/>
            <w:tcBorders>
              <w:tl2br w:val="nil"/>
              <w:tr2bl w:val="nil"/>
            </w:tcBorders>
            <w:noWrap/>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1、正常工况下破损铅酸蓄电池</w:t>
            </w:r>
            <w:r>
              <w:rPr>
                <w:rFonts w:hint="eastAsia" w:cs="Times New Roman"/>
                <w:color w:val="auto"/>
                <w:sz w:val="24"/>
                <w:szCs w:val="24"/>
                <w:lang w:val="en-US" w:eastAsia="zh-CN"/>
              </w:rPr>
              <w:t>泄漏</w:t>
            </w:r>
            <w:r>
              <w:rPr>
                <w:rFonts w:hint="eastAsia" w:ascii="Times New Roman" w:hAnsi="Times New Roman" w:eastAsia="宋体" w:cs="Times New Roman"/>
                <w:color w:val="auto"/>
                <w:sz w:val="24"/>
                <w:szCs w:val="24"/>
                <w:lang w:val="en-US" w:eastAsia="zh-CN"/>
              </w:rPr>
              <w:t>的电解液、本项目产生的危废均在耐酸、耐腐蚀的密封容器中，统一送由资质单位处理处置，事故情况下，存放破损电池的专用容器中发生破裂，泄漏的电解液</w:t>
            </w:r>
            <w:r>
              <w:rPr>
                <w:rFonts w:hint="eastAsia" w:cs="Times New Roman"/>
                <w:color w:val="auto"/>
                <w:sz w:val="24"/>
                <w:szCs w:val="24"/>
                <w:lang w:val="en-US" w:eastAsia="zh-CN"/>
              </w:rPr>
              <w:t>沿</w:t>
            </w:r>
            <w:r>
              <w:rPr>
                <w:rFonts w:hint="eastAsia" w:ascii="Times New Roman" w:hAnsi="Times New Roman" w:eastAsia="宋体" w:cs="Times New Roman"/>
                <w:color w:val="auto"/>
                <w:sz w:val="24"/>
                <w:szCs w:val="24"/>
                <w:lang w:val="en-US" w:eastAsia="zh-CN"/>
              </w:rPr>
              <w:t>导流槽</w:t>
            </w:r>
            <w:r>
              <w:rPr>
                <w:rFonts w:hint="eastAsia" w:cs="Times New Roman"/>
                <w:color w:val="auto"/>
                <w:sz w:val="24"/>
                <w:szCs w:val="24"/>
                <w:lang w:val="en-US" w:eastAsia="zh-CN"/>
              </w:rPr>
              <w:t>进入</w:t>
            </w:r>
            <w:r>
              <w:rPr>
                <w:rFonts w:hint="eastAsia" w:ascii="Times New Roman" w:hAnsi="Times New Roman" w:eastAsia="宋体" w:cs="Times New Roman"/>
                <w:color w:val="auto"/>
                <w:sz w:val="24"/>
                <w:szCs w:val="24"/>
                <w:lang w:val="en-US" w:eastAsia="zh-CN"/>
              </w:rPr>
              <w:t>废液收集池内，使用</w:t>
            </w:r>
            <w:r>
              <w:rPr>
                <w:rFonts w:hint="eastAsia" w:cs="Times New Roman"/>
                <w:color w:val="auto"/>
                <w:sz w:val="24"/>
                <w:szCs w:val="24"/>
                <w:lang w:val="en-US" w:eastAsia="zh-CN"/>
              </w:rPr>
              <w:t>PVC</w:t>
            </w:r>
            <w:r>
              <w:rPr>
                <w:rFonts w:hint="eastAsia" w:ascii="Times New Roman" w:hAnsi="Times New Roman" w:eastAsia="宋体" w:cs="Times New Roman"/>
                <w:color w:val="auto"/>
                <w:sz w:val="24"/>
                <w:szCs w:val="24"/>
                <w:lang w:val="en-US" w:eastAsia="zh-CN"/>
              </w:rPr>
              <w:t>桶（防腐、耐酸）收集，并及时送往资质单位处理处置。</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2、车间内设置废液收集池（0.5</w:t>
            </w:r>
            <w:r>
              <w:rPr>
                <w:rFonts w:hint="eastAsia" w:cs="Times New Roman" w:eastAsiaTheme="minorEastAsia"/>
                <w:color w:val="auto"/>
                <w:sz w:val="24"/>
                <w:szCs w:val="24"/>
                <w:lang w:eastAsia="zh-CN"/>
              </w:rPr>
              <w:t>m³</w:t>
            </w:r>
            <w:r>
              <w:rPr>
                <w:rFonts w:hint="eastAsia" w:ascii="Times New Roman" w:hAnsi="Times New Roman" w:eastAsia="宋体" w:cs="Times New Roman"/>
                <w:color w:val="auto"/>
                <w:sz w:val="24"/>
                <w:szCs w:val="24"/>
                <w:lang w:val="en-US" w:eastAsia="zh-CN"/>
              </w:rPr>
              <w:t>）、导流槽、应急事故池（40</w:t>
            </w:r>
            <w:r>
              <w:rPr>
                <w:rFonts w:hint="eastAsia" w:cs="Times New Roman" w:eastAsiaTheme="minorEastAsia"/>
                <w:color w:val="auto"/>
                <w:sz w:val="24"/>
                <w:szCs w:val="24"/>
                <w:lang w:eastAsia="zh-CN"/>
              </w:rPr>
              <w:t>m³</w:t>
            </w:r>
            <w:r>
              <w:rPr>
                <w:rFonts w:hint="eastAsia" w:ascii="Times New Roman" w:hAnsi="Times New Roman" w:eastAsia="宋体" w:cs="Times New Roman"/>
                <w:color w:val="auto"/>
                <w:sz w:val="24"/>
                <w:szCs w:val="24"/>
                <w:lang w:val="en-US" w:eastAsia="zh-CN"/>
              </w:rPr>
              <w:t>）、消防沙池（5</w:t>
            </w:r>
            <w:r>
              <w:rPr>
                <w:rFonts w:hint="eastAsia" w:cs="Times New Roman" w:eastAsiaTheme="minorEastAsia"/>
                <w:color w:val="auto"/>
                <w:sz w:val="24"/>
                <w:szCs w:val="24"/>
                <w:lang w:eastAsia="zh-CN"/>
              </w:rPr>
              <w:t>m³</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3、整个仓库（</w:t>
            </w:r>
            <w:r>
              <w:rPr>
                <w:rFonts w:hint="eastAsia" w:cs="Times New Roman"/>
                <w:color w:val="auto"/>
                <w:sz w:val="24"/>
                <w:szCs w:val="24"/>
                <w:lang w:val="en-US" w:eastAsia="zh-CN"/>
              </w:rPr>
              <w:t>完整</w:t>
            </w:r>
            <w:r>
              <w:rPr>
                <w:rFonts w:hint="eastAsia" w:ascii="Times New Roman" w:hAnsi="Times New Roman" w:eastAsia="宋体" w:cs="Times New Roman"/>
                <w:color w:val="auto"/>
                <w:sz w:val="24"/>
                <w:szCs w:val="24"/>
                <w:lang w:val="en-US" w:eastAsia="zh-CN"/>
              </w:rPr>
              <w:t>电池</w:t>
            </w:r>
            <w:r>
              <w:rPr>
                <w:rFonts w:hint="eastAsia" w:cs="Times New Roman"/>
                <w:color w:val="auto"/>
                <w:sz w:val="24"/>
                <w:szCs w:val="24"/>
                <w:lang w:val="en-US" w:eastAsia="zh-CN"/>
              </w:rPr>
              <w:t>储存</w:t>
            </w:r>
            <w:r>
              <w:rPr>
                <w:rFonts w:hint="eastAsia" w:ascii="Times New Roman" w:hAnsi="Times New Roman" w:eastAsia="宋体" w:cs="Times New Roman"/>
                <w:color w:val="auto"/>
                <w:sz w:val="24"/>
                <w:szCs w:val="24"/>
                <w:lang w:val="en-US" w:eastAsia="zh-CN"/>
              </w:rPr>
              <w:t>区</w:t>
            </w:r>
            <w:r>
              <w:rPr>
                <w:rFonts w:hint="eastAsia" w:cs="Times New Roman"/>
                <w:color w:val="auto"/>
                <w:sz w:val="24"/>
                <w:szCs w:val="24"/>
                <w:lang w:val="en-US" w:eastAsia="zh-CN"/>
              </w:rPr>
              <w:t>、破碎电池储存区</w:t>
            </w:r>
            <w:r>
              <w:rPr>
                <w:rFonts w:hint="eastAsia" w:ascii="Times New Roman" w:hAnsi="Times New Roman" w:eastAsia="宋体" w:cs="Times New Roman"/>
                <w:color w:val="auto"/>
                <w:sz w:val="24"/>
                <w:szCs w:val="24"/>
                <w:lang w:val="en-US" w:eastAsia="zh-CN"/>
              </w:rPr>
              <w:t>）、</w:t>
            </w:r>
            <w:bookmarkStart w:id="261" w:name="OLE_LINK266"/>
            <w:r>
              <w:rPr>
                <w:rFonts w:hint="eastAsia" w:ascii="Times New Roman" w:hAnsi="Times New Roman" w:eastAsia="宋体" w:cs="Times New Roman"/>
                <w:color w:val="auto"/>
                <w:sz w:val="24"/>
                <w:szCs w:val="24"/>
                <w:lang w:val="en-US" w:eastAsia="zh-CN"/>
              </w:rPr>
              <w:t>导流槽、废液收集池</w:t>
            </w:r>
            <w:bookmarkEnd w:id="261"/>
            <w:r>
              <w:rPr>
                <w:rFonts w:hint="eastAsia" w:ascii="Times New Roman" w:hAnsi="Times New Roman" w:eastAsia="宋体" w:cs="Times New Roman"/>
                <w:color w:val="auto"/>
                <w:sz w:val="24"/>
                <w:szCs w:val="24"/>
                <w:lang w:val="en-US" w:eastAsia="zh-CN"/>
              </w:rPr>
              <w:t>、应急事故池、危废暂存间等为重点防渗区，等效粘土防渗层Mb≥6m，K≤1×10</w:t>
            </w:r>
            <w:r>
              <w:rPr>
                <w:rFonts w:hint="eastAsia" w:ascii="Times New Roman" w:hAnsi="Times New Roman" w:eastAsia="宋体" w:cs="Times New Roman"/>
                <w:color w:val="auto"/>
                <w:sz w:val="24"/>
                <w:szCs w:val="24"/>
                <w:vertAlign w:val="superscript"/>
                <w:lang w:val="en-US" w:eastAsia="zh-CN"/>
              </w:rPr>
              <w:t>-10</w:t>
            </w:r>
            <w:r>
              <w:rPr>
                <w:rFonts w:hint="eastAsia" w:ascii="Times New Roman" w:hAnsi="Times New Roman" w:eastAsia="宋体" w:cs="Times New Roman"/>
                <w:color w:val="auto"/>
                <w:sz w:val="24"/>
                <w:szCs w:val="24"/>
                <w:lang w:val="en-US" w:eastAsia="zh-CN"/>
              </w:rPr>
              <w:t>cm/s；或参照GB18598执行。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1378" w:type="dxa"/>
            <w:tcBorders>
              <w:tl2br w:val="nil"/>
              <w:tr2bl w:val="nil"/>
            </w:tcBorders>
            <w:noWrap/>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生态保护措施</w:t>
            </w:r>
          </w:p>
        </w:tc>
        <w:tc>
          <w:tcPr>
            <w:tcW w:w="7682" w:type="dxa"/>
            <w:gridSpan w:val="4"/>
            <w:tcBorders>
              <w:tl2br w:val="nil"/>
              <w:tr2bl w:val="nil"/>
            </w:tcBorders>
            <w:noWrap/>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1378" w:type="dxa"/>
            <w:tcBorders>
              <w:tl2br w:val="nil"/>
              <w:tr2bl w:val="nil"/>
            </w:tcBorders>
            <w:noWrap/>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pacing w:val="-8"/>
                <w:sz w:val="24"/>
                <w:szCs w:val="24"/>
              </w:rPr>
            </w:pPr>
            <w:r>
              <w:rPr>
                <w:rFonts w:hint="default" w:ascii="Times New Roman" w:hAnsi="Times New Roman" w:eastAsia="宋体" w:cs="Times New Roman"/>
                <w:b/>
                <w:color w:val="auto"/>
                <w:spacing w:val="-8"/>
                <w:sz w:val="24"/>
                <w:szCs w:val="24"/>
              </w:rPr>
              <w:t>环境风险防范措施</w:t>
            </w:r>
          </w:p>
        </w:tc>
        <w:tc>
          <w:tcPr>
            <w:tcW w:w="7682" w:type="dxa"/>
            <w:gridSpan w:val="4"/>
            <w:tcBorders>
              <w:tl2br w:val="nil"/>
              <w:tr2bl w:val="nil"/>
            </w:tcBorders>
            <w:noWrap/>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车间按防火防爆相关规范、要求设置，配备相应消防物资，车间</w:t>
            </w:r>
            <w:r>
              <w:rPr>
                <w:rFonts w:hint="eastAsia" w:cs="Times New Roman"/>
                <w:color w:val="auto"/>
                <w:sz w:val="24"/>
                <w:szCs w:val="24"/>
                <w:lang w:val="en-US" w:eastAsia="zh-CN"/>
              </w:rPr>
              <w:t>储存</w:t>
            </w:r>
            <w:r>
              <w:rPr>
                <w:rFonts w:hint="eastAsia" w:ascii="Times New Roman" w:hAnsi="Times New Roman" w:eastAsia="宋体" w:cs="Times New Roman"/>
                <w:color w:val="auto"/>
                <w:sz w:val="24"/>
                <w:szCs w:val="24"/>
                <w:lang w:val="en-US" w:eastAsia="zh-CN"/>
              </w:rPr>
              <w:t>区，危废暂存间、废液收集池（0.5</w:t>
            </w:r>
            <w:r>
              <w:rPr>
                <w:rFonts w:hint="eastAsia" w:cs="Times New Roman" w:eastAsiaTheme="minorEastAsia"/>
                <w:color w:val="auto"/>
                <w:sz w:val="24"/>
                <w:szCs w:val="24"/>
                <w:lang w:eastAsia="zh-CN"/>
              </w:rPr>
              <w:t>m³</w:t>
            </w:r>
            <w:r>
              <w:rPr>
                <w:rFonts w:hint="eastAsia" w:ascii="Times New Roman" w:hAnsi="Times New Roman" w:eastAsia="宋体" w:cs="Times New Roman"/>
                <w:color w:val="auto"/>
                <w:sz w:val="24"/>
                <w:szCs w:val="24"/>
                <w:lang w:val="en-US" w:eastAsia="zh-CN"/>
              </w:rPr>
              <w:t>）、导流槽、应急事故池（40</w:t>
            </w:r>
            <w:r>
              <w:rPr>
                <w:rFonts w:hint="eastAsia" w:cs="Times New Roman" w:eastAsiaTheme="minorEastAsia"/>
                <w:color w:val="auto"/>
                <w:sz w:val="24"/>
                <w:szCs w:val="24"/>
                <w:lang w:eastAsia="zh-CN"/>
              </w:rPr>
              <w:t>m³</w:t>
            </w:r>
            <w:r>
              <w:rPr>
                <w:rFonts w:hint="eastAsia" w:ascii="Times New Roman" w:hAnsi="Times New Roman" w:eastAsia="宋体" w:cs="Times New Roman"/>
                <w:color w:val="auto"/>
                <w:sz w:val="24"/>
                <w:szCs w:val="24"/>
                <w:lang w:val="en-US" w:eastAsia="zh-CN"/>
              </w:rPr>
              <w:t>）、消防沙池（5</w:t>
            </w:r>
            <w:r>
              <w:rPr>
                <w:rFonts w:hint="eastAsia" w:cs="Times New Roman" w:eastAsiaTheme="minorEastAsia"/>
                <w:color w:val="auto"/>
                <w:sz w:val="24"/>
                <w:szCs w:val="24"/>
                <w:lang w:eastAsia="zh-CN"/>
              </w:rPr>
              <w:t>m³</w:t>
            </w:r>
            <w:r>
              <w:rPr>
                <w:rFonts w:hint="eastAsia" w:ascii="Times New Roman" w:hAnsi="Times New Roman" w:eastAsia="宋体" w:cs="Times New Roman"/>
                <w:color w:val="auto"/>
                <w:sz w:val="24"/>
                <w:szCs w:val="24"/>
                <w:lang w:val="en-US" w:eastAsia="zh-CN"/>
              </w:rPr>
              <w:t>）等</w:t>
            </w:r>
            <w:bookmarkStart w:id="262" w:name="OLE_LINK265"/>
            <w:r>
              <w:rPr>
                <w:rFonts w:hint="eastAsia" w:ascii="Times New Roman" w:hAnsi="Times New Roman" w:eastAsia="宋体" w:cs="Times New Roman"/>
                <w:color w:val="auto"/>
                <w:sz w:val="24"/>
                <w:szCs w:val="24"/>
                <w:lang w:val="en-US" w:eastAsia="zh-CN"/>
              </w:rPr>
              <w:t>地面按要求防腐、防渗，厂区设置应急事故池，按相关规范要求编制厂区应急预案等</w:t>
            </w:r>
            <w:bookmarkEnd w:id="262"/>
            <w:r>
              <w:rPr>
                <w:rFonts w:hint="eastAsia" w:ascii="Times New Roman" w:hAnsi="Times New Roman" w:eastAsia="宋体"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27" w:hRule="atLeast"/>
          <w:jc w:val="center"/>
        </w:trPr>
        <w:tc>
          <w:tcPr>
            <w:tcW w:w="1378" w:type="dxa"/>
            <w:tcBorders>
              <w:tl2br w:val="nil"/>
              <w:tr2bl w:val="nil"/>
            </w:tcBorders>
            <w:noWrap/>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color w:val="auto"/>
                <w:spacing w:val="-8"/>
                <w:sz w:val="24"/>
                <w:szCs w:val="24"/>
              </w:rPr>
            </w:pPr>
            <w:r>
              <w:rPr>
                <w:rFonts w:hint="default" w:ascii="Times New Roman" w:hAnsi="Times New Roman" w:eastAsia="宋体" w:cs="Times New Roman"/>
                <w:b/>
                <w:color w:val="auto"/>
                <w:spacing w:val="-8"/>
                <w:sz w:val="24"/>
                <w:szCs w:val="24"/>
              </w:rPr>
              <w:t>其他环境</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color w:val="auto"/>
                <w:spacing w:val="-8"/>
                <w:sz w:val="24"/>
                <w:szCs w:val="24"/>
              </w:rPr>
            </w:pPr>
            <w:r>
              <w:rPr>
                <w:rFonts w:hint="default" w:ascii="Times New Roman" w:hAnsi="Times New Roman" w:eastAsia="宋体" w:cs="Times New Roman"/>
                <w:b/>
                <w:color w:val="auto"/>
                <w:spacing w:val="-8"/>
                <w:sz w:val="24"/>
                <w:szCs w:val="24"/>
              </w:rPr>
              <w:t>管理要求</w:t>
            </w:r>
          </w:p>
        </w:tc>
        <w:tc>
          <w:tcPr>
            <w:tcW w:w="7682" w:type="dxa"/>
            <w:gridSpan w:val="4"/>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w:t>
            </w:r>
            <w:bookmarkStart w:id="263" w:name="OLE_LINK139"/>
            <w:r>
              <w:rPr>
                <w:rFonts w:hint="default" w:ascii="Times New Roman" w:hAnsi="Times New Roman" w:eastAsia="宋体" w:cs="Times New Roman"/>
                <w:color w:val="auto"/>
                <w:sz w:val="24"/>
                <w:szCs w:val="24"/>
                <w:highlight w:val="none"/>
                <w:lang w:val="en-US" w:eastAsia="zh-CN"/>
              </w:rPr>
              <w:t>排污许可</w:t>
            </w:r>
            <w:bookmarkEnd w:id="263"/>
            <w:r>
              <w:rPr>
                <w:rFonts w:hint="default" w:ascii="Times New Roman" w:hAnsi="Times New Roman" w:eastAsia="宋体" w:cs="Times New Roman"/>
                <w:color w:val="auto"/>
                <w:sz w:val="24"/>
                <w:szCs w:val="24"/>
                <w:highlight w:val="none"/>
                <w:lang w:val="en-US" w:eastAsia="zh-CN"/>
              </w:rPr>
              <w:t>证管理要求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根据《固定污染源排污许可分类管理名录（2019年版）》（生态环境部 第11号）要求进行填报排污许可。因此，建设单位应当在启动生产设施或者发生实际排污之前在全国排污许可证管理信息平台进行排污许可申请。</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2、竣工环境保护验收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根据《建设项目竣工环境保护验收暂行办法》的规定，建设项目竣工后，建设单位应当如实查验、监测、记载建设项目环境保护设施的建设和调试情况，编制验收监测报告表。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3、排放口规范化建设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环境保护图形标志－排放口（源）》（GB15562.1-1995）、《环境保护图形标志—固体废物贮存（处置）场》（GB15562.2-1995）及其修改单标准要求，本项目应在废气和噪声排放源分别设置环境保护图形标志牌，按照排污许可技术规范、年度污染防治攻坚方案、专项整治方案等要求安装相关环保监控，便于污染源监督管理及常规监测工作的进行。</w:t>
            </w:r>
          </w:p>
          <w:p>
            <w:pPr>
              <w:pStyle w:val="2"/>
              <w:keepLines w:val="0"/>
              <w:pageBreakBefore w:val="0"/>
              <w:widowControl w:val="0"/>
              <w:suppressLineNumbers w:val="0"/>
              <w:kinsoku/>
              <w:wordWrap/>
              <w:topLinePunct w:val="0"/>
              <w:autoSpaceDE/>
              <w:autoSpaceDN/>
              <w:bidi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4"/>
                <w:szCs w:val="24"/>
                <w:lang w:eastAsia="zh-CN"/>
              </w:rPr>
            </w:pPr>
          </w:p>
        </w:tc>
      </w:tr>
    </w:tbl>
    <w:p>
      <w:pPr>
        <w:jc w:val="center"/>
        <w:rPr>
          <w:color w:val="auto"/>
        </w:rPr>
        <w:sectPr>
          <w:pgSz w:w="11906" w:h="16838"/>
          <w:pgMar w:top="1701" w:right="1531" w:bottom="1701" w:left="1531" w:header="851" w:footer="1191" w:gutter="0"/>
          <w:pgBorders>
            <w:top w:val="none" w:sz="0" w:space="0"/>
            <w:left w:val="none" w:sz="0" w:space="0"/>
            <w:bottom w:val="none" w:sz="0" w:space="0"/>
            <w:right w:val="none" w:sz="0" w:space="0"/>
          </w:pgBorders>
          <w:pgNumType w:fmt="decimal"/>
          <w:cols w:space="720" w:num="1"/>
          <w:docGrid w:linePitch="312" w:charSpace="0"/>
        </w:sectPr>
      </w:pPr>
    </w:p>
    <w:p>
      <w:pPr>
        <w:pStyle w:val="2"/>
        <w:bidi w:val="0"/>
        <w:rPr>
          <w:color w:val="auto"/>
        </w:rPr>
      </w:pPr>
      <w:r>
        <w:rPr>
          <w:color w:val="auto"/>
        </w:rPr>
        <w:drawing>
          <wp:anchor distT="0" distB="0" distL="114300" distR="114300" simplePos="0" relativeHeight="251670528" behindDoc="0" locked="0" layoutInCell="1" allowOverlap="1">
            <wp:simplePos x="0" y="0"/>
            <wp:positionH relativeFrom="column">
              <wp:posOffset>-975995</wp:posOffset>
            </wp:positionH>
            <wp:positionV relativeFrom="paragraph">
              <wp:posOffset>-1071880</wp:posOffset>
            </wp:positionV>
            <wp:extent cx="7698105" cy="10440035"/>
            <wp:effectExtent l="0" t="0" r="17145" b="18415"/>
            <wp:wrapNone/>
            <wp:docPr id="17" name="图片 17" descr="d796a75817ebc988a616163b833bd5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796a75817ebc988a616163b833bd5c7"/>
                    <pic:cNvPicPr>
                      <a:picLocks noChangeAspect="1"/>
                    </pic:cNvPicPr>
                  </pic:nvPicPr>
                  <pic:blipFill>
                    <a:blip r:embed="rId23"/>
                    <a:stretch>
                      <a:fillRect/>
                    </a:stretch>
                  </pic:blipFill>
                  <pic:spPr>
                    <a:xfrm>
                      <a:off x="0" y="0"/>
                      <a:ext cx="7698105" cy="10440035"/>
                    </a:xfrm>
                    <a:prstGeom prst="rect">
                      <a:avLst/>
                    </a:prstGeom>
                  </pic:spPr>
                </pic:pic>
              </a:graphicData>
            </a:graphic>
          </wp:anchor>
        </w:drawing>
      </w:r>
      <w:r>
        <w:rPr>
          <w:color w:val="auto"/>
        </w:rPr>
        <w:t>六、结论</w:t>
      </w:r>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top"/>
          </w:tcPr>
          <w:p>
            <w:pPr>
              <w:keepNext w:val="0"/>
              <w:keepLines w:val="0"/>
              <w:suppressLineNumbers w:val="0"/>
              <w:bidi w:val="0"/>
              <w:spacing w:before="0" w:beforeAutospacing="0" w:after="0" w:afterAutospacing="0"/>
              <w:ind w:left="0" w:right="0"/>
              <w:rPr>
                <w:color w:val="auto"/>
              </w:rPr>
            </w:pPr>
            <w:r>
              <w:rPr>
                <w:rFonts w:hint="eastAsia"/>
                <w:color w:val="auto"/>
                <w:lang w:eastAsia="zh-CN"/>
              </w:rPr>
              <w:t>新乡市绩昌再生资源回收有限公司</w:t>
            </w:r>
            <w:r>
              <w:rPr>
                <w:rFonts w:hint="eastAsia"/>
                <w:color w:val="auto"/>
                <w:lang w:val="en-US" w:eastAsia="zh-CN"/>
              </w:rPr>
              <w:t>绩昌</w:t>
            </w:r>
            <w:r>
              <w:rPr>
                <w:rFonts w:hint="eastAsia"/>
                <w:color w:val="auto"/>
                <w:lang w:eastAsia="zh-CN"/>
              </w:rPr>
              <w:t>废铅蓄电池回收项目</w:t>
            </w:r>
            <w:r>
              <w:rPr>
                <w:color w:val="auto"/>
              </w:rPr>
              <w:t>符合国家相关产业政策要求。营运过程中产生的污染物经治理后均能够达标排放，固废处置措施可行。建设单位应认真做好环评中提出的各项污染防治措施，确保各项污染物达标排放。从环保角度分析，该项目可行。</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520" w:lineRule="exact"/>
              <w:ind w:left="0" w:leftChars="0" w:right="0" w:firstLine="0" w:firstLineChars="0"/>
              <w:textAlignment w:val="auto"/>
              <w:rPr>
                <w:color w:val="auto"/>
              </w:rPr>
            </w:pPr>
          </w:p>
          <w:p>
            <w:pPr>
              <w:keepNext w:val="0"/>
              <w:keepLines w:val="0"/>
              <w:pageBreakBefore w:val="0"/>
              <w:widowControl w:val="0"/>
              <w:suppressLineNumbers w:val="0"/>
              <w:kinsoku/>
              <w:wordWrap/>
              <w:overflowPunct/>
              <w:topLinePunct w:val="0"/>
              <w:autoSpaceDE/>
              <w:autoSpaceDN/>
              <w:bidi w:val="0"/>
              <w:spacing w:before="0" w:beforeAutospacing="0" w:after="0" w:afterAutospacing="0" w:line="520" w:lineRule="exact"/>
              <w:ind w:left="0" w:right="0" w:firstLine="480" w:firstLineChars="200"/>
              <w:jc w:val="right"/>
              <w:textAlignment w:val="auto"/>
              <w:rPr>
                <w:rFonts w:hint="eastAsia" w:hAnsi="宋体" w:eastAsia="宋体"/>
                <w:color w:val="auto"/>
                <w:sz w:val="24"/>
                <w:lang w:eastAsia="zh-CN"/>
              </w:rPr>
            </w:pPr>
            <w:r>
              <w:rPr>
                <w:rFonts w:hint="eastAsia" w:hAnsi="宋体"/>
                <w:color w:val="auto"/>
                <w:sz w:val="24"/>
                <w:lang w:eastAsia="zh-CN"/>
              </w:rPr>
              <w:t>河南美达峰生态技术有限公司</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520" w:lineRule="exact"/>
              <w:ind w:left="0" w:right="840"/>
              <w:jc w:val="right"/>
              <w:textAlignment w:val="auto"/>
              <w:rPr>
                <w:color w:val="auto"/>
                <w:sz w:val="24"/>
              </w:rPr>
            </w:pPr>
            <w:r>
              <w:rPr>
                <w:rFonts w:hint="eastAsia"/>
                <w:color w:val="auto"/>
                <w:sz w:val="24"/>
              </w:rPr>
              <w:t>202</w:t>
            </w:r>
            <w:r>
              <w:rPr>
                <w:rFonts w:hint="eastAsia"/>
                <w:color w:val="auto"/>
                <w:sz w:val="24"/>
                <w:lang w:val="en-US" w:eastAsia="zh-CN"/>
              </w:rPr>
              <w:t>6</w:t>
            </w:r>
            <w:r>
              <w:rPr>
                <w:rFonts w:hint="eastAsia"/>
                <w:color w:val="auto"/>
                <w:sz w:val="24"/>
              </w:rPr>
              <w:t>年</w:t>
            </w:r>
            <w:r>
              <w:rPr>
                <w:rFonts w:hint="eastAsia"/>
                <w:color w:val="auto"/>
                <w:sz w:val="24"/>
                <w:lang w:val="en-US" w:eastAsia="zh-CN"/>
              </w:rPr>
              <w:t>3</w:t>
            </w:r>
            <w:r>
              <w:rPr>
                <w:rFonts w:hint="eastAsia"/>
                <w:color w:val="auto"/>
                <w:sz w:val="24"/>
              </w:rPr>
              <w:t>月</w:t>
            </w:r>
          </w:p>
          <w:p>
            <w:pPr>
              <w:keepNext w:val="0"/>
              <w:keepLines w:val="0"/>
              <w:suppressLineNumbers w:val="0"/>
              <w:spacing w:before="0" w:beforeAutospacing="0" w:after="0" w:afterAutospacing="0" w:line="360" w:lineRule="auto"/>
              <w:ind w:left="0" w:right="0"/>
              <w:rPr>
                <w:color w:val="auto"/>
                <w:sz w:val="24"/>
              </w:rPr>
            </w:pPr>
          </w:p>
          <w:p>
            <w:pPr>
              <w:keepNext w:val="0"/>
              <w:keepLines w:val="0"/>
              <w:suppressLineNumbers w:val="0"/>
              <w:spacing w:before="0" w:beforeAutospacing="0" w:after="0" w:afterAutospacing="0" w:line="360" w:lineRule="auto"/>
              <w:ind w:left="0" w:right="0"/>
              <w:rPr>
                <w:color w:val="auto"/>
                <w:sz w:val="24"/>
              </w:rPr>
            </w:pPr>
          </w:p>
          <w:p>
            <w:pPr>
              <w:keepNext w:val="0"/>
              <w:keepLines w:val="0"/>
              <w:suppressLineNumbers w:val="0"/>
              <w:spacing w:before="0" w:beforeAutospacing="0" w:after="0" w:afterAutospacing="0" w:line="360" w:lineRule="auto"/>
              <w:ind w:left="0" w:right="0"/>
              <w:rPr>
                <w:color w:val="auto"/>
                <w:sz w:val="24"/>
              </w:rPr>
            </w:pPr>
          </w:p>
          <w:p>
            <w:pPr>
              <w:keepNext w:val="0"/>
              <w:keepLines w:val="0"/>
              <w:suppressLineNumbers w:val="0"/>
              <w:spacing w:before="0" w:beforeAutospacing="0" w:after="0" w:afterAutospacing="0" w:line="360" w:lineRule="auto"/>
              <w:ind w:left="0" w:right="0"/>
              <w:rPr>
                <w:color w:val="auto"/>
                <w:sz w:val="24"/>
              </w:rPr>
            </w:pPr>
          </w:p>
          <w:p>
            <w:pPr>
              <w:keepNext w:val="0"/>
              <w:keepLines w:val="0"/>
              <w:suppressLineNumbers w:val="0"/>
              <w:spacing w:before="0" w:beforeAutospacing="0" w:after="0" w:afterAutospacing="0" w:line="360" w:lineRule="auto"/>
              <w:ind w:left="0" w:right="0"/>
              <w:rPr>
                <w:color w:val="auto"/>
                <w:sz w:val="24"/>
              </w:rPr>
            </w:pPr>
          </w:p>
          <w:p>
            <w:pPr>
              <w:keepNext w:val="0"/>
              <w:keepLines w:val="0"/>
              <w:suppressLineNumbers w:val="0"/>
              <w:spacing w:before="0" w:beforeAutospacing="0" w:after="0" w:afterAutospacing="0" w:line="360" w:lineRule="auto"/>
              <w:ind w:left="0" w:right="0"/>
              <w:rPr>
                <w:color w:val="auto"/>
                <w:sz w:val="24"/>
              </w:rPr>
            </w:pPr>
          </w:p>
          <w:p>
            <w:pPr>
              <w:keepNext w:val="0"/>
              <w:keepLines w:val="0"/>
              <w:suppressLineNumbers w:val="0"/>
              <w:spacing w:before="0" w:beforeAutospacing="0" w:after="0" w:afterAutospacing="0" w:line="360" w:lineRule="auto"/>
              <w:ind w:left="0" w:right="0"/>
              <w:rPr>
                <w:color w:val="auto"/>
                <w:sz w:val="24"/>
              </w:rPr>
            </w:pPr>
          </w:p>
          <w:p>
            <w:pPr>
              <w:keepNext w:val="0"/>
              <w:keepLines w:val="0"/>
              <w:suppressLineNumbers w:val="0"/>
              <w:spacing w:before="0" w:beforeAutospacing="0" w:after="0" w:afterAutospacing="0" w:line="360" w:lineRule="auto"/>
              <w:ind w:left="0" w:right="0"/>
              <w:rPr>
                <w:color w:val="auto"/>
                <w:sz w:val="24"/>
              </w:rPr>
            </w:pPr>
          </w:p>
          <w:p>
            <w:pPr>
              <w:keepNext w:val="0"/>
              <w:keepLines w:val="0"/>
              <w:suppressLineNumbers w:val="0"/>
              <w:spacing w:before="0" w:beforeAutospacing="0" w:after="0" w:afterAutospacing="0" w:line="360" w:lineRule="auto"/>
              <w:ind w:left="0" w:right="0"/>
              <w:rPr>
                <w:color w:val="auto"/>
                <w:sz w:val="24"/>
              </w:rPr>
            </w:pPr>
          </w:p>
          <w:p>
            <w:pPr>
              <w:keepNext w:val="0"/>
              <w:keepLines w:val="0"/>
              <w:suppressLineNumbers w:val="0"/>
              <w:spacing w:before="0" w:beforeAutospacing="0" w:after="0" w:afterAutospacing="0" w:line="360" w:lineRule="auto"/>
              <w:ind w:left="0" w:right="0"/>
              <w:rPr>
                <w:color w:val="auto"/>
                <w:sz w:val="24"/>
              </w:rPr>
            </w:pPr>
          </w:p>
          <w:p>
            <w:pPr>
              <w:keepNext w:val="0"/>
              <w:keepLines w:val="0"/>
              <w:suppressLineNumbers w:val="0"/>
              <w:spacing w:before="0" w:beforeAutospacing="0" w:after="0" w:afterAutospacing="0" w:line="360" w:lineRule="auto"/>
              <w:ind w:left="0" w:right="0"/>
              <w:rPr>
                <w:color w:val="auto"/>
                <w:sz w:val="24"/>
              </w:rPr>
            </w:pPr>
          </w:p>
          <w:p>
            <w:pPr>
              <w:keepNext w:val="0"/>
              <w:keepLines w:val="0"/>
              <w:suppressLineNumbers w:val="0"/>
              <w:spacing w:before="0" w:beforeAutospacing="0" w:after="0" w:afterAutospacing="0" w:line="360" w:lineRule="auto"/>
              <w:ind w:left="0" w:right="0"/>
              <w:rPr>
                <w:color w:val="auto"/>
                <w:sz w:val="24"/>
              </w:rPr>
            </w:pPr>
          </w:p>
          <w:p>
            <w:pPr>
              <w:keepNext w:val="0"/>
              <w:keepLines w:val="0"/>
              <w:suppressLineNumbers w:val="0"/>
              <w:spacing w:before="0" w:beforeAutospacing="0" w:after="0" w:afterAutospacing="0" w:line="360" w:lineRule="auto"/>
              <w:ind w:left="0" w:right="0"/>
              <w:rPr>
                <w:color w:val="auto"/>
                <w:sz w:val="24"/>
              </w:rPr>
            </w:pPr>
          </w:p>
          <w:p>
            <w:pPr>
              <w:keepNext w:val="0"/>
              <w:keepLines w:val="0"/>
              <w:suppressLineNumbers w:val="0"/>
              <w:spacing w:before="0" w:beforeAutospacing="0" w:after="0" w:afterAutospacing="0" w:line="360" w:lineRule="auto"/>
              <w:ind w:left="0" w:right="0"/>
              <w:rPr>
                <w:color w:val="auto"/>
                <w:sz w:val="24"/>
              </w:rPr>
            </w:pPr>
          </w:p>
          <w:p>
            <w:pPr>
              <w:keepNext w:val="0"/>
              <w:keepLines w:val="0"/>
              <w:suppressLineNumbers w:val="0"/>
              <w:spacing w:before="0" w:beforeAutospacing="0" w:after="0" w:afterAutospacing="0" w:line="360" w:lineRule="auto"/>
              <w:ind w:left="0" w:right="0"/>
              <w:rPr>
                <w:color w:val="auto"/>
                <w:sz w:val="24"/>
              </w:rPr>
            </w:pPr>
          </w:p>
          <w:p>
            <w:pPr>
              <w:keepNext w:val="0"/>
              <w:keepLines w:val="0"/>
              <w:suppressLineNumbers w:val="0"/>
              <w:spacing w:before="0" w:beforeAutospacing="0" w:after="0" w:afterAutospacing="0" w:line="360" w:lineRule="auto"/>
              <w:ind w:left="0" w:right="0"/>
              <w:rPr>
                <w:color w:val="auto"/>
                <w:sz w:val="24"/>
              </w:rPr>
            </w:pPr>
          </w:p>
          <w:p>
            <w:pPr>
              <w:keepNext w:val="0"/>
              <w:keepLines w:val="0"/>
              <w:suppressLineNumbers w:val="0"/>
              <w:spacing w:before="0" w:beforeAutospacing="0" w:after="0" w:afterAutospacing="0" w:line="360" w:lineRule="auto"/>
              <w:ind w:left="0" w:right="0"/>
              <w:rPr>
                <w:rFonts w:ascii="宋体" w:cs="宋体"/>
                <w:color w:val="auto"/>
                <w:sz w:val="24"/>
              </w:rPr>
            </w:pPr>
          </w:p>
          <w:p>
            <w:pPr>
              <w:keepNext w:val="0"/>
              <w:keepLines w:val="0"/>
              <w:suppressLineNumbers w:val="0"/>
              <w:spacing w:before="0" w:beforeAutospacing="0" w:after="0" w:afterAutospacing="0"/>
              <w:ind w:left="0" w:right="0"/>
              <w:rPr>
                <w:color w:val="auto"/>
              </w:rPr>
            </w:pPr>
          </w:p>
          <w:p>
            <w:pPr>
              <w:keepNext w:val="0"/>
              <w:keepLines w:val="0"/>
              <w:suppressLineNumbers w:val="0"/>
              <w:spacing w:before="0" w:beforeAutospacing="0" w:after="0" w:afterAutospacing="0"/>
              <w:ind w:left="0" w:right="0"/>
              <w:rPr>
                <w:color w:val="auto"/>
              </w:rPr>
            </w:pPr>
          </w:p>
          <w:p>
            <w:pPr>
              <w:keepNext w:val="0"/>
              <w:keepLines w:val="0"/>
              <w:suppressLineNumbers w:val="0"/>
              <w:spacing w:before="0" w:beforeAutospacing="0" w:after="0" w:afterAutospacing="0"/>
              <w:ind w:left="0" w:right="0"/>
              <w:rPr>
                <w:color w:val="auto"/>
              </w:rPr>
            </w:pPr>
          </w:p>
          <w:p>
            <w:pPr>
              <w:keepNext w:val="0"/>
              <w:keepLines w:val="0"/>
              <w:suppressLineNumbers w:val="0"/>
              <w:spacing w:before="0" w:beforeAutospacing="0" w:after="0" w:afterAutospacing="0"/>
              <w:ind w:left="0" w:right="0"/>
              <w:rPr>
                <w:color w:val="auto"/>
              </w:rPr>
            </w:pPr>
          </w:p>
          <w:p>
            <w:pPr>
              <w:keepNext w:val="0"/>
              <w:keepLines w:val="0"/>
              <w:suppressLineNumbers w:val="0"/>
              <w:spacing w:before="0" w:beforeAutospacing="0" w:after="0" w:afterAutospacing="0"/>
              <w:ind w:left="0" w:right="0"/>
              <w:rPr>
                <w:color w:val="auto"/>
              </w:rPr>
            </w:pPr>
          </w:p>
          <w:p>
            <w:pPr>
              <w:keepNext w:val="0"/>
              <w:keepLines w:val="0"/>
              <w:suppressLineNumbers w:val="0"/>
              <w:spacing w:before="0" w:beforeAutospacing="0" w:after="0" w:afterAutospacing="0"/>
              <w:ind w:left="0" w:right="0"/>
              <w:rPr>
                <w:color w:val="auto"/>
              </w:rPr>
            </w:pPr>
          </w:p>
        </w:tc>
      </w:tr>
    </w:tbl>
    <w:p>
      <w:pPr>
        <w:rPr>
          <w:rFonts w:ascii="宋体"/>
          <w:color w:val="auto"/>
        </w:rPr>
        <w:sectPr>
          <w:pgSz w:w="11906" w:h="16838"/>
          <w:pgMar w:top="1701" w:right="1531" w:bottom="1701" w:left="1531" w:header="851" w:footer="1191" w:gutter="0"/>
          <w:pgBorders>
            <w:top w:val="none" w:sz="0" w:space="0"/>
            <w:left w:val="none" w:sz="0" w:space="0"/>
            <w:bottom w:val="none" w:sz="0" w:space="0"/>
            <w:right w:val="none" w:sz="0" w:space="0"/>
          </w:pgBorders>
          <w:pgNumType w:fmt="decimal"/>
          <w:cols w:space="720" w:num="1"/>
          <w:docGrid w:linePitch="312" w:charSpace="0"/>
        </w:sectPr>
      </w:pPr>
    </w:p>
    <w:p>
      <w:pPr>
        <w:spacing w:line="700" w:lineRule="exact"/>
        <w:rPr>
          <w:b/>
          <w:color w:val="auto"/>
          <w:sz w:val="30"/>
          <w:szCs w:val="30"/>
        </w:rPr>
      </w:pPr>
      <w:r>
        <w:rPr>
          <w:rFonts w:hAnsi="宋体"/>
          <w:b/>
          <w:color w:val="auto"/>
          <w:sz w:val="30"/>
          <w:szCs w:val="30"/>
        </w:rPr>
        <w:t>附表</w:t>
      </w:r>
    </w:p>
    <w:p>
      <w:pPr>
        <w:spacing w:line="700" w:lineRule="exact"/>
        <w:jc w:val="center"/>
        <w:rPr>
          <w:rFonts w:hAnsi="宋体"/>
          <w:b/>
          <w:color w:val="auto"/>
          <w:sz w:val="24"/>
          <w:szCs w:val="24"/>
        </w:rPr>
      </w:pPr>
      <w:r>
        <w:rPr>
          <w:rFonts w:hint="eastAsia" w:hAnsi="宋体"/>
          <w:b/>
          <w:color w:val="auto"/>
          <w:sz w:val="30"/>
          <w:szCs w:val="30"/>
          <w:lang w:val="en-US" w:eastAsia="zh-CN"/>
        </w:rPr>
        <w:t xml:space="preserve">                              </w:t>
      </w:r>
      <w:r>
        <w:rPr>
          <w:rFonts w:hAnsi="宋体"/>
          <w:b/>
          <w:color w:val="auto"/>
          <w:sz w:val="30"/>
          <w:szCs w:val="30"/>
        </w:rPr>
        <w:t>建设项目污染物排放量汇总表</w:t>
      </w:r>
      <w:r>
        <w:rPr>
          <w:rFonts w:hint="eastAsia" w:hAnsi="宋体"/>
          <w:b/>
          <w:color w:val="auto"/>
          <w:sz w:val="30"/>
          <w:szCs w:val="30"/>
          <w:lang w:val="en-US" w:eastAsia="zh-CN"/>
        </w:rPr>
        <w:t xml:space="preserve">                          </w:t>
      </w:r>
      <w:r>
        <w:rPr>
          <w:rFonts w:hAnsi="宋体"/>
          <w:b/>
          <w:color w:val="auto"/>
          <w:sz w:val="24"/>
          <w:szCs w:val="24"/>
        </w:rPr>
        <w:t>单位：t/a</w:t>
      </w:r>
    </w:p>
    <w:tbl>
      <w:tblPr>
        <w:tblStyle w:val="22"/>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065"/>
        <w:gridCol w:w="2216"/>
        <w:gridCol w:w="1290"/>
        <w:gridCol w:w="1320"/>
        <w:gridCol w:w="1508"/>
        <w:gridCol w:w="2127"/>
        <w:gridCol w:w="1701"/>
        <w:gridCol w:w="1701"/>
        <w:gridCol w:w="113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1065" w:type="dxa"/>
            <w:tcBorders>
              <w:tl2br w:val="nil"/>
              <w:tr2bl w:val="nil"/>
            </w:tcBorders>
            <w:noWrap/>
            <w:tcMar>
              <w:left w:w="28" w:type="dxa"/>
              <w:right w:w="28" w:type="dxa"/>
            </w:tcMar>
            <w:vAlign w:val="center"/>
          </w:tcPr>
          <w:p>
            <w:pPr>
              <w:pStyle w:val="28"/>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right"/>
              <w:rPr>
                <w:rFonts w:ascii="Times New Roman" w:hAnsi="Times New Roman" w:eastAsia="宋体" w:cs="Times New Roman"/>
                <w:b/>
                <w:color w:val="auto"/>
                <w:kern w:val="2"/>
                <w:sz w:val="24"/>
                <w:szCs w:val="24"/>
              </w:rPr>
            </w:pPr>
            <w:r>
              <w:rPr>
                <w:color w:val="auto"/>
                <w:kern w:val="2"/>
                <w:sz w:val="24"/>
                <w:szCs w:val="24"/>
              </w:rPr>
              <w:pict>
                <v:line id="_x0000_s2251" o:spid="_x0000_s2251" o:spt="20" style="position:absolute;left:0pt;margin-left:0.05pt;margin-top:0.7pt;height:62.85pt;width:50.6pt;z-index:251662336;mso-width-relative:page;mso-height-relative:page;" filled="f" stroked="t" coordsize="21600,21600">
                  <v:path arrowok="t"/>
                  <v:fill on="f" focussize="0,0"/>
                  <v:stroke color="#000000"/>
                  <v:imagedata o:title=""/>
                  <o:lock v:ext="edit" aspectratio="f"/>
                </v:line>
              </w:pict>
            </w:r>
            <w:r>
              <w:rPr>
                <w:rFonts w:ascii="Times New Roman" w:eastAsia="宋体" w:cs="Times New Roman"/>
                <w:b/>
                <w:color w:val="auto"/>
                <w:kern w:val="2"/>
                <w:sz w:val="24"/>
                <w:szCs w:val="24"/>
              </w:rPr>
              <w:t>项目</w:t>
            </w:r>
          </w:p>
          <w:p>
            <w:pPr>
              <w:pStyle w:val="28"/>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ascii="Times New Roman" w:hAnsi="Times New Roman" w:eastAsia="宋体" w:cs="Times New Roman"/>
                <w:b/>
                <w:color w:val="auto"/>
                <w:kern w:val="2"/>
                <w:sz w:val="24"/>
                <w:szCs w:val="24"/>
              </w:rPr>
            </w:pPr>
          </w:p>
          <w:p>
            <w:pPr>
              <w:pStyle w:val="28"/>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ascii="Times New Roman" w:hAnsi="Times New Roman" w:eastAsia="宋体" w:cs="Times New Roman"/>
                <w:b/>
                <w:color w:val="auto"/>
                <w:kern w:val="2"/>
                <w:sz w:val="24"/>
                <w:szCs w:val="24"/>
              </w:rPr>
            </w:pPr>
          </w:p>
          <w:p>
            <w:pPr>
              <w:pStyle w:val="28"/>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left"/>
              <w:rPr>
                <w:rFonts w:ascii="Times New Roman" w:hAnsi="Times New Roman" w:eastAsia="宋体" w:cs="Times New Roman"/>
                <w:b/>
                <w:color w:val="auto"/>
                <w:kern w:val="2"/>
                <w:sz w:val="24"/>
                <w:szCs w:val="24"/>
              </w:rPr>
            </w:pPr>
            <w:r>
              <w:rPr>
                <w:rFonts w:ascii="Times New Roman" w:eastAsia="宋体" w:cs="Times New Roman"/>
                <w:b/>
                <w:color w:val="auto"/>
                <w:kern w:val="2"/>
                <w:sz w:val="24"/>
                <w:szCs w:val="24"/>
              </w:rPr>
              <w:t>分类</w:t>
            </w:r>
          </w:p>
        </w:tc>
        <w:tc>
          <w:tcPr>
            <w:tcW w:w="2216" w:type="dxa"/>
            <w:tcBorders>
              <w:tl2br w:val="nil"/>
              <w:tr2bl w:val="nil"/>
            </w:tcBorders>
            <w:noWrap/>
            <w:tcMar>
              <w:left w:w="28" w:type="dxa"/>
              <w:right w:w="28" w:type="dxa"/>
            </w:tcMar>
            <w:vAlign w:val="center"/>
          </w:tcPr>
          <w:p>
            <w:pPr>
              <w:pStyle w:val="28"/>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ascii="Times New Roman" w:hAnsi="Times New Roman" w:eastAsia="宋体" w:cs="Times New Roman"/>
                <w:b/>
                <w:color w:val="auto"/>
                <w:kern w:val="2"/>
                <w:sz w:val="24"/>
                <w:szCs w:val="24"/>
              </w:rPr>
            </w:pPr>
            <w:r>
              <w:rPr>
                <w:rFonts w:ascii="Times New Roman" w:eastAsia="宋体" w:cs="Times New Roman"/>
                <w:b/>
                <w:color w:val="auto"/>
                <w:kern w:val="2"/>
                <w:sz w:val="24"/>
                <w:szCs w:val="24"/>
              </w:rPr>
              <w:t>污染物名称</w:t>
            </w:r>
          </w:p>
        </w:tc>
        <w:tc>
          <w:tcPr>
            <w:tcW w:w="1290" w:type="dxa"/>
            <w:tcBorders>
              <w:tl2br w:val="nil"/>
              <w:tr2bl w:val="nil"/>
            </w:tcBorders>
            <w:noWrap/>
            <w:tcMar>
              <w:left w:w="28" w:type="dxa"/>
              <w:right w:w="28" w:type="dxa"/>
            </w:tcMar>
            <w:vAlign w:val="center"/>
          </w:tcPr>
          <w:p>
            <w:pPr>
              <w:pStyle w:val="28"/>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ascii="Times New Roman" w:hAnsi="Times New Roman" w:eastAsia="宋体" w:cs="Times New Roman"/>
                <w:b/>
                <w:color w:val="auto"/>
                <w:kern w:val="2"/>
                <w:sz w:val="24"/>
                <w:szCs w:val="24"/>
                <w:highlight w:val="none"/>
              </w:rPr>
            </w:pPr>
            <w:r>
              <w:rPr>
                <w:rFonts w:ascii="Times New Roman" w:eastAsia="宋体" w:cs="Times New Roman"/>
                <w:b/>
                <w:color w:val="auto"/>
                <w:kern w:val="2"/>
                <w:sz w:val="24"/>
                <w:szCs w:val="24"/>
                <w:highlight w:val="none"/>
              </w:rPr>
              <w:t>现有工程</w:t>
            </w:r>
          </w:p>
          <w:p>
            <w:pPr>
              <w:pStyle w:val="28"/>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ascii="Times New Roman" w:hAnsi="Times New Roman" w:eastAsia="宋体" w:cs="Times New Roman"/>
                <w:b/>
                <w:color w:val="auto"/>
                <w:kern w:val="2"/>
                <w:sz w:val="24"/>
                <w:szCs w:val="24"/>
                <w:highlight w:val="none"/>
              </w:rPr>
            </w:pPr>
            <w:r>
              <w:rPr>
                <w:rFonts w:ascii="Times New Roman" w:eastAsia="宋体" w:cs="Times New Roman"/>
                <w:b/>
                <w:color w:val="auto"/>
                <w:kern w:val="2"/>
                <w:sz w:val="24"/>
                <w:szCs w:val="24"/>
                <w:highlight w:val="none"/>
              </w:rPr>
              <w:t>排放量（固体废物产生量）</w:t>
            </w:r>
            <w:r>
              <w:rPr>
                <w:rFonts w:ascii="Times New Roman" w:hAnsi="Times New Roman" w:eastAsia="宋体" w:cs="Times New Roman"/>
                <w:b/>
                <w:color w:val="auto"/>
                <w:kern w:val="2"/>
                <w:sz w:val="24"/>
                <w:szCs w:val="24"/>
                <w:highlight w:val="none"/>
              </w:rPr>
              <w:fldChar w:fldCharType="begin"/>
            </w:r>
            <w:r>
              <w:rPr>
                <w:rFonts w:ascii="Times New Roman" w:hAnsi="Times New Roman" w:eastAsia="宋体" w:cs="Times New Roman"/>
                <w:b/>
                <w:color w:val="auto"/>
                <w:kern w:val="2"/>
                <w:sz w:val="24"/>
                <w:szCs w:val="24"/>
                <w:highlight w:val="none"/>
              </w:rPr>
              <w:instrText xml:space="preserve"> = 1 \* GB3 \* MERGEFORMAT </w:instrText>
            </w:r>
            <w:r>
              <w:rPr>
                <w:rFonts w:ascii="Times New Roman" w:hAnsi="Times New Roman" w:eastAsia="宋体" w:cs="Times New Roman"/>
                <w:b/>
                <w:color w:val="auto"/>
                <w:kern w:val="2"/>
                <w:sz w:val="24"/>
                <w:szCs w:val="24"/>
                <w:highlight w:val="none"/>
              </w:rPr>
              <w:fldChar w:fldCharType="separate"/>
            </w:r>
            <w:r>
              <w:rPr>
                <w:rFonts w:ascii="宋体" w:eastAsia="宋体" w:cs="Times New Roman"/>
                <w:b/>
                <w:color w:val="auto"/>
                <w:kern w:val="2"/>
                <w:sz w:val="24"/>
                <w:szCs w:val="24"/>
                <w:highlight w:val="none"/>
              </w:rPr>
              <w:t>①</w:t>
            </w:r>
            <w:r>
              <w:rPr>
                <w:rFonts w:ascii="Times New Roman" w:hAnsi="Times New Roman" w:eastAsia="宋体" w:cs="Times New Roman"/>
                <w:b/>
                <w:color w:val="auto"/>
                <w:kern w:val="2"/>
                <w:sz w:val="24"/>
                <w:szCs w:val="24"/>
                <w:highlight w:val="none"/>
              </w:rPr>
              <w:fldChar w:fldCharType="end"/>
            </w:r>
          </w:p>
        </w:tc>
        <w:tc>
          <w:tcPr>
            <w:tcW w:w="1320" w:type="dxa"/>
            <w:tcBorders>
              <w:tl2br w:val="nil"/>
              <w:tr2bl w:val="nil"/>
            </w:tcBorders>
            <w:noWrap/>
            <w:tcMar>
              <w:left w:w="28" w:type="dxa"/>
              <w:right w:w="28" w:type="dxa"/>
            </w:tcMar>
            <w:vAlign w:val="center"/>
          </w:tcPr>
          <w:p>
            <w:pPr>
              <w:pStyle w:val="28"/>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ascii="Times New Roman" w:hAnsi="Times New Roman" w:eastAsia="宋体" w:cs="Times New Roman"/>
                <w:b/>
                <w:color w:val="auto"/>
                <w:kern w:val="2"/>
                <w:sz w:val="24"/>
                <w:szCs w:val="24"/>
                <w:highlight w:val="none"/>
              </w:rPr>
            </w:pPr>
            <w:r>
              <w:rPr>
                <w:rFonts w:ascii="Times New Roman" w:eastAsia="宋体" w:cs="Times New Roman"/>
                <w:b/>
                <w:color w:val="auto"/>
                <w:kern w:val="2"/>
                <w:sz w:val="24"/>
                <w:szCs w:val="24"/>
                <w:highlight w:val="none"/>
              </w:rPr>
              <w:t>现有工程</w:t>
            </w:r>
          </w:p>
          <w:p>
            <w:pPr>
              <w:pStyle w:val="28"/>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ascii="Times New Roman" w:hAnsi="Times New Roman" w:eastAsia="宋体" w:cs="Times New Roman"/>
                <w:b/>
                <w:color w:val="auto"/>
                <w:kern w:val="2"/>
                <w:sz w:val="24"/>
                <w:szCs w:val="24"/>
                <w:highlight w:val="none"/>
              </w:rPr>
            </w:pPr>
            <w:r>
              <w:rPr>
                <w:rFonts w:ascii="Times New Roman" w:eastAsia="宋体" w:cs="Times New Roman"/>
                <w:b/>
                <w:color w:val="auto"/>
                <w:kern w:val="2"/>
                <w:sz w:val="24"/>
                <w:szCs w:val="24"/>
                <w:highlight w:val="none"/>
              </w:rPr>
              <w:t>许可排放量</w:t>
            </w:r>
            <w:r>
              <w:rPr>
                <w:rFonts w:ascii="Times New Roman" w:hAnsi="Times New Roman" w:eastAsia="宋体" w:cs="Times New Roman"/>
                <w:b/>
                <w:color w:val="auto"/>
                <w:kern w:val="2"/>
                <w:sz w:val="24"/>
                <w:szCs w:val="24"/>
                <w:highlight w:val="none"/>
              </w:rPr>
              <w:fldChar w:fldCharType="begin"/>
            </w:r>
            <w:r>
              <w:rPr>
                <w:rFonts w:ascii="Times New Roman" w:hAnsi="Times New Roman" w:eastAsia="宋体" w:cs="Times New Roman"/>
                <w:b/>
                <w:color w:val="auto"/>
                <w:kern w:val="2"/>
                <w:sz w:val="24"/>
                <w:szCs w:val="24"/>
                <w:highlight w:val="none"/>
              </w:rPr>
              <w:instrText xml:space="preserve"> = 2 \* GB3 \* MERGEFORMAT </w:instrText>
            </w:r>
            <w:r>
              <w:rPr>
                <w:rFonts w:ascii="Times New Roman" w:hAnsi="Times New Roman" w:eastAsia="宋体" w:cs="Times New Roman"/>
                <w:b/>
                <w:color w:val="auto"/>
                <w:kern w:val="2"/>
                <w:sz w:val="24"/>
                <w:szCs w:val="24"/>
                <w:highlight w:val="none"/>
              </w:rPr>
              <w:fldChar w:fldCharType="separate"/>
            </w:r>
            <w:r>
              <w:rPr>
                <w:rFonts w:ascii="宋体" w:eastAsia="宋体" w:cs="Times New Roman"/>
                <w:b/>
                <w:color w:val="auto"/>
                <w:kern w:val="2"/>
                <w:sz w:val="24"/>
                <w:szCs w:val="24"/>
                <w:highlight w:val="none"/>
              </w:rPr>
              <w:t>②</w:t>
            </w:r>
            <w:r>
              <w:rPr>
                <w:rFonts w:ascii="Times New Roman" w:hAnsi="Times New Roman" w:eastAsia="宋体" w:cs="Times New Roman"/>
                <w:b/>
                <w:color w:val="auto"/>
                <w:kern w:val="2"/>
                <w:sz w:val="24"/>
                <w:szCs w:val="24"/>
                <w:highlight w:val="none"/>
              </w:rPr>
              <w:fldChar w:fldCharType="end"/>
            </w:r>
          </w:p>
        </w:tc>
        <w:tc>
          <w:tcPr>
            <w:tcW w:w="1508" w:type="dxa"/>
            <w:tcBorders>
              <w:tl2br w:val="nil"/>
              <w:tr2bl w:val="nil"/>
            </w:tcBorders>
            <w:noWrap/>
            <w:tcMar>
              <w:left w:w="28" w:type="dxa"/>
              <w:right w:w="28" w:type="dxa"/>
            </w:tcMar>
            <w:vAlign w:val="center"/>
          </w:tcPr>
          <w:p>
            <w:pPr>
              <w:pStyle w:val="28"/>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ascii="Times New Roman" w:hAnsi="Times New Roman" w:eastAsia="宋体" w:cs="Times New Roman"/>
                <w:b/>
                <w:color w:val="auto"/>
                <w:kern w:val="2"/>
                <w:sz w:val="24"/>
                <w:szCs w:val="24"/>
                <w:highlight w:val="none"/>
              </w:rPr>
            </w:pPr>
            <w:r>
              <w:rPr>
                <w:rFonts w:ascii="Times New Roman" w:eastAsia="宋体" w:cs="Times New Roman"/>
                <w:b/>
                <w:color w:val="auto"/>
                <w:kern w:val="2"/>
                <w:sz w:val="24"/>
                <w:szCs w:val="24"/>
                <w:highlight w:val="none"/>
              </w:rPr>
              <w:t>在建工程</w:t>
            </w:r>
          </w:p>
          <w:p>
            <w:pPr>
              <w:pStyle w:val="28"/>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ascii="Times New Roman" w:hAnsi="Times New Roman" w:eastAsia="宋体" w:cs="Times New Roman"/>
                <w:b/>
                <w:color w:val="auto"/>
                <w:kern w:val="2"/>
                <w:sz w:val="24"/>
                <w:szCs w:val="24"/>
                <w:highlight w:val="none"/>
              </w:rPr>
            </w:pPr>
            <w:r>
              <w:rPr>
                <w:rFonts w:ascii="Times New Roman" w:eastAsia="宋体" w:cs="Times New Roman"/>
                <w:b/>
                <w:color w:val="auto"/>
                <w:kern w:val="2"/>
                <w:sz w:val="24"/>
                <w:szCs w:val="24"/>
                <w:highlight w:val="none"/>
              </w:rPr>
              <w:t>排放量（固体废物产生量）</w:t>
            </w:r>
            <w:r>
              <w:rPr>
                <w:rFonts w:ascii="Times New Roman" w:hAnsi="Times New Roman" w:eastAsia="宋体" w:cs="Times New Roman"/>
                <w:b/>
                <w:color w:val="auto"/>
                <w:kern w:val="2"/>
                <w:sz w:val="24"/>
                <w:szCs w:val="24"/>
                <w:highlight w:val="none"/>
              </w:rPr>
              <w:fldChar w:fldCharType="begin"/>
            </w:r>
            <w:r>
              <w:rPr>
                <w:rFonts w:ascii="Times New Roman" w:hAnsi="Times New Roman" w:eastAsia="宋体" w:cs="Times New Roman"/>
                <w:b/>
                <w:color w:val="auto"/>
                <w:kern w:val="2"/>
                <w:sz w:val="24"/>
                <w:szCs w:val="24"/>
                <w:highlight w:val="none"/>
              </w:rPr>
              <w:instrText xml:space="preserve"> = 3 \* GB3 \* MERGEFORMAT </w:instrText>
            </w:r>
            <w:r>
              <w:rPr>
                <w:rFonts w:ascii="Times New Roman" w:hAnsi="Times New Roman" w:eastAsia="宋体" w:cs="Times New Roman"/>
                <w:b/>
                <w:color w:val="auto"/>
                <w:kern w:val="2"/>
                <w:sz w:val="24"/>
                <w:szCs w:val="24"/>
                <w:highlight w:val="none"/>
              </w:rPr>
              <w:fldChar w:fldCharType="separate"/>
            </w:r>
            <w:r>
              <w:rPr>
                <w:rFonts w:ascii="宋体" w:eastAsia="宋体" w:cs="Times New Roman"/>
                <w:b/>
                <w:color w:val="auto"/>
                <w:kern w:val="2"/>
                <w:sz w:val="24"/>
                <w:szCs w:val="24"/>
                <w:highlight w:val="none"/>
              </w:rPr>
              <w:t>③</w:t>
            </w:r>
            <w:r>
              <w:rPr>
                <w:rFonts w:ascii="Times New Roman" w:hAnsi="Times New Roman" w:eastAsia="宋体" w:cs="Times New Roman"/>
                <w:b/>
                <w:color w:val="auto"/>
                <w:kern w:val="2"/>
                <w:sz w:val="24"/>
                <w:szCs w:val="24"/>
                <w:highlight w:val="none"/>
              </w:rPr>
              <w:fldChar w:fldCharType="end"/>
            </w:r>
          </w:p>
        </w:tc>
        <w:tc>
          <w:tcPr>
            <w:tcW w:w="2127" w:type="dxa"/>
            <w:tcBorders>
              <w:tl2br w:val="nil"/>
              <w:tr2bl w:val="nil"/>
            </w:tcBorders>
            <w:noWrap/>
            <w:tcMar>
              <w:left w:w="28" w:type="dxa"/>
              <w:right w:w="28" w:type="dxa"/>
            </w:tcMar>
            <w:vAlign w:val="center"/>
          </w:tcPr>
          <w:p>
            <w:pPr>
              <w:pStyle w:val="28"/>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ascii="Times New Roman" w:hAnsi="Times New Roman" w:eastAsia="宋体" w:cs="Times New Roman"/>
                <w:b/>
                <w:color w:val="auto"/>
                <w:kern w:val="2"/>
                <w:sz w:val="24"/>
                <w:szCs w:val="24"/>
                <w:highlight w:val="none"/>
              </w:rPr>
            </w:pPr>
            <w:r>
              <w:rPr>
                <w:rFonts w:ascii="Times New Roman" w:eastAsia="宋体" w:cs="Times New Roman"/>
                <w:b/>
                <w:color w:val="auto"/>
                <w:kern w:val="2"/>
                <w:sz w:val="24"/>
                <w:szCs w:val="24"/>
                <w:highlight w:val="none"/>
              </w:rPr>
              <w:t>本项目</w:t>
            </w:r>
          </w:p>
          <w:p>
            <w:pPr>
              <w:pStyle w:val="28"/>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ascii="Times New Roman" w:hAnsi="Times New Roman" w:eastAsia="宋体" w:cs="Times New Roman"/>
                <w:b/>
                <w:color w:val="auto"/>
                <w:kern w:val="2"/>
                <w:sz w:val="24"/>
                <w:szCs w:val="24"/>
                <w:highlight w:val="none"/>
              </w:rPr>
            </w:pPr>
            <w:r>
              <w:rPr>
                <w:rFonts w:ascii="Times New Roman" w:eastAsia="宋体" w:cs="Times New Roman"/>
                <w:b/>
                <w:color w:val="auto"/>
                <w:kern w:val="2"/>
                <w:sz w:val="24"/>
                <w:szCs w:val="24"/>
                <w:highlight w:val="none"/>
              </w:rPr>
              <w:t>排放量（固体废物产生量）</w:t>
            </w:r>
            <w:r>
              <w:rPr>
                <w:rFonts w:ascii="Times New Roman" w:hAnsi="Times New Roman" w:eastAsia="宋体" w:cs="Times New Roman"/>
                <w:b/>
                <w:color w:val="auto"/>
                <w:kern w:val="2"/>
                <w:sz w:val="24"/>
                <w:szCs w:val="24"/>
                <w:highlight w:val="none"/>
              </w:rPr>
              <w:fldChar w:fldCharType="begin"/>
            </w:r>
            <w:r>
              <w:rPr>
                <w:rFonts w:ascii="Times New Roman" w:hAnsi="Times New Roman" w:eastAsia="宋体" w:cs="Times New Roman"/>
                <w:b/>
                <w:color w:val="auto"/>
                <w:kern w:val="2"/>
                <w:sz w:val="24"/>
                <w:szCs w:val="24"/>
                <w:highlight w:val="none"/>
              </w:rPr>
              <w:instrText xml:space="preserve"> = 4 \* GB3 \* MERGEFORMAT </w:instrText>
            </w:r>
            <w:r>
              <w:rPr>
                <w:rFonts w:ascii="Times New Roman" w:hAnsi="Times New Roman" w:eastAsia="宋体" w:cs="Times New Roman"/>
                <w:b/>
                <w:color w:val="auto"/>
                <w:kern w:val="2"/>
                <w:sz w:val="24"/>
                <w:szCs w:val="24"/>
                <w:highlight w:val="none"/>
              </w:rPr>
              <w:fldChar w:fldCharType="separate"/>
            </w:r>
            <w:r>
              <w:rPr>
                <w:rFonts w:ascii="宋体" w:eastAsia="宋体" w:cs="Times New Roman"/>
                <w:b/>
                <w:color w:val="auto"/>
                <w:kern w:val="2"/>
                <w:sz w:val="24"/>
                <w:szCs w:val="24"/>
                <w:highlight w:val="none"/>
              </w:rPr>
              <w:t>④</w:t>
            </w:r>
            <w:r>
              <w:rPr>
                <w:rFonts w:ascii="Times New Roman" w:hAnsi="Times New Roman" w:eastAsia="宋体" w:cs="Times New Roman"/>
                <w:b/>
                <w:color w:val="auto"/>
                <w:kern w:val="2"/>
                <w:sz w:val="24"/>
                <w:szCs w:val="24"/>
                <w:highlight w:val="none"/>
              </w:rPr>
              <w:fldChar w:fldCharType="end"/>
            </w:r>
          </w:p>
        </w:tc>
        <w:tc>
          <w:tcPr>
            <w:tcW w:w="1701" w:type="dxa"/>
            <w:tcBorders>
              <w:tl2br w:val="nil"/>
              <w:tr2bl w:val="nil"/>
            </w:tcBorders>
            <w:noWrap/>
            <w:tcMar>
              <w:left w:w="28" w:type="dxa"/>
              <w:right w:w="28" w:type="dxa"/>
            </w:tcMar>
            <w:vAlign w:val="center"/>
          </w:tcPr>
          <w:p>
            <w:pPr>
              <w:pStyle w:val="28"/>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ascii="Times New Roman" w:hAnsi="Times New Roman" w:eastAsia="宋体" w:cs="Times New Roman"/>
                <w:b/>
                <w:color w:val="auto"/>
                <w:kern w:val="2"/>
                <w:sz w:val="24"/>
                <w:szCs w:val="24"/>
                <w:highlight w:val="none"/>
              </w:rPr>
            </w:pPr>
            <w:r>
              <w:rPr>
                <w:rFonts w:ascii="Times New Roman" w:eastAsia="宋体" w:cs="Times New Roman"/>
                <w:b/>
                <w:color w:val="auto"/>
                <w:kern w:val="2"/>
                <w:sz w:val="24"/>
                <w:szCs w:val="24"/>
                <w:highlight w:val="none"/>
              </w:rPr>
              <w:t>以新带老削减量（新建项目不填）</w:t>
            </w:r>
            <w:r>
              <w:rPr>
                <w:rFonts w:ascii="Times New Roman" w:hAnsi="Times New Roman" w:eastAsia="宋体" w:cs="Times New Roman"/>
                <w:b/>
                <w:color w:val="auto"/>
                <w:kern w:val="2"/>
                <w:sz w:val="24"/>
                <w:szCs w:val="24"/>
                <w:highlight w:val="none"/>
              </w:rPr>
              <w:fldChar w:fldCharType="begin"/>
            </w:r>
            <w:r>
              <w:rPr>
                <w:rFonts w:ascii="Times New Roman" w:hAnsi="Times New Roman" w:eastAsia="宋体" w:cs="Times New Roman"/>
                <w:b/>
                <w:color w:val="auto"/>
                <w:kern w:val="2"/>
                <w:sz w:val="24"/>
                <w:szCs w:val="24"/>
                <w:highlight w:val="none"/>
              </w:rPr>
              <w:instrText xml:space="preserve"> = 5 \* GB3 \* MERGEFORMAT </w:instrText>
            </w:r>
            <w:r>
              <w:rPr>
                <w:rFonts w:ascii="Times New Roman" w:hAnsi="Times New Roman" w:eastAsia="宋体" w:cs="Times New Roman"/>
                <w:b/>
                <w:color w:val="auto"/>
                <w:kern w:val="2"/>
                <w:sz w:val="24"/>
                <w:szCs w:val="24"/>
                <w:highlight w:val="none"/>
              </w:rPr>
              <w:fldChar w:fldCharType="separate"/>
            </w:r>
            <w:r>
              <w:rPr>
                <w:rFonts w:ascii="宋体" w:eastAsia="宋体" w:cs="Times New Roman"/>
                <w:b/>
                <w:color w:val="auto"/>
                <w:kern w:val="2"/>
                <w:sz w:val="24"/>
                <w:szCs w:val="24"/>
                <w:highlight w:val="none"/>
              </w:rPr>
              <w:t>⑤</w:t>
            </w:r>
            <w:r>
              <w:rPr>
                <w:rFonts w:ascii="Times New Roman" w:hAnsi="Times New Roman" w:eastAsia="宋体" w:cs="Times New Roman"/>
                <w:b/>
                <w:color w:val="auto"/>
                <w:kern w:val="2"/>
                <w:sz w:val="24"/>
                <w:szCs w:val="24"/>
                <w:highlight w:val="none"/>
              </w:rPr>
              <w:fldChar w:fldCharType="end"/>
            </w:r>
          </w:p>
        </w:tc>
        <w:tc>
          <w:tcPr>
            <w:tcW w:w="1701" w:type="dxa"/>
            <w:tcBorders>
              <w:tl2br w:val="nil"/>
              <w:tr2bl w:val="nil"/>
            </w:tcBorders>
            <w:noWrap/>
            <w:tcMar>
              <w:left w:w="28" w:type="dxa"/>
              <w:right w:w="28" w:type="dxa"/>
            </w:tcMar>
            <w:vAlign w:val="center"/>
          </w:tcPr>
          <w:p>
            <w:pPr>
              <w:pStyle w:val="28"/>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ascii="Times New Roman" w:hAnsi="Times New Roman" w:eastAsia="宋体" w:cs="Times New Roman"/>
                <w:b/>
                <w:color w:val="auto"/>
                <w:kern w:val="2"/>
                <w:sz w:val="24"/>
                <w:szCs w:val="24"/>
                <w:highlight w:val="none"/>
              </w:rPr>
            </w:pPr>
            <w:r>
              <w:rPr>
                <w:rFonts w:ascii="Times New Roman" w:eastAsia="宋体" w:cs="Times New Roman"/>
                <w:b/>
                <w:color w:val="auto"/>
                <w:kern w:val="2"/>
                <w:sz w:val="24"/>
                <w:szCs w:val="24"/>
                <w:highlight w:val="none"/>
              </w:rPr>
              <w:t>本项目建成后</w:t>
            </w:r>
          </w:p>
          <w:p>
            <w:pPr>
              <w:pStyle w:val="28"/>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ascii="Times New Roman" w:hAnsi="Times New Roman" w:eastAsia="宋体" w:cs="Times New Roman"/>
                <w:b/>
                <w:color w:val="auto"/>
                <w:kern w:val="2"/>
                <w:sz w:val="24"/>
                <w:szCs w:val="24"/>
                <w:highlight w:val="none"/>
              </w:rPr>
            </w:pPr>
            <w:r>
              <w:rPr>
                <w:rFonts w:ascii="Times New Roman" w:eastAsia="宋体" w:cs="Times New Roman"/>
                <w:b/>
                <w:color w:val="auto"/>
                <w:kern w:val="2"/>
                <w:sz w:val="24"/>
                <w:szCs w:val="24"/>
                <w:highlight w:val="none"/>
              </w:rPr>
              <w:t>全厂排放量（固体废物产生量）</w:t>
            </w:r>
            <w:r>
              <w:rPr>
                <w:rFonts w:ascii="Times New Roman" w:hAnsi="Times New Roman" w:eastAsia="宋体" w:cs="Times New Roman"/>
                <w:b/>
                <w:color w:val="auto"/>
                <w:kern w:val="2"/>
                <w:sz w:val="24"/>
                <w:szCs w:val="24"/>
                <w:highlight w:val="none"/>
              </w:rPr>
              <w:fldChar w:fldCharType="begin"/>
            </w:r>
            <w:r>
              <w:rPr>
                <w:rFonts w:ascii="Times New Roman" w:hAnsi="Times New Roman" w:eastAsia="宋体" w:cs="Times New Roman"/>
                <w:b/>
                <w:color w:val="auto"/>
                <w:kern w:val="2"/>
                <w:sz w:val="24"/>
                <w:szCs w:val="24"/>
                <w:highlight w:val="none"/>
              </w:rPr>
              <w:instrText xml:space="preserve"> = 6 \* GB3 \* MERGEFORMAT </w:instrText>
            </w:r>
            <w:r>
              <w:rPr>
                <w:rFonts w:ascii="Times New Roman" w:hAnsi="Times New Roman" w:eastAsia="宋体" w:cs="Times New Roman"/>
                <w:b/>
                <w:color w:val="auto"/>
                <w:kern w:val="2"/>
                <w:sz w:val="24"/>
                <w:szCs w:val="24"/>
                <w:highlight w:val="none"/>
              </w:rPr>
              <w:fldChar w:fldCharType="separate"/>
            </w:r>
            <w:r>
              <w:rPr>
                <w:rFonts w:ascii="宋体" w:eastAsia="宋体" w:cs="Times New Roman"/>
                <w:b/>
                <w:color w:val="auto"/>
                <w:kern w:val="2"/>
                <w:sz w:val="24"/>
                <w:szCs w:val="24"/>
                <w:highlight w:val="none"/>
              </w:rPr>
              <w:t>⑥</w:t>
            </w:r>
            <w:r>
              <w:rPr>
                <w:rFonts w:ascii="Times New Roman" w:hAnsi="Times New Roman" w:eastAsia="宋体" w:cs="Times New Roman"/>
                <w:b/>
                <w:color w:val="auto"/>
                <w:kern w:val="2"/>
                <w:sz w:val="24"/>
                <w:szCs w:val="24"/>
                <w:highlight w:val="none"/>
              </w:rPr>
              <w:fldChar w:fldCharType="end"/>
            </w:r>
          </w:p>
        </w:tc>
        <w:tc>
          <w:tcPr>
            <w:tcW w:w="1132" w:type="dxa"/>
            <w:tcBorders>
              <w:tl2br w:val="nil"/>
              <w:tr2bl w:val="nil"/>
            </w:tcBorders>
            <w:noWrap/>
            <w:tcMar>
              <w:left w:w="28" w:type="dxa"/>
              <w:right w:w="28" w:type="dxa"/>
            </w:tcMar>
            <w:vAlign w:val="center"/>
          </w:tcPr>
          <w:p>
            <w:pPr>
              <w:pStyle w:val="28"/>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ascii="Times New Roman" w:hAnsi="Times New Roman" w:eastAsia="宋体" w:cs="Times New Roman"/>
                <w:b/>
                <w:color w:val="auto"/>
                <w:kern w:val="2"/>
                <w:sz w:val="24"/>
                <w:szCs w:val="24"/>
              </w:rPr>
            </w:pPr>
            <w:r>
              <w:rPr>
                <w:rFonts w:ascii="Times New Roman" w:eastAsia="宋体" w:cs="Times New Roman"/>
                <w:b/>
                <w:color w:val="auto"/>
                <w:kern w:val="2"/>
                <w:sz w:val="24"/>
                <w:szCs w:val="24"/>
              </w:rPr>
              <w:t>变化量</w:t>
            </w:r>
            <w:r>
              <w:rPr>
                <w:rFonts w:ascii="Times New Roman" w:hAnsi="Times New Roman" w:eastAsia="宋体" w:cs="Times New Roman"/>
                <w:b/>
                <w:color w:val="auto"/>
                <w:kern w:val="2"/>
                <w:sz w:val="24"/>
                <w:szCs w:val="24"/>
              </w:rPr>
              <w:fldChar w:fldCharType="begin"/>
            </w:r>
            <w:r>
              <w:rPr>
                <w:rFonts w:ascii="Times New Roman" w:hAnsi="Times New Roman" w:eastAsia="宋体" w:cs="Times New Roman"/>
                <w:b/>
                <w:color w:val="auto"/>
                <w:kern w:val="2"/>
                <w:sz w:val="24"/>
                <w:szCs w:val="24"/>
              </w:rPr>
              <w:instrText xml:space="preserve"> = 7 \* GB3 \* MERGEFORMAT </w:instrText>
            </w:r>
            <w:r>
              <w:rPr>
                <w:rFonts w:ascii="Times New Roman" w:hAnsi="Times New Roman" w:eastAsia="宋体" w:cs="Times New Roman"/>
                <w:b/>
                <w:color w:val="auto"/>
                <w:kern w:val="2"/>
                <w:sz w:val="24"/>
                <w:szCs w:val="24"/>
              </w:rPr>
              <w:fldChar w:fldCharType="separate"/>
            </w:r>
            <w:r>
              <w:rPr>
                <w:rFonts w:ascii="宋体" w:eastAsia="宋体" w:cs="Times New Roman"/>
                <w:b/>
                <w:color w:val="auto"/>
                <w:kern w:val="2"/>
                <w:sz w:val="24"/>
                <w:szCs w:val="24"/>
              </w:rPr>
              <w:t>⑦</w:t>
            </w:r>
            <w:r>
              <w:rPr>
                <w:rFonts w:ascii="Times New Roman" w:hAnsi="Times New Roman" w:eastAsia="宋体" w:cs="Times New Roman"/>
                <w:b/>
                <w:color w:val="auto"/>
                <w:kern w:val="2"/>
                <w:sz w:val="24"/>
                <w:szCs w:val="24"/>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1065" w:type="dxa"/>
            <w:tcBorders>
              <w:tl2br w:val="nil"/>
              <w:tr2bl w:val="nil"/>
            </w:tcBorders>
            <w:noWrap/>
            <w:tcMar>
              <w:left w:w="28" w:type="dxa"/>
              <w:right w:w="28" w:type="dxa"/>
            </w:tcMar>
            <w:vAlign w:val="center"/>
          </w:tcPr>
          <w:p>
            <w:pPr>
              <w:pStyle w:val="28"/>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ascii="Times New Roman" w:hAnsi="Times New Roman" w:eastAsia="宋体" w:cs="Times New Roman"/>
                <w:b/>
                <w:color w:val="auto"/>
                <w:kern w:val="2"/>
                <w:sz w:val="24"/>
                <w:szCs w:val="24"/>
              </w:rPr>
            </w:pPr>
            <w:bookmarkStart w:id="264" w:name="OLE_LINK217" w:colFirst="2" w:colLast="4"/>
            <w:r>
              <w:rPr>
                <w:rFonts w:ascii="Times New Roman" w:eastAsia="宋体" w:cs="Times New Roman"/>
                <w:b/>
                <w:color w:val="auto"/>
                <w:kern w:val="2"/>
                <w:sz w:val="24"/>
                <w:szCs w:val="24"/>
              </w:rPr>
              <w:t>废气</w:t>
            </w:r>
          </w:p>
        </w:tc>
        <w:tc>
          <w:tcPr>
            <w:tcW w:w="2216" w:type="dxa"/>
            <w:tcBorders>
              <w:tl2br w:val="nil"/>
              <w:tr2bl w:val="nil"/>
            </w:tcBorders>
            <w:noWrap/>
            <w:tcMar>
              <w:left w:w="28" w:type="dxa"/>
              <w:right w:w="28" w:type="dxa"/>
            </w:tcMar>
            <w:vAlign w:val="center"/>
          </w:tcPr>
          <w:p>
            <w:pPr>
              <w:pStyle w:val="28"/>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imes New Roman" w:eastAsia="宋体" w:cs="Times New Roman"/>
                <w:b w:val="0"/>
                <w:bCs/>
                <w:color w:val="auto"/>
                <w:kern w:val="2"/>
                <w:sz w:val="24"/>
                <w:szCs w:val="24"/>
                <w:highlight w:val="none"/>
                <w:lang w:val="en-US" w:eastAsia="zh-CN"/>
              </w:rPr>
            </w:pPr>
            <w:r>
              <w:rPr>
                <w:rFonts w:hint="eastAsia" w:cs="Times New Roman"/>
                <w:b w:val="0"/>
                <w:bCs/>
                <w:color w:val="auto"/>
                <w:kern w:val="2"/>
                <w:sz w:val="24"/>
                <w:szCs w:val="24"/>
                <w:highlight w:val="none"/>
                <w:lang w:val="en-US" w:eastAsia="zh-CN"/>
              </w:rPr>
              <w:t>硫酸雾</w:t>
            </w:r>
          </w:p>
        </w:tc>
        <w:tc>
          <w:tcPr>
            <w:tcW w:w="1290" w:type="dxa"/>
            <w:tcBorders>
              <w:tl2br w:val="nil"/>
              <w:tr2bl w:val="nil"/>
            </w:tcBorders>
            <w:noWrap/>
            <w:tcMar>
              <w:left w:w="28" w:type="dxa"/>
              <w:right w:w="28" w:type="dxa"/>
            </w:tcMar>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eastAsia="宋体" w:cs="Times New Roman"/>
                <w:b w:val="0"/>
                <w:bCs/>
                <w:color w:val="auto"/>
                <w:sz w:val="24"/>
                <w:szCs w:val="24"/>
                <w:highlight w:val="none"/>
                <w:lang w:eastAsia="zh-CN"/>
              </w:rPr>
            </w:pPr>
            <w:r>
              <w:rPr>
                <w:rFonts w:hint="eastAsia"/>
                <w:color w:val="auto"/>
                <w:sz w:val="24"/>
                <w:szCs w:val="24"/>
                <w:highlight w:val="none"/>
              </w:rPr>
              <w:t>/</w:t>
            </w:r>
          </w:p>
        </w:tc>
        <w:tc>
          <w:tcPr>
            <w:tcW w:w="1320" w:type="dxa"/>
            <w:tcBorders>
              <w:tl2br w:val="nil"/>
              <w:tr2bl w:val="nil"/>
            </w:tcBorders>
            <w:noWrap/>
            <w:tcMar>
              <w:left w:w="28" w:type="dxa"/>
              <w:right w:w="28" w:type="dxa"/>
            </w:tcMar>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ascii="Times New Roman" w:eastAsia="宋体" w:cs="Times New Roman"/>
                <w:b/>
                <w:color w:val="auto"/>
                <w:sz w:val="24"/>
                <w:szCs w:val="24"/>
                <w:highlight w:val="none"/>
              </w:rPr>
            </w:pPr>
            <w:r>
              <w:rPr>
                <w:rFonts w:hint="eastAsia"/>
                <w:color w:val="auto"/>
                <w:sz w:val="24"/>
                <w:szCs w:val="24"/>
                <w:highlight w:val="none"/>
              </w:rPr>
              <w:t>/</w:t>
            </w:r>
          </w:p>
        </w:tc>
        <w:tc>
          <w:tcPr>
            <w:tcW w:w="1508" w:type="dxa"/>
            <w:tcBorders>
              <w:tl2br w:val="nil"/>
              <w:tr2bl w:val="nil"/>
            </w:tcBorders>
            <w:noWrap/>
            <w:tcMar>
              <w:left w:w="28" w:type="dxa"/>
              <w:right w:w="28" w:type="dxa"/>
            </w:tcMar>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ascii="Times New Roman" w:eastAsia="宋体" w:cs="Times New Roman"/>
                <w:b/>
                <w:color w:val="auto"/>
                <w:sz w:val="24"/>
                <w:szCs w:val="24"/>
                <w:highlight w:val="none"/>
              </w:rPr>
            </w:pPr>
            <w:r>
              <w:rPr>
                <w:rFonts w:hint="eastAsia"/>
                <w:snapToGrid w:val="0"/>
                <w:color w:val="auto"/>
                <w:kern w:val="21"/>
                <w:sz w:val="24"/>
                <w:szCs w:val="24"/>
                <w:highlight w:val="none"/>
              </w:rPr>
              <w:t>/</w:t>
            </w:r>
          </w:p>
        </w:tc>
        <w:tc>
          <w:tcPr>
            <w:tcW w:w="2127" w:type="dxa"/>
            <w:tcBorders>
              <w:tl2br w:val="nil"/>
              <w:tr2bl w:val="nil"/>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eastAsia="宋体" w:cs="Times New Roman"/>
                <w:b/>
                <w:color w:val="auto"/>
                <w:sz w:val="24"/>
                <w:szCs w:val="24"/>
                <w:highlight w:val="none"/>
                <w:lang w:val="en-US"/>
              </w:rPr>
            </w:pPr>
            <w:r>
              <w:rPr>
                <w:rFonts w:hint="eastAsia" w:cs="Times New Roman"/>
                <w:color w:val="auto"/>
                <w:kern w:val="2"/>
                <w:sz w:val="24"/>
                <w:szCs w:val="24"/>
                <w:lang w:val="en-US" w:eastAsia="zh-CN"/>
              </w:rPr>
              <w:t>0.0117</w:t>
            </w:r>
          </w:p>
        </w:tc>
        <w:tc>
          <w:tcPr>
            <w:tcW w:w="1701" w:type="dxa"/>
            <w:tcBorders>
              <w:tl2br w:val="nil"/>
              <w:tr2bl w:val="nil"/>
            </w:tcBorders>
            <w:noWrap/>
            <w:tcMar>
              <w:left w:w="28" w:type="dxa"/>
              <w:right w:w="28" w:type="dxa"/>
            </w:tcMar>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ascii="Times New Roman" w:eastAsia="宋体" w:cs="Times New Roman"/>
                <w:b/>
                <w:color w:val="auto"/>
                <w:sz w:val="24"/>
                <w:szCs w:val="24"/>
                <w:highlight w:val="none"/>
              </w:rPr>
            </w:pPr>
            <w:r>
              <w:rPr>
                <w:rFonts w:hint="eastAsia"/>
                <w:color w:val="auto"/>
                <w:sz w:val="24"/>
                <w:szCs w:val="24"/>
                <w:highlight w:val="none"/>
              </w:rPr>
              <w:t>/</w:t>
            </w:r>
          </w:p>
        </w:tc>
        <w:tc>
          <w:tcPr>
            <w:tcW w:w="1701" w:type="dxa"/>
            <w:tcBorders>
              <w:tl2br w:val="nil"/>
              <w:tr2bl w:val="nil"/>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ascii="Times New Roman" w:eastAsia="宋体" w:cs="Times New Roman"/>
                <w:b/>
                <w:color w:val="auto"/>
                <w:sz w:val="24"/>
                <w:szCs w:val="24"/>
                <w:highlight w:val="none"/>
              </w:rPr>
            </w:pPr>
            <w:r>
              <w:rPr>
                <w:rFonts w:hint="eastAsia" w:cs="Times New Roman"/>
                <w:color w:val="auto"/>
                <w:kern w:val="2"/>
                <w:sz w:val="24"/>
                <w:szCs w:val="24"/>
                <w:lang w:val="en-US" w:eastAsia="zh-CN"/>
              </w:rPr>
              <w:t>0.0117</w:t>
            </w:r>
          </w:p>
        </w:tc>
        <w:tc>
          <w:tcPr>
            <w:tcW w:w="1132" w:type="dxa"/>
            <w:tcBorders>
              <w:tl2br w:val="nil"/>
              <w:tr2bl w:val="nil"/>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ascii="Times New Roman" w:eastAsia="宋体" w:cs="Times New Roman"/>
                <w:b/>
                <w:color w:val="auto"/>
                <w:sz w:val="24"/>
                <w:szCs w:val="24"/>
                <w:highlight w:val="none"/>
              </w:rPr>
            </w:pPr>
            <w:r>
              <w:rPr>
                <w:rFonts w:hint="eastAsia" w:cs="Times New Roman"/>
                <w:color w:val="auto"/>
                <w:kern w:val="2"/>
                <w:sz w:val="24"/>
                <w:szCs w:val="24"/>
                <w:lang w:val="en-US" w:eastAsia="zh-CN"/>
              </w:rPr>
              <w:t>+0.0117</w:t>
            </w:r>
          </w:p>
        </w:tc>
      </w:tr>
      <w:bookmarkEnd w:id="264"/>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1065" w:type="dxa"/>
            <w:vMerge w:val="restart"/>
            <w:tcBorders>
              <w:tl2br w:val="nil"/>
              <w:tr2bl w:val="nil"/>
            </w:tcBorders>
            <w:noWrap/>
            <w:vAlign w:val="center"/>
          </w:tcPr>
          <w:p>
            <w:pPr>
              <w:pStyle w:val="28"/>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imes New Roman" w:eastAsia="宋体" w:cs="Times New Roman"/>
                <w:b/>
                <w:color w:val="auto"/>
                <w:kern w:val="2"/>
                <w:sz w:val="24"/>
                <w:szCs w:val="24"/>
                <w:lang w:val="en-US" w:eastAsia="zh-CN"/>
              </w:rPr>
            </w:pPr>
            <w:bookmarkStart w:id="265" w:name="OLE_LINK115" w:colFirst="5" w:colLast="5"/>
            <w:r>
              <w:rPr>
                <w:rFonts w:hint="eastAsia" w:ascii="Times New Roman" w:eastAsia="宋体" w:cs="Times New Roman"/>
                <w:b/>
                <w:color w:val="auto"/>
                <w:kern w:val="2"/>
                <w:sz w:val="24"/>
                <w:szCs w:val="24"/>
                <w:lang w:val="en-US" w:eastAsia="zh-CN"/>
              </w:rPr>
              <w:t>废水</w:t>
            </w:r>
          </w:p>
        </w:tc>
        <w:tc>
          <w:tcPr>
            <w:tcW w:w="2216" w:type="dxa"/>
            <w:tcBorders>
              <w:tl2br w:val="nil"/>
              <w:tr2bl w:val="nil"/>
            </w:tcBorders>
            <w:noWrap/>
            <w:vAlign w:val="center"/>
          </w:tcPr>
          <w:p>
            <w:pPr>
              <w:keepNext w:val="0"/>
              <w:keepLines w:val="0"/>
              <w:pageBreakBefore w:val="0"/>
              <w:suppressLineNumbers w:val="0"/>
              <w:tabs>
                <w:tab w:val="left" w:pos="362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4"/>
                <w:szCs w:val="24"/>
              </w:rPr>
            </w:pPr>
            <w:r>
              <w:rPr>
                <w:rFonts w:hint="default" w:ascii="Times New Roman" w:hAnsi="Times New Roman" w:cs="Times New Roman" w:eastAsiaTheme="minorEastAsia"/>
                <w:color w:val="auto"/>
                <w:sz w:val="24"/>
                <w:szCs w:val="24"/>
              </w:rPr>
              <w:t>COD</w:t>
            </w:r>
          </w:p>
        </w:tc>
        <w:tc>
          <w:tcPr>
            <w:tcW w:w="1290" w:type="dxa"/>
            <w:tcBorders>
              <w:tl2br w:val="nil"/>
              <w:tr2bl w:val="nil"/>
            </w:tcBorders>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eastAsiaTheme="minorEastAsia"/>
                <w:color w:val="auto"/>
                <w:sz w:val="24"/>
                <w:szCs w:val="24"/>
                <w:highlight w:val="none"/>
              </w:rPr>
            </w:pPr>
            <w:r>
              <w:rPr>
                <w:rFonts w:hint="eastAsia"/>
                <w:color w:val="auto"/>
                <w:sz w:val="24"/>
                <w:szCs w:val="24"/>
                <w:highlight w:val="none"/>
              </w:rPr>
              <w:t>/</w:t>
            </w:r>
          </w:p>
        </w:tc>
        <w:tc>
          <w:tcPr>
            <w:tcW w:w="1320" w:type="dxa"/>
            <w:tcBorders>
              <w:tl2br w:val="nil"/>
              <w:tr2bl w:val="nil"/>
            </w:tcBorders>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color w:val="auto"/>
                <w:sz w:val="24"/>
                <w:szCs w:val="24"/>
                <w:highlight w:val="none"/>
              </w:rPr>
            </w:pPr>
            <w:r>
              <w:rPr>
                <w:rFonts w:hint="eastAsia"/>
                <w:color w:val="auto"/>
                <w:sz w:val="24"/>
                <w:szCs w:val="24"/>
                <w:highlight w:val="none"/>
              </w:rPr>
              <w:t>/</w:t>
            </w:r>
          </w:p>
        </w:tc>
        <w:tc>
          <w:tcPr>
            <w:tcW w:w="1508" w:type="dxa"/>
            <w:tcBorders>
              <w:tl2br w:val="nil"/>
              <w:tr2bl w:val="nil"/>
            </w:tcBorders>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snapToGrid w:val="0"/>
                <w:color w:val="auto"/>
                <w:kern w:val="21"/>
                <w:sz w:val="24"/>
                <w:szCs w:val="24"/>
                <w:highlight w:val="none"/>
              </w:rPr>
            </w:pPr>
            <w:r>
              <w:rPr>
                <w:rFonts w:hint="eastAsia"/>
                <w:snapToGrid w:val="0"/>
                <w:color w:val="auto"/>
                <w:kern w:val="21"/>
                <w:sz w:val="24"/>
                <w:szCs w:val="24"/>
                <w:highlight w:val="none"/>
              </w:rPr>
              <w:t>/</w:t>
            </w:r>
          </w:p>
        </w:tc>
        <w:tc>
          <w:tcPr>
            <w:tcW w:w="2127" w:type="dxa"/>
            <w:tcBorders>
              <w:tl2br w:val="nil"/>
              <w:tr2bl w:val="nil"/>
            </w:tcBorders>
            <w:noWrap/>
            <w:vAlign w:val="center"/>
          </w:tcPr>
          <w:p>
            <w:pPr>
              <w:pStyle w:val="2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Theme="minorEastAsia"/>
                <w:color w:val="auto"/>
                <w:sz w:val="24"/>
                <w:szCs w:val="24"/>
                <w:highlight w:val="none"/>
                <w:lang w:val="en-US" w:eastAsia="zh-CN"/>
              </w:rPr>
            </w:pPr>
            <w:r>
              <w:rPr>
                <w:rFonts w:hint="eastAsia" w:ascii="Times New Roman" w:hAnsi="Times New Roman" w:eastAsiaTheme="minorEastAsia"/>
                <w:color w:val="auto"/>
                <w:sz w:val="24"/>
                <w:szCs w:val="24"/>
                <w:highlight w:val="none"/>
                <w:lang w:val="en-US" w:eastAsia="zh-CN"/>
              </w:rPr>
              <w:t>/</w:t>
            </w:r>
          </w:p>
        </w:tc>
        <w:tc>
          <w:tcPr>
            <w:tcW w:w="1701" w:type="dxa"/>
            <w:tcBorders>
              <w:tl2br w:val="nil"/>
              <w:tr2bl w:val="nil"/>
            </w:tcBorders>
            <w:noWrap/>
            <w:vAlign w:val="center"/>
          </w:tcPr>
          <w:p>
            <w:pPr>
              <w:pStyle w:val="2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Theme="minorEastAsia"/>
                <w:color w:val="auto"/>
                <w:sz w:val="24"/>
                <w:szCs w:val="24"/>
                <w:highlight w:val="none"/>
                <w:lang w:val="en-US" w:eastAsia="zh-CN"/>
              </w:rPr>
            </w:pPr>
            <w:r>
              <w:rPr>
                <w:rFonts w:hint="eastAsia" w:ascii="Times New Roman" w:hAnsi="Times New Roman" w:eastAsiaTheme="minorEastAsia"/>
                <w:color w:val="auto"/>
                <w:sz w:val="24"/>
                <w:szCs w:val="24"/>
                <w:highlight w:val="none"/>
                <w:lang w:val="en-US" w:eastAsia="zh-CN"/>
              </w:rPr>
              <w:t>/</w:t>
            </w:r>
          </w:p>
        </w:tc>
        <w:tc>
          <w:tcPr>
            <w:tcW w:w="1701" w:type="dxa"/>
            <w:tcBorders>
              <w:tl2br w:val="nil"/>
              <w:tr2bl w:val="nil"/>
            </w:tcBorders>
            <w:noWrap/>
            <w:vAlign w:val="center"/>
          </w:tcPr>
          <w:p>
            <w:pPr>
              <w:pStyle w:val="2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Theme="minorEastAsia"/>
                <w:color w:val="auto"/>
                <w:sz w:val="24"/>
                <w:szCs w:val="24"/>
                <w:highlight w:val="none"/>
                <w:lang w:val="en-US" w:eastAsia="zh-CN"/>
              </w:rPr>
            </w:pPr>
            <w:r>
              <w:rPr>
                <w:rFonts w:hint="eastAsia" w:ascii="Times New Roman" w:hAnsi="Times New Roman" w:eastAsiaTheme="minorEastAsia"/>
                <w:color w:val="auto"/>
                <w:sz w:val="24"/>
                <w:szCs w:val="24"/>
                <w:highlight w:val="none"/>
                <w:lang w:val="en-US" w:eastAsia="zh-CN"/>
              </w:rPr>
              <w:t>/</w:t>
            </w:r>
          </w:p>
        </w:tc>
        <w:tc>
          <w:tcPr>
            <w:tcW w:w="1132" w:type="dxa"/>
            <w:tcBorders>
              <w:tl2br w:val="nil"/>
              <w:tr2bl w:val="nil"/>
            </w:tcBorders>
            <w:noWrap/>
            <w:vAlign w:val="center"/>
          </w:tcPr>
          <w:p>
            <w:pPr>
              <w:pStyle w:val="2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Theme="minorEastAsia"/>
                <w:color w:val="auto"/>
                <w:sz w:val="24"/>
                <w:szCs w:val="24"/>
                <w:highlight w:val="none"/>
                <w:lang w:val="en-US" w:eastAsia="zh-CN"/>
              </w:rPr>
            </w:pPr>
            <w:r>
              <w:rPr>
                <w:rFonts w:hint="eastAsia" w:ascii="Times New Roman" w:hAnsi="Times New Roman" w:eastAsiaTheme="minorEastAsia"/>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1065" w:type="dxa"/>
            <w:vMerge w:val="continue"/>
            <w:tcBorders>
              <w:tl2br w:val="nil"/>
              <w:tr2bl w:val="nil"/>
            </w:tcBorders>
            <w:noWrap/>
            <w:vAlign w:val="center"/>
          </w:tcPr>
          <w:p>
            <w:pPr>
              <w:pStyle w:val="28"/>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imes New Roman" w:eastAsia="宋体" w:cs="Times New Roman"/>
                <w:b/>
                <w:color w:val="auto"/>
                <w:kern w:val="2"/>
                <w:sz w:val="24"/>
                <w:szCs w:val="24"/>
                <w:lang w:val="en-US" w:eastAsia="zh-CN"/>
              </w:rPr>
            </w:pPr>
          </w:p>
        </w:tc>
        <w:tc>
          <w:tcPr>
            <w:tcW w:w="2216" w:type="dxa"/>
            <w:tcBorders>
              <w:tl2br w:val="nil"/>
              <w:tr2bl w:val="nil"/>
            </w:tcBorders>
            <w:noWrap/>
            <w:vAlign w:val="center"/>
          </w:tcPr>
          <w:p>
            <w:pPr>
              <w:keepNext w:val="0"/>
              <w:keepLines w:val="0"/>
              <w:pageBreakBefore w:val="0"/>
              <w:suppressLineNumbers w:val="0"/>
              <w:tabs>
                <w:tab w:val="left" w:pos="362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4"/>
                <w:szCs w:val="24"/>
              </w:rPr>
            </w:pPr>
            <w:r>
              <w:rPr>
                <w:rFonts w:hint="default" w:ascii="Times New Roman" w:hAnsi="Times New Roman" w:cs="Times New Roman"/>
                <w:color w:val="auto"/>
                <w:sz w:val="24"/>
                <w:szCs w:val="24"/>
              </w:rPr>
              <w:t>氨氮</w:t>
            </w:r>
          </w:p>
        </w:tc>
        <w:tc>
          <w:tcPr>
            <w:tcW w:w="1290" w:type="dxa"/>
            <w:tcBorders>
              <w:tl2br w:val="nil"/>
              <w:tr2bl w:val="nil"/>
            </w:tcBorders>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color w:val="auto"/>
                <w:sz w:val="24"/>
                <w:szCs w:val="24"/>
                <w:highlight w:val="none"/>
              </w:rPr>
            </w:pPr>
            <w:r>
              <w:rPr>
                <w:rFonts w:hint="eastAsia"/>
                <w:color w:val="auto"/>
                <w:sz w:val="24"/>
                <w:szCs w:val="24"/>
                <w:highlight w:val="none"/>
              </w:rPr>
              <w:t>/</w:t>
            </w:r>
          </w:p>
        </w:tc>
        <w:tc>
          <w:tcPr>
            <w:tcW w:w="1320" w:type="dxa"/>
            <w:tcBorders>
              <w:tl2br w:val="nil"/>
              <w:tr2bl w:val="nil"/>
            </w:tcBorders>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color w:val="auto"/>
                <w:sz w:val="24"/>
                <w:szCs w:val="24"/>
                <w:highlight w:val="none"/>
              </w:rPr>
            </w:pPr>
            <w:r>
              <w:rPr>
                <w:rFonts w:hint="eastAsia"/>
                <w:color w:val="auto"/>
                <w:sz w:val="24"/>
                <w:szCs w:val="24"/>
                <w:highlight w:val="none"/>
              </w:rPr>
              <w:t>/</w:t>
            </w:r>
          </w:p>
        </w:tc>
        <w:tc>
          <w:tcPr>
            <w:tcW w:w="1508" w:type="dxa"/>
            <w:tcBorders>
              <w:tl2br w:val="nil"/>
              <w:tr2bl w:val="nil"/>
            </w:tcBorders>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snapToGrid w:val="0"/>
                <w:color w:val="auto"/>
                <w:kern w:val="21"/>
                <w:sz w:val="24"/>
                <w:szCs w:val="24"/>
                <w:highlight w:val="none"/>
              </w:rPr>
            </w:pPr>
            <w:r>
              <w:rPr>
                <w:rFonts w:hint="eastAsia"/>
                <w:snapToGrid w:val="0"/>
                <w:color w:val="auto"/>
                <w:kern w:val="21"/>
                <w:sz w:val="24"/>
                <w:szCs w:val="24"/>
                <w:highlight w:val="none"/>
              </w:rPr>
              <w:t>/</w:t>
            </w:r>
          </w:p>
        </w:tc>
        <w:tc>
          <w:tcPr>
            <w:tcW w:w="2127" w:type="dxa"/>
            <w:tcBorders>
              <w:tl2br w:val="nil"/>
              <w:tr2bl w:val="nil"/>
            </w:tcBorders>
            <w:noWrap/>
            <w:vAlign w:val="center"/>
          </w:tcPr>
          <w:p>
            <w:pPr>
              <w:pStyle w:val="2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Theme="minorEastAsia"/>
                <w:color w:val="auto"/>
                <w:sz w:val="24"/>
                <w:szCs w:val="24"/>
                <w:highlight w:val="none"/>
                <w:lang w:val="en-US" w:eastAsia="zh-CN"/>
              </w:rPr>
            </w:pPr>
            <w:r>
              <w:rPr>
                <w:rFonts w:hint="eastAsia" w:ascii="Times New Roman" w:hAnsi="Times New Roman" w:eastAsiaTheme="minorEastAsia"/>
                <w:color w:val="auto"/>
                <w:sz w:val="24"/>
                <w:szCs w:val="24"/>
                <w:highlight w:val="none"/>
                <w:lang w:val="en-US" w:eastAsia="zh-CN"/>
              </w:rPr>
              <w:t>/</w:t>
            </w:r>
          </w:p>
        </w:tc>
        <w:tc>
          <w:tcPr>
            <w:tcW w:w="1701" w:type="dxa"/>
            <w:tcBorders>
              <w:tl2br w:val="nil"/>
              <w:tr2bl w:val="nil"/>
            </w:tcBorders>
            <w:noWrap/>
            <w:vAlign w:val="center"/>
          </w:tcPr>
          <w:p>
            <w:pPr>
              <w:pStyle w:val="2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Theme="minorEastAsia"/>
                <w:color w:val="auto"/>
                <w:sz w:val="24"/>
                <w:szCs w:val="24"/>
                <w:highlight w:val="none"/>
                <w:lang w:val="en-US" w:eastAsia="zh-CN"/>
              </w:rPr>
            </w:pPr>
            <w:r>
              <w:rPr>
                <w:rFonts w:hint="eastAsia" w:ascii="Times New Roman" w:hAnsi="Times New Roman" w:eastAsiaTheme="minorEastAsia"/>
                <w:color w:val="auto"/>
                <w:sz w:val="24"/>
                <w:szCs w:val="24"/>
                <w:highlight w:val="none"/>
                <w:lang w:val="en-US" w:eastAsia="zh-CN"/>
              </w:rPr>
              <w:t>/</w:t>
            </w:r>
          </w:p>
        </w:tc>
        <w:tc>
          <w:tcPr>
            <w:tcW w:w="1701" w:type="dxa"/>
            <w:tcBorders>
              <w:tl2br w:val="nil"/>
              <w:tr2bl w:val="nil"/>
            </w:tcBorders>
            <w:noWrap/>
            <w:vAlign w:val="center"/>
          </w:tcPr>
          <w:p>
            <w:pPr>
              <w:pStyle w:val="2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Theme="minorEastAsia"/>
                <w:color w:val="auto"/>
                <w:sz w:val="24"/>
                <w:szCs w:val="24"/>
                <w:highlight w:val="none"/>
                <w:lang w:val="en-US" w:eastAsia="zh-CN"/>
              </w:rPr>
            </w:pPr>
            <w:r>
              <w:rPr>
                <w:rFonts w:hint="eastAsia" w:ascii="Times New Roman" w:hAnsi="Times New Roman" w:eastAsiaTheme="minorEastAsia"/>
                <w:color w:val="auto"/>
                <w:sz w:val="24"/>
                <w:szCs w:val="24"/>
                <w:highlight w:val="none"/>
                <w:lang w:val="en-US" w:eastAsia="zh-CN"/>
              </w:rPr>
              <w:t>/</w:t>
            </w:r>
          </w:p>
        </w:tc>
        <w:tc>
          <w:tcPr>
            <w:tcW w:w="1132" w:type="dxa"/>
            <w:tcBorders>
              <w:tl2br w:val="nil"/>
              <w:tr2bl w:val="nil"/>
            </w:tcBorders>
            <w:noWrap/>
            <w:vAlign w:val="center"/>
          </w:tcPr>
          <w:p>
            <w:pPr>
              <w:pStyle w:val="2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Theme="minorEastAsia"/>
                <w:color w:val="auto"/>
                <w:sz w:val="24"/>
                <w:szCs w:val="24"/>
                <w:highlight w:val="none"/>
                <w:lang w:val="en-US" w:eastAsia="zh-CN"/>
              </w:rPr>
            </w:pPr>
            <w:r>
              <w:rPr>
                <w:rFonts w:hint="eastAsia" w:ascii="Times New Roman" w:hAnsi="Times New Roman" w:eastAsiaTheme="minorEastAsia"/>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1065" w:type="dxa"/>
            <w:vMerge w:val="continue"/>
            <w:tcBorders>
              <w:tl2br w:val="nil"/>
              <w:tr2bl w:val="nil"/>
            </w:tcBorders>
            <w:noWrap/>
            <w:vAlign w:val="center"/>
          </w:tcPr>
          <w:p>
            <w:pPr>
              <w:pStyle w:val="28"/>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imes New Roman" w:eastAsia="宋体" w:cs="Times New Roman"/>
                <w:b/>
                <w:color w:val="auto"/>
                <w:kern w:val="2"/>
                <w:sz w:val="24"/>
                <w:szCs w:val="24"/>
                <w:lang w:val="en-US" w:eastAsia="zh-CN"/>
              </w:rPr>
            </w:pPr>
          </w:p>
        </w:tc>
        <w:tc>
          <w:tcPr>
            <w:tcW w:w="2216" w:type="dxa"/>
            <w:tcBorders>
              <w:tl2br w:val="nil"/>
              <w:tr2bl w:val="nil"/>
            </w:tcBorders>
            <w:noWrap/>
            <w:vAlign w:val="center"/>
          </w:tcPr>
          <w:p>
            <w:pPr>
              <w:keepNext w:val="0"/>
              <w:keepLines w:val="0"/>
              <w:pageBreakBefore w:val="0"/>
              <w:suppressLineNumbers w:val="0"/>
              <w:tabs>
                <w:tab w:val="left" w:pos="362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4"/>
                <w:szCs w:val="24"/>
              </w:rPr>
            </w:pPr>
            <w:r>
              <w:rPr>
                <w:rFonts w:hint="default" w:ascii="Times New Roman" w:hAnsi="Times New Roman" w:cs="Times New Roman"/>
                <w:color w:val="auto"/>
                <w:sz w:val="24"/>
                <w:szCs w:val="24"/>
                <w:lang w:val="en-US" w:eastAsia="zh-CN"/>
              </w:rPr>
              <w:t>TP</w:t>
            </w:r>
          </w:p>
        </w:tc>
        <w:tc>
          <w:tcPr>
            <w:tcW w:w="1290" w:type="dxa"/>
            <w:tcBorders>
              <w:tl2br w:val="nil"/>
              <w:tr2bl w:val="nil"/>
            </w:tcBorders>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color w:val="auto"/>
                <w:sz w:val="24"/>
                <w:szCs w:val="24"/>
                <w:highlight w:val="none"/>
              </w:rPr>
            </w:pPr>
            <w:r>
              <w:rPr>
                <w:rFonts w:hint="eastAsia"/>
                <w:color w:val="auto"/>
                <w:sz w:val="24"/>
                <w:szCs w:val="24"/>
                <w:highlight w:val="none"/>
              </w:rPr>
              <w:t>/</w:t>
            </w:r>
          </w:p>
        </w:tc>
        <w:tc>
          <w:tcPr>
            <w:tcW w:w="1320" w:type="dxa"/>
            <w:tcBorders>
              <w:tl2br w:val="nil"/>
              <w:tr2bl w:val="nil"/>
            </w:tcBorders>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color w:val="auto"/>
                <w:sz w:val="24"/>
                <w:szCs w:val="24"/>
                <w:highlight w:val="none"/>
              </w:rPr>
            </w:pPr>
            <w:r>
              <w:rPr>
                <w:rFonts w:hint="eastAsia"/>
                <w:color w:val="auto"/>
                <w:sz w:val="24"/>
                <w:szCs w:val="24"/>
                <w:highlight w:val="none"/>
              </w:rPr>
              <w:t>/</w:t>
            </w:r>
          </w:p>
        </w:tc>
        <w:tc>
          <w:tcPr>
            <w:tcW w:w="1508" w:type="dxa"/>
            <w:tcBorders>
              <w:tl2br w:val="nil"/>
              <w:tr2bl w:val="nil"/>
            </w:tcBorders>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snapToGrid w:val="0"/>
                <w:color w:val="auto"/>
                <w:kern w:val="21"/>
                <w:sz w:val="24"/>
                <w:szCs w:val="24"/>
                <w:highlight w:val="none"/>
              </w:rPr>
            </w:pPr>
            <w:r>
              <w:rPr>
                <w:rFonts w:hint="eastAsia"/>
                <w:snapToGrid w:val="0"/>
                <w:color w:val="auto"/>
                <w:kern w:val="21"/>
                <w:sz w:val="24"/>
                <w:szCs w:val="24"/>
                <w:highlight w:val="none"/>
              </w:rPr>
              <w:t>/</w:t>
            </w:r>
          </w:p>
        </w:tc>
        <w:tc>
          <w:tcPr>
            <w:tcW w:w="2127" w:type="dxa"/>
            <w:tcBorders>
              <w:tl2br w:val="nil"/>
              <w:tr2bl w:val="nil"/>
            </w:tcBorders>
            <w:noWrap/>
            <w:vAlign w:val="center"/>
          </w:tcPr>
          <w:p>
            <w:pPr>
              <w:pStyle w:val="2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Theme="minorEastAsia"/>
                <w:color w:val="auto"/>
                <w:sz w:val="24"/>
                <w:szCs w:val="24"/>
                <w:highlight w:val="none"/>
                <w:lang w:val="en-US" w:eastAsia="zh-CN"/>
              </w:rPr>
            </w:pPr>
            <w:r>
              <w:rPr>
                <w:rFonts w:hint="eastAsia" w:ascii="Times New Roman" w:hAnsi="Times New Roman" w:eastAsiaTheme="minorEastAsia"/>
                <w:color w:val="auto"/>
                <w:sz w:val="24"/>
                <w:szCs w:val="24"/>
                <w:highlight w:val="none"/>
                <w:lang w:val="en-US" w:eastAsia="zh-CN"/>
              </w:rPr>
              <w:t>/</w:t>
            </w:r>
          </w:p>
        </w:tc>
        <w:tc>
          <w:tcPr>
            <w:tcW w:w="1701" w:type="dxa"/>
            <w:tcBorders>
              <w:tl2br w:val="nil"/>
              <w:tr2bl w:val="nil"/>
            </w:tcBorders>
            <w:noWrap/>
            <w:vAlign w:val="center"/>
          </w:tcPr>
          <w:p>
            <w:pPr>
              <w:pStyle w:val="2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Theme="minorEastAsia"/>
                <w:color w:val="auto"/>
                <w:sz w:val="24"/>
                <w:szCs w:val="24"/>
                <w:highlight w:val="none"/>
                <w:lang w:val="en-US" w:eastAsia="zh-CN"/>
              </w:rPr>
            </w:pPr>
            <w:r>
              <w:rPr>
                <w:rFonts w:hint="eastAsia" w:ascii="Times New Roman" w:hAnsi="Times New Roman" w:eastAsiaTheme="minorEastAsia"/>
                <w:color w:val="auto"/>
                <w:sz w:val="24"/>
                <w:szCs w:val="24"/>
                <w:highlight w:val="none"/>
                <w:lang w:val="en-US" w:eastAsia="zh-CN"/>
              </w:rPr>
              <w:t>/</w:t>
            </w:r>
          </w:p>
        </w:tc>
        <w:tc>
          <w:tcPr>
            <w:tcW w:w="1701" w:type="dxa"/>
            <w:tcBorders>
              <w:tl2br w:val="nil"/>
              <w:tr2bl w:val="nil"/>
            </w:tcBorders>
            <w:noWrap/>
            <w:vAlign w:val="center"/>
          </w:tcPr>
          <w:p>
            <w:pPr>
              <w:pStyle w:val="2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Theme="minorEastAsia"/>
                <w:color w:val="auto"/>
                <w:sz w:val="24"/>
                <w:szCs w:val="24"/>
                <w:highlight w:val="none"/>
                <w:lang w:val="en-US" w:eastAsia="zh-CN"/>
              </w:rPr>
            </w:pPr>
            <w:r>
              <w:rPr>
                <w:rFonts w:hint="eastAsia" w:ascii="Times New Roman" w:hAnsi="Times New Roman" w:eastAsiaTheme="minorEastAsia"/>
                <w:color w:val="auto"/>
                <w:sz w:val="24"/>
                <w:szCs w:val="24"/>
                <w:highlight w:val="none"/>
                <w:lang w:val="en-US" w:eastAsia="zh-CN"/>
              </w:rPr>
              <w:t>/</w:t>
            </w:r>
          </w:p>
        </w:tc>
        <w:tc>
          <w:tcPr>
            <w:tcW w:w="1132" w:type="dxa"/>
            <w:tcBorders>
              <w:tl2br w:val="nil"/>
              <w:tr2bl w:val="nil"/>
            </w:tcBorders>
            <w:noWrap/>
            <w:vAlign w:val="center"/>
          </w:tcPr>
          <w:p>
            <w:pPr>
              <w:pStyle w:val="2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Theme="minorEastAsia"/>
                <w:color w:val="auto"/>
                <w:sz w:val="24"/>
                <w:szCs w:val="24"/>
                <w:highlight w:val="none"/>
                <w:lang w:val="en-US" w:eastAsia="zh-CN"/>
              </w:rPr>
            </w:pPr>
            <w:r>
              <w:rPr>
                <w:rFonts w:hint="eastAsia" w:ascii="Times New Roman" w:hAnsi="Times New Roman" w:eastAsiaTheme="minorEastAsia"/>
                <w:color w:val="auto"/>
                <w:sz w:val="24"/>
                <w:szCs w:val="24"/>
                <w:highlight w:val="none"/>
                <w:lang w:val="en-US" w:eastAsia="zh-CN"/>
              </w:rPr>
              <w:t>/</w:t>
            </w:r>
          </w:p>
        </w:tc>
      </w:tr>
      <w:bookmarkEnd w:id="265"/>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1065" w:type="dxa"/>
            <w:vMerge w:val="restart"/>
            <w:tcBorders>
              <w:tl2br w:val="nil"/>
              <w:tr2bl w:val="nil"/>
            </w:tcBorders>
            <w:noWrap/>
            <w:vAlign w:val="center"/>
          </w:tcPr>
          <w:p>
            <w:pPr>
              <w:pStyle w:val="28"/>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color w:val="auto"/>
                <w:kern w:val="2"/>
                <w:sz w:val="24"/>
                <w:szCs w:val="24"/>
                <w:lang w:val="en-US" w:eastAsia="zh-CN"/>
              </w:rPr>
            </w:pPr>
            <w:r>
              <w:rPr>
                <w:rFonts w:hint="eastAsia" w:ascii="Times New Roman" w:eastAsia="宋体" w:cs="Times New Roman"/>
                <w:b/>
                <w:color w:val="auto"/>
                <w:kern w:val="2"/>
                <w:sz w:val="24"/>
                <w:szCs w:val="24"/>
                <w:lang w:val="en-US" w:eastAsia="zh-CN"/>
              </w:rPr>
              <w:t>一般固废</w:t>
            </w:r>
          </w:p>
        </w:tc>
        <w:tc>
          <w:tcPr>
            <w:tcW w:w="2216" w:type="dxa"/>
            <w:tcBorders>
              <w:tl2br w:val="nil"/>
              <w:tr2bl w:val="nil"/>
            </w:tcBorders>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sz w:val="24"/>
                <w:szCs w:val="24"/>
                <w:highlight w:val="none"/>
                <w:lang w:val="en-US"/>
              </w:rPr>
            </w:pPr>
            <w:r>
              <w:rPr>
                <w:rFonts w:hint="eastAsia" w:ascii="Times New Roman" w:hAnsi="Times New Roman" w:cs="Times New Roman" w:eastAsiaTheme="minorEastAsia"/>
                <w:color w:val="auto"/>
                <w:sz w:val="24"/>
                <w:szCs w:val="24"/>
                <w:highlight w:val="none"/>
                <w:lang w:val="en-US" w:eastAsia="zh-CN"/>
              </w:rPr>
              <w:t>废劳保用品</w:t>
            </w:r>
          </w:p>
        </w:tc>
        <w:tc>
          <w:tcPr>
            <w:tcW w:w="1290" w:type="dxa"/>
            <w:tcBorders>
              <w:tl2br w:val="nil"/>
              <w:tr2bl w:val="nil"/>
            </w:tcBorders>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color w:val="auto"/>
                <w:sz w:val="24"/>
                <w:szCs w:val="24"/>
                <w:highlight w:val="none"/>
              </w:rPr>
            </w:pPr>
            <w:r>
              <w:rPr>
                <w:rFonts w:hint="eastAsia" w:ascii="Times New Roman" w:hAnsi="Times New Roman" w:cs="Times New Roman" w:eastAsiaTheme="minorEastAsia"/>
                <w:color w:val="auto"/>
                <w:sz w:val="24"/>
                <w:szCs w:val="24"/>
                <w:highlight w:val="none"/>
              </w:rPr>
              <w:t>/</w:t>
            </w:r>
          </w:p>
        </w:tc>
        <w:tc>
          <w:tcPr>
            <w:tcW w:w="1320" w:type="dxa"/>
            <w:tcBorders>
              <w:tl2br w:val="nil"/>
              <w:tr2bl w:val="nil"/>
            </w:tcBorders>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color w:val="auto"/>
                <w:sz w:val="24"/>
                <w:szCs w:val="24"/>
                <w:highlight w:val="none"/>
              </w:rPr>
            </w:pPr>
            <w:r>
              <w:rPr>
                <w:rFonts w:hint="eastAsia" w:ascii="Times New Roman" w:hAnsi="Times New Roman" w:cs="Times New Roman" w:eastAsiaTheme="minorEastAsia"/>
                <w:color w:val="auto"/>
                <w:sz w:val="24"/>
                <w:szCs w:val="24"/>
                <w:highlight w:val="none"/>
              </w:rPr>
              <w:t>/</w:t>
            </w:r>
          </w:p>
        </w:tc>
        <w:tc>
          <w:tcPr>
            <w:tcW w:w="1508" w:type="dxa"/>
            <w:tcBorders>
              <w:tl2br w:val="nil"/>
              <w:tr2bl w:val="nil"/>
            </w:tcBorders>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snapToGrid w:val="0"/>
                <w:color w:val="auto"/>
                <w:kern w:val="21"/>
                <w:sz w:val="24"/>
                <w:szCs w:val="24"/>
                <w:highlight w:val="none"/>
              </w:rPr>
            </w:pPr>
            <w:r>
              <w:rPr>
                <w:rFonts w:hint="eastAsia"/>
                <w:snapToGrid w:val="0"/>
                <w:color w:val="auto"/>
                <w:kern w:val="21"/>
                <w:sz w:val="24"/>
                <w:szCs w:val="24"/>
                <w:highlight w:val="none"/>
              </w:rPr>
              <w:t>/</w:t>
            </w:r>
          </w:p>
        </w:tc>
        <w:tc>
          <w:tcPr>
            <w:tcW w:w="2127" w:type="dxa"/>
            <w:tcBorders>
              <w:tl2br w:val="nil"/>
              <w:tr2bl w:val="nil"/>
            </w:tcBorders>
            <w:noWrap/>
            <w:vAlign w:val="center"/>
          </w:tcPr>
          <w:p>
            <w:pPr>
              <w:pStyle w:val="28"/>
              <w:keepNext w:val="0"/>
              <w:keepLines w:val="0"/>
              <w:suppressLineNumbers w:val="0"/>
              <w:bidi w:val="0"/>
              <w:spacing w:before="0" w:beforeAutospacing="0" w:after="0" w:afterAutospacing="0"/>
              <w:ind w:left="0" w:leftChars="0" w:right="0" w:rightChars="0" w:firstLine="0" w:firstLineChars="0"/>
              <w:rPr>
                <w:rFonts w:hint="default" w:eastAsiaTheme="minorEastAsia"/>
                <w:color w:val="auto"/>
                <w:sz w:val="24"/>
                <w:szCs w:val="24"/>
                <w:highlight w:val="none"/>
                <w:lang w:val="en-US" w:eastAsia="zh-CN"/>
              </w:rPr>
            </w:pPr>
            <w:r>
              <w:rPr>
                <w:rFonts w:hint="eastAsia"/>
                <w:color w:val="auto"/>
                <w:sz w:val="24"/>
                <w:szCs w:val="24"/>
                <w:lang w:val="en-US" w:eastAsia="zh-CN"/>
              </w:rPr>
              <w:t>0.1</w:t>
            </w:r>
          </w:p>
        </w:tc>
        <w:tc>
          <w:tcPr>
            <w:tcW w:w="1701" w:type="dxa"/>
            <w:tcBorders>
              <w:tl2br w:val="nil"/>
              <w:tr2bl w:val="nil"/>
            </w:tcBorders>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snapToGrid w:val="0"/>
                <w:color w:val="auto"/>
                <w:kern w:val="21"/>
                <w:sz w:val="24"/>
                <w:szCs w:val="24"/>
                <w:highlight w:val="none"/>
              </w:rPr>
            </w:pPr>
            <w:r>
              <w:rPr>
                <w:rFonts w:hint="eastAsia"/>
                <w:color w:val="auto"/>
                <w:sz w:val="24"/>
                <w:szCs w:val="24"/>
                <w:highlight w:val="none"/>
              </w:rPr>
              <w:t>/</w:t>
            </w:r>
          </w:p>
        </w:tc>
        <w:tc>
          <w:tcPr>
            <w:tcW w:w="1701" w:type="dxa"/>
            <w:tcBorders>
              <w:tl2br w:val="nil"/>
              <w:tr2bl w:val="nil"/>
            </w:tcBorders>
            <w:noWrap/>
            <w:vAlign w:val="center"/>
          </w:tcPr>
          <w:p>
            <w:pPr>
              <w:pStyle w:val="28"/>
              <w:keepNext w:val="0"/>
              <w:keepLines w:val="0"/>
              <w:suppressLineNumbers w:val="0"/>
              <w:bidi w:val="0"/>
              <w:spacing w:before="0" w:beforeAutospacing="0" w:after="0" w:afterAutospacing="0"/>
              <w:ind w:left="0" w:leftChars="0" w:right="0" w:rightChars="0" w:firstLine="0" w:firstLineChars="0"/>
              <w:rPr>
                <w:rFonts w:hint="default" w:eastAsiaTheme="minorEastAsia"/>
                <w:color w:val="auto"/>
                <w:sz w:val="24"/>
                <w:szCs w:val="24"/>
                <w:highlight w:val="none"/>
                <w:lang w:val="en-US" w:eastAsia="zh-CN"/>
              </w:rPr>
            </w:pPr>
            <w:r>
              <w:rPr>
                <w:rFonts w:hint="eastAsia"/>
                <w:color w:val="auto"/>
                <w:sz w:val="24"/>
                <w:szCs w:val="24"/>
                <w:lang w:val="en-US" w:eastAsia="zh-CN"/>
              </w:rPr>
              <w:t>0.1</w:t>
            </w:r>
          </w:p>
        </w:tc>
        <w:tc>
          <w:tcPr>
            <w:tcW w:w="1132" w:type="dxa"/>
            <w:tcBorders>
              <w:tl2br w:val="nil"/>
              <w:tr2bl w:val="nil"/>
            </w:tcBorders>
            <w:noWrap/>
            <w:vAlign w:val="center"/>
          </w:tcPr>
          <w:p>
            <w:pPr>
              <w:pStyle w:val="28"/>
              <w:keepNext w:val="0"/>
              <w:keepLines w:val="0"/>
              <w:suppressLineNumbers w:val="0"/>
              <w:bidi w:val="0"/>
              <w:spacing w:before="0" w:beforeAutospacing="0" w:after="0" w:afterAutospacing="0"/>
              <w:ind w:left="0" w:leftChars="0" w:right="0" w:rightChars="0" w:firstLine="0" w:firstLineChars="0"/>
              <w:rPr>
                <w:rFonts w:hint="default" w:eastAsiaTheme="minorEastAsia"/>
                <w:color w:val="auto"/>
                <w:sz w:val="24"/>
                <w:szCs w:val="24"/>
                <w:highlight w:val="none"/>
                <w:lang w:val="en-US" w:eastAsia="zh-CN"/>
              </w:rPr>
            </w:pPr>
            <w:r>
              <w:rPr>
                <w:rFonts w:hint="eastAsia"/>
                <w:color w:val="auto"/>
                <w:sz w:val="24"/>
                <w:szCs w:val="24"/>
                <w:lang w:val="en-US" w:eastAsia="zh-CN"/>
              </w:rPr>
              <w:t>+0.1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1065" w:type="dxa"/>
            <w:vMerge w:val="continue"/>
            <w:tcBorders>
              <w:tl2br w:val="nil"/>
              <w:tr2bl w:val="nil"/>
            </w:tcBorders>
            <w:noWrap/>
            <w:vAlign w:val="center"/>
          </w:tcPr>
          <w:p>
            <w:pPr>
              <w:pStyle w:val="28"/>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imes New Roman" w:eastAsia="宋体" w:cs="Times New Roman"/>
                <w:b/>
                <w:color w:val="auto"/>
                <w:kern w:val="2"/>
                <w:sz w:val="24"/>
                <w:szCs w:val="24"/>
                <w:lang w:val="en-US" w:eastAsia="zh-CN"/>
              </w:rPr>
            </w:pPr>
          </w:p>
        </w:tc>
        <w:tc>
          <w:tcPr>
            <w:tcW w:w="2216" w:type="dxa"/>
            <w:tcBorders>
              <w:tl2br w:val="nil"/>
              <w:tr2bl w:val="nil"/>
            </w:tcBorders>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rPr>
              <w:t>废电解液</w:t>
            </w:r>
          </w:p>
        </w:tc>
        <w:tc>
          <w:tcPr>
            <w:tcW w:w="1290" w:type="dxa"/>
            <w:tcBorders>
              <w:tl2br w:val="nil"/>
              <w:tr2bl w:val="nil"/>
            </w:tcBorders>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color w:val="auto"/>
                <w:sz w:val="24"/>
                <w:szCs w:val="24"/>
                <w:highlight w:val="none"/>
              </w:rPr>
            </w:pPr>
            <w:r>
              <w:rPr>
                <w:rFonts w:hint="eastAsia" w:ascii="Times New Roman" w:hAnsi="Times New Roman" w:cs="Times New Roman" w:eastAsiaTheme="minorEastAsia"/>
                <w:color w:val="auto"/>
                <w:sz w:val="24"/>
                <w:szCs w:val="24"/>
                <w:highlight w:val="none"/>
              </w:rPr>
              <w:t>/</w:t>
            </w:r>
          </w:p>
        </w:tc>
        <w:tc>
          <w:tcPr>
            <w:tcW w:w="1320" w:type="dxa"/>
            <w:tcBorders>
              <w:tl2br w:val="nil"/>
              <w:tr2bl w:val="nil"/>
            </w:tcBorders>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color w:val="auto"/>
                <w:sz w:val="24"/>
                <w:szCs w:val="24"/>
                <w:highlight w:val="none"/>
              </w:rPr>
            </w:pPr>
            <w:r>
              <w:rPr>
                <w:rFonts w:hint="eastAsia" w:ascii="Times New Roman" w:hAnsi="Times New Roman" w:cs="Times New Roman" w:eastAsiaTheme="minorEastAsia"/>
                <w:color w:val="auto"/>
                <w:sz w:val="24"/>
                <w:szCs w:val="24"/>
                <w:highlight w:val="none"/>
              </w:rPr>
              <w:t>/</w:t>
            </w:r>
          </w:p>
        </w:tc>
        <w:tc>
          <w:tcPr>
            <w:tcW w:w="1508" w:type="dxa"/>
            <w:tcBorders>
              <w:tl2br w:val="nil"/>
              <w:tr2bl w:val="nil"/>
            </w:tcBorders>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snapToGrid w:val="0"/>
                <w:color w:val="auto"/>
                <w:kern w:val="21"/>
                <w:sz w:val="24"/>
                <w:szCs w:val="24"/>
                <w:highlight w:val="none"/>
              </w:rPr>
            </w:pPr>
            <w:r>
              <w:rPr>
                <w:rFonts w:hint="eastAsia"/>
                <w:snapToGrid w:val="0"/>
                <w:color w:val="auto"/>
                <w:kern w:val="21"/>
                <w:sz w:val="24"/>
                <w:szCs w:val="24"/>
                <w:highlight w:val="none"/>
              </w:rPr>
              <w:t>/</w:t>
            </w:r>
          </w:p>
        </w:tc>
        <w:tc>
          <w:tcPr>
            <w:tcW w:w="2127" w:type="dxa"/>
            <w:tcBorders>
              <w:tl2br w:val="nil"/>
              <w:tr2bl w:val="nil"/>
            </w:tcBorders>
            <w:noWrap/>
            <w:vAlign w:val="center"/>
          </w:tcPr>
          <w:p>
            <w:pPr>
              <w:pStyle w:val="2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Theme="minorEastAsia"/>
                <w:color w:val="auto"/>
                <w:sz w:val="24"/>
                <w:szCs w:val="24"/>
                <w:highlight w:val="none"/>
                <w:lang w:val="en-US" w:eastAsia="zh-CN"/>
              </w:rPr>
            </w:pPr>
            <w:bookmarkStart w:id="266" w:name="OLE_LINK215"/>
            <w:r>
              <w:rPr>
                <w:rFonts w:hint="eastAsia" w:eastAsiaTheme="minorEastAsia"/>
                <w:color w:val="auto"/>
                <w:sz w:val="24"/>
                <w:szCs w:val="24"/>
                <w:highlight w:val="none"/>
                <w:lang w:val="en-US" w:eastAsia="zh-CN"/>
              </w:rPr>
              <w:t>2.8299</w:t>
            </w:r>
            <w:bookmarkEnd w:id="266"/>
          </w:p>
        </w:tc>
        <w:tc>
          <w:tcPr>
            <w:tcW w:w="1701" w:type="dxa"/>
            <w:tcBorders>
              <w:tl2br w:val="nil"/>
              <w:tr2bl w:val="nil"/>
            </w:tcBorders>
            <w:noWrap/>
            <w:vAlign w:val="center"/>
          </w:tcPr>
          <w:p>
            <w:pPr>
              <w:pStyle w:val="2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Theme="minorEastAsia"/>
                <w:color w:val="auto"/>
                <w:sz w:val="24"/>
                <w:szCs w:val="24"/>
                <w:highlight w:val="none"/>
                <w:lang w:val="en-US" w:eastAsia="zh-CN"/>
              </w:rPr>
            </w:pPr>
            <w:r>
              <w:rPr>
                <w:rFonts w:hint="eastAsia" w:ascii="Times New Roman" w:hAnsi="Times New Roman" w:eastAsiaTheme="minorEastAsia"/>
                <w:color w:val="auto"/>
                <w:sz w:val="24"/>
                <w:szCs w:val="24"/>
                <w:highlight w:val="none"/>
                <w:lang w:val="en-US" w:eastAsia="zh-CN"/>
              </w:rPr>
              <w:t>/</w:t>
            </w:r>
          </w:p>
        </w:tc>
        <w:tc>
          <w:tcPr>
            <w:tcW w:w="1701" w:type="dxa"/>
            <w:tcBorders>
              <w:tl2br w:val="nil"/>
              <w:tr2bl w:val="nil"/>
            </w:tcBorders>
            <w:noWrap/>
            <w:vAlign w:val="center"/>
          </w:tcPr>
          <w:p>
            <w:pPr>
              <w:pStyle w:val="2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Theme="minorEastAsia"/>
                <w:color w:val="auto"/>
                <w:sz w:val="24"/>
                <w:szCs w:val="24"/>
                <w:highlight w:val="none"/>
                <w:lang w:val="en-US" w:eastAsia="zh-CN"/>
              </w:rPr>
            </w:pPr>
            <w:r>
              <w:rPr>
                <w:rFonts w:hint="eastAsia" w:eastAsiaTheme="minorEastAsia"/>
                <w:color w:val="auto"/>
                <w:sz w:val="24"/>
                <w:szCs w:val="24"/>
                <w:highlight w:val="none"/>
                <w:lang w:val="en-US" w:eastAsia="zh-CN"/>
              </w:rPr>
              <w:t>2.8299</w:t>
            </w:r>
          </w:p>
        </w:tc>
        <w:tc>
          <w:tcPr>
            <w:tcW w:w="1132" w:type="dxa"/>
            <w:tcBorders>
              <w:tl2br w:val="nil"/>
              <w:tr2bl w:val="nil"/>
            </w:tcBorders>
            <w:noWrap/>
            <w:vAlign w:val="center"/>
          </w:tcPr>
          <w:p>
            <w:pPr>
              <w:pStyle w:val="2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Theme="minorEastAsia"/>
                <w:color w:val="auto"/>
                <w:sz w:val="24"/>
                <w:szCs w:val="24"/>
                <w:highlight w:val="none"/>
                <w:lang w:val="en-US" w:eastAsia="zh-CN"/>
              </w:rPr>
            </w:pPr>
            <w:r>
              <w:rPr>
                <w:rFonts w:hint="eastAsia" w:ascii="Times New Roman" w:hAnsi="Times New Roman" w:eastAsiaTheme="minorEastAsia"/>
                <w:color w:val="auto"/>
                <w:sz w:val="24"/>
                <w:szCs w:val="24"/>
                <w:highlight w:val="none"/>
                <w:lang w:val="en-US" w:eastAsia="zh-CN"/>
              </w:rPr>
              <w:t>+</w:t>
            </w:r>
            <w:r>
              <w:rPr>
                <w:rFonts w:hint="eastAsia" w:eastAsiaTheme="minorEastAsia"/>
                <w:color w:val="auto"/>
                <w:sz w:val="24"/>
                <w:szCs w:val="24"/>
                <w:highlight w:val="none"/>
                <w:lang w:val="en-US" w:eastAsia="zh-CN"/>
              </w:rPr>
              <w:t>2.8299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1065" w:type="dxa"/>
            <w:vMerge w:val="continue"/>
            <w:tcBorders>
              <w:tl2br w:val="nil"/>
              <w:tr2bl w:val="nil"/>
            </w:tcBorders>
            <w:noWrap/>
            <w:vAlign w:val="center"/>
          </w:tcPr>
          <w:p>
            <w:pPr>
              <w:pStyle w:val="28"/>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imes New Roman" w:eastAsia="宋体" w:cs="Times New Roman"/>
                <w:b/>
                <w:color w:val="auto"/>
                <w:kern w:val="2"/>
                <w:sz w:val="24"/>
                <w:szCs w:val="24"/>
                <w:lang w:val="en-US" w:eastAsia="zh-CN"/>
              </w:rPr>
            </w:pPr>
          </w:p>
        </w:tc>
        <w:tc>
          <w:tcPr>
            <w:tcW w:w="2216" w:type="dxa"/>
            <w:tcBorders>
              <w:tl2br w:val="nil"/>
              <w:tr2bl w:val="nil"/>
            </w:tcBorders>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rPr>
              <w:t>废吸收液</w:t>
            </w:r>
          </w:p>
        </w:tc>
        <w:tc>
          <w:tcPr>
            <w:tcW w:w="1290" w:type="dxa"/>
            <w:tcBorders>
              <w:tl2br w:val="nil"/>
              <w:tr2bl w:val="nil"/>
            </w:tcBorders>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color w:val="auto"/>
                <w:sz w:val="24"/>
                <w:szCs w:val="24"/>
                <w:highlight w:val="none"/>
              </w:rPr>
            </w:pPr>
            <w:r>
              <w:rPr>
                <w:rFonts w:hint="eastAsia" w:ascii="Times New Roman" w:hAnsi="Times New Roman" w:cs="Times New Roman" w:eastAsiaTheme="minorEastAsia"/>
                <w:color w:val="auto"/>
                <w:sz w:val="24"/>
                <w:szCs w:val="24"/>
                <w:highlight w:val="none"/>
              </w:rPr>
              <w:t>/</w:t>
            </w:r>
          </w:p>
        </w:tc>
        <w:tc>
          <w:tcPr>
            <w:tcW w:w="1320" w:type="dxa"/>
            <w:tcBorders>
              <w:tl2br w:val="nil"/>
              <w:tr2bl w:val="nil"/>
            </w:tcBorders>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color w:val="auto"/>
                <w:sz w:val="24"/>
                <w:szCs w:val="24"/>
                <w:highlight w:val="none"/>
              </w:rPr>
            </w:pPr>
            <w:r>
              <w:rPr>
                <w:rFonts w:hint="eastAsia" w:ascii="Times New Roman" w:hAnsi="Times New Roman" w:cs="Times New Roman" w:eastAsiaTheme="minorEastAsia"/>
                <w:color w:val="auto"/>
                <w:sz w:val="24"/>
                <w:szCs w:val="24"/>
                <w:highlight w:val="none"/>
              </w:rPr>
              <w:t>/</w:t>
            </w:r>
          </w:p>
        </w:tc>
        <w:tc>
          <w:tcPr>
            <w:tcW w:w="1508" w:type="dxa"/>
            <w:tcBorders>
              <w:tl2br w:val="nil"/>
              <w:tr2bl w:val="nil"/>
            </w:tcBorders>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snapToGrid w:val="0"/>
                <w:color w:val="auto"/>
                <w:kern w:val="21"/>
                <w:sz w:val="24"/>
                <w:szCs w:val="24"/>
                <w:highlight w:val="none"/>
              </w:rPr>
            </w:pPr>
            <w:r>
              <w:rPr>
                <w:rFonts w:hint="eastAsia"/>
                <w:snapToGrid w:val="0"/>
                <w:color w:val="auto"/>
                <w:kern w:val="21"/>
                <w:sz w:val="24"/>
                <w:szCs w:val="24"/>
                <w:highlight w:val="none"/>
              </w:rPr>
              <w:t>/</w:t>
            </w:r>
          </w:p>
        </w:tc>
        <w:tc>
          <w:tcPr>
            <w:tcW w:w="2127" w:type="dxa"/>
            <w:tcBorders>
              <w:tl2br w:val="nil"/>
              <w:tr2bl w:val="nil"/>
            </w:tcBorders>
            <w:noWrap/>
            <w:vAlign w:val="center"/>
          </w:tcPr>
          <w:p>
            <w:pPr>
              <w:pStyle w:val="28"/>
              <w:keepNext w:val="0"/>
              <w:keepLines w:val="0"/>
              <w:suppressLineNumbers w:val="0"/>
              <w:bidi w:val="0"/>
              <w:spacing w:before="0" w:beforeAutospacing="0" w:after="0" w:afterAutospacing="0"/>
              <w:ind w:left="0" w:leftChars="0" w:right="0" w:rightChars="0" w:firstLine="0" w:firstLineChars="0"/>
              <w:rPr>
                <w:rFonts w:hint="default"/>
                <w:b w:val="0"/>
                <w:bCs w:val="0"/>
                <w:color w:val="auto"/>
                <w:sz w:val="24"/>
                <w:szCs w:val="24"/>
                <w:highlight w:val="none"/>
                <w:lang w:val="en-US" w:eastAsia="zh-CN"/>
              </w:rPr>
            </w:pPr>
            <w:r>
              <w:rPr>
                <w:rFonts w:hint="eastAsia"/>
                <w:color w:val="auto"/>
                <w:sz w:val="24"/>
                <w:szCs w:val="24"/>
                <w:lang w:val="en-US" w:eastAsia="zh-CN"/>
              </w:rPr>
              <w:t>0.4</w:t>
            </w:r>
          </w:p>
        </w:tc>
        <w:tc>
          <w:tcPr>
            <w:tcW w:w="1701" w:type="dxa"/>
            <w:tcBorders>
              <w:tl2br w:val="nil"/>
              <w:tr2bl w:val="nil"/>
            </w:tcBorders>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b w:val="0"/>
                <w:bCs/>
                <w:color w:val="auto"/>
                <w:sz w:val="24"/>
                <w:szCs w:val="24"/>
                <w:highlight w:val="none"/>
                <w:lang w:val="en-US" w:eastAsia="zh-CN"/>
              </w:rPr>
            </w:pPr>
            <w:r>
              <w:rPr>
                <w:rFonts w:hint="eastAsia"/>
                <w:color w:val="auto"/>
                <w:sz w:val="24"/>
                <w:szCs w:val="24"/>
                <w:highlight w:val="none"/>
              </w:rPr>
              <w:t>/</w:t>
            </w:r>
          </w:p>
        </w:tc>
        <w:tc>
          <w:tcPr>
            <w:tcW w:w="1701" w:type="dxa"/>
            <w:tcBorders>
              <w:tl2br w:val="nil"/>
              <w:tr2bl w:val="nil"/>
            </w:tcBorders>
            <w:noWrap/>
            <w:vAlign w:val="center"/>
          </w:tcPr>
          <w:p>
            <w:pPr>
              <w:pStyle w:val="28"/>
              <w:keepNext w:val="0"/>
              <w:keepLines w:val="0"/>
              <w:suppressLineNumbers w:val="0"/>
              <w:bidi w:val="0"/>
              <w:spacing w:before="0" w:beforeAutospacing="0" w:after="0" w:afterAutospacing="0"/>
              <w:ind w:left="0" w:leftChars="0" w:right="0" w:rightChars="0" w:firstLine="0" w:firstLineChars="0"/>
              <w:rPr>
                <w:rFonts w:hint="default"/>
                <w:b w:val="0"/>
                <w:bCs w:val="0"/>
                <w:color w:val="auto"/>
                <w:sz w:val="24"/>
                <w:szCs w:val="24"/>
                <w:highlight w:val="none"/>
                <w:lang w:val="en-US" w:eastAsia="zh-CN"/>
              </w:rPr>
            </w:pPr>
            <w:r>
              <w:rPr>
                <w:rFonts w:hint="eastAsia"/>
                <w:color w:val="auto"/>
                <w:sz w:val="24"/>
                <w:szCs w:val="24"/>
                <w:lang w:val="en-US" w:eastAsia="zh-CN"/>
              </w:rPr>
              <w:t>0.4</w:t>
            </w:r>
          </w:p>
        </w:tc>
        <w:tc>
          <w:tcPr>
            <w:tcW w:w="1132" w:type="dxa"/>
            <w:tcBorders>
              <w:tl2br w:val="nil"/>
              <w:tr2bl w:val="nil"/>
            </w:tcBorders>
            <w:noWrap/>
            <w:vAlign w:val="center"/>
          </w:tcPr>
          <w:p>
            <w:pPr>
              <w:pStyle w:val="28"/>
              <w:keepNext w:val="0"/>
              <w:keepLines w:val="0"/>
              <w:suppressLineNumbers w:val="0"/>
              <w:bidi w:val="0"/>
              <w:spacing w:before="0" w:beforeAutospacing="0" w:after="0" w:afterAutospacing="0"/>
              <w:ind w:left="0" w:leftChars="0" w:right="0" w:rightChars="0" w:firstLine="0" w:firstLineChars="0"/>
              <w:rPr>
                <w:rFonts w:hint="default"/>
                <w:b w:val="0"/>
                <w:bCs w:val="0"/>
                <w:color w:val="auto"/>
                <w:sz w:val="24"/>
                <w:szCs w:val="24"/>
                <w:highlight w:val="none"/>
                <w:lang w:val="en-US" w:eastAsia="zh-CN"/>
              </w:rPr>
            </w:pPr>
            <w:r>
              <w:rPr>
                <w:rFonts w:hint="eastAsia"/>
                <w:color w:val="auto"/>
                <w:sz w:val="24"/>
                <w:szCs w:val="24"/>
                <w:lang w:val="en-US" w:eastAsia="zh-CN"/>
              </w:rPr>
              <w:t>+0.4</w:t>
            </w:r>
          </w:p>
        </w:tc>
      </w:tr>
    </w:tbl>
    <w:p>
      <w:pPr>
        <w:rPr>
          <w:rFonts w:hint="eastAsia"/>
          <w:b/>
          <w:snapToGrid w:val="0"/>
          <w:color w:val="auto"/>
          <w:kern w:val="21"/>
          <w:szCs w:val="21"/>
        </w:rPr>
        <w:sectPr>
          <w:pgSz w:w="16838" w:h="11906" w:orient="landscape"/>
          <w:pgMar w:top="1440" w:right="141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b/>
          <w:snapToGrid w:val="0"/>
          <w:color w:val="auto"/>
          <w:kern w:val="21"/>
          <w:szCs w:val="21"/>
        </w:rPr>
        <w:t>注：</w:t>
      </w:r>
      <w:r>
        <w:rPr>
          <w:rFonts w:hint="eastAsia"/>
          <w:b/>
          <w:snapToGrid w:val="0"/>
          <w:color w:val="auto"/>
          <w:kern w:val="21"/>
          <w:szCs w:val="21"/>
        </w:rPr>
        <w:t>⑥=①+③+④－⑤；⑦=⑥－①</w:t>
      </w:r>
    </w:p>
    <w:p>
      <w:pPr>
        <w:rPr>
          <w:rFonts w:hint="default" w:eastAsia="宋体"/>
          <w:b/>
          <w:snapToGrid w:val="0"/>
          <w:color w:val="auto"/>
          <w:kern w:val="21"/>
          <w:szCs w:val="21"/>
          <w:lang w:val="en-US" w:eastAsia="zh-CN"/>
        </w:rPr>
      </w:pPr>
      <w:r>
        <w:rPr>
          <w:rFonts w:hint="eastAsia"/>
          <w:b/>
          <w:snapToGrid w:val="0"/>
          <w:color w:val="auto"/>
          <w:kern w:val="21"/>
          <w:szCs w:val="21"/>
          <w:lang w:val="en-US" w:eastAsia="zh-CN"/>
        </w:rPr>
        <w:t>附件1：</w:t>
      </w:r>
    </w:p>
    <w:p>
      <w:pPr>
        <w:jc w:val="center"/>
        <w:rPr>
          <w:rFonts w:hint="eastAsia" w:ascii="Times New Roman" w:hAnsi="Times New Roman" w:eastAsia="宋体" w:cs="Times New Roman"/>
          <w:b/>
          <w:color w:val="auto"/>
          <w:sz w:val="48"/>
          <w:szCs w:val="48"/>
          <w:lang w:eastAsia="zh-CN"/>
        </w:rPr>
      </w:pPr>
      <w:bookmarkStart w:id="267" w:name="OLE_LINK152"/>
    </w:p>
    <w:p>
      <w:pPr>
        <w:jc w:val="center"/>
        <w:rPr>
          <w:rFonts w:hint="eastAsia" w:ascii="Times New Roman" w:hAnsi="Times New Roman" w:eastAsia="宋体" w:cs="Times New Roman"/>
          <w:b/>
          <w:color w:val="auto"/>
          <w:sz w:val="48"/>
          <w:szCs w:val="48"/>
        </w:rPr>
      </w:pPr>
      <w:r>
        <w:rPr>
          <w:rFonts w:hint="eastAsia" w:ascii="Times New Roman" w:hAnsi="Times New Roman" w:eastAsia="宋体" w:cs="Times New Roman"/>
          <w:b/>
          <w:color w:val="auto"/>
          <w:sz w:val="48"/>
          <w:szCs w:val="48"/>
          <w:lang w:eastAsia="zh-CN"/>
        </w:rPr>
        <w:drawing>
          <wp:anchor distT="0" distB="0" distL="114300" distR="114300" simplePos="0" relativeHeight="251667456" behindDoc="0" locked="0" layoutInCell="1" allowOverlap="1">
            <wp:simplePos x="0" y="0"/>
            <wp:positionH relativeFrom="column">
              <wp:posOffset>-664210</wp:posOffset>
            </wp:positionH>
            <wp:positionV relativeFrom="paragraph">
              <wp:posOffset>321945</wp:posOffset>
            </wp:positionV>
            <wp:extent cx="7056120" cy="5241925"/>
            <wp:effectExtent l="0" t="0" r="11430" b="15875"/>
            <wp:wrapNone/>
            <wp:docPr id="12" name="图片 12" descr="Scanned_File_20260330_142900_616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Scanned_File_20260330_142900_616_page-0002"/>
                    <pic:cNvPicPr>
                      <a:picLocks noChangeAspect="1"/>
                    </pic:cNvPicPr>
                  </pic:nvPicPr>
                  <pic:blipFill>
                    <a:blip r:embed="rId24"/>
                    <a:srcRect t="9388" b="38094"/>
                    <a:stretch>
                      <a:fillRect/>
                    </a:stretch>
                  </pic:blipFill>
                  <pic:spPr>
                    <a:xfrm>
                      <a:off x="0" y="0"/>
                      <a:ext cx="7056120" cy="5241925"/>
                    </a:xfrm>
                    <a:prstGeom prst="rect">
                      <a:avLst/>
                    </a:prstGeom>
                  </pic:spPr>
                </pic:pic>
              </a:graphicData>
            </a:graphic>
          </wp:anchor>
        </w:drawing>
      </w:r>
    </w:p>
    <w:p>
      <w:pPr>
        <w:jc w:val="center"/>
        <w:rPr>
          <w:rFonts w:ascii="Times New Roman" w:hAnsi="Times New Roman" w:eastAsia="宋体" w:cs="Times New Roman"/>
          <w:b/>
          <w:color w:val="auto"/>
          <w:sz w:val="48"/>
          <w:szCs w:val="48"/>
        </w:rPr>
      </w:pPr>
      <w:r>
        <w:rPr>
          <w:rFonts w:hint="eastAsia" w:ascii="Times New Roman" w:hAnsi="Times New Roman" w:eastAsia="宋体" w:cs="Times New Roman"/>
          <w:b/>
          <w:color w:val="auto"/>
          <w:sz w:val="48"/>
          <w:szCs w:val="48"/>
        </w:rPr>
        <w:t>委 托 书</w:t>
      </w:r>
    </w:p>
    <w:p>
      <w:pPr>
        <w:spacing w:before="312" w:beforeLines="100"/>
        <w:rPr>
          <w:rFonts w:hint="eastAsia" w:ascii="Times New Roman" w:hAnsi="Times New Roman" w:eastAsia="宋体" w:cs="Times New Roman"/>
          <w:color w:val="auto"/>
          <w:sz w:val="28"/>
          <w:szCs w:val="28"/>
        </w:rPr>
      </w:pPr>
    </w:p>
    <w:p>
      <w:pPr>
        <w:spacing w:before="312" w:beforeLines="100"/>
        <w:rPr>
          <w:rFonts w:hint="default" w:ascii="Times New Roman" w:hAnsi="Times New Roman" w:eastAsia="宋体" w:cs="Times New Roman"/>
          <w:color w:val="auto"/>
          <w:sz w:val="28"/>
          <w:szCs w:val="28"/>
        </w:rPr>
      </w:pPr>
      <w:r>
        <w:rPr>
          <w:rFonts w:hint="eastAsia" w:cs="Times New Roman"/>
          <w:color w:val="auto"/>
          <w:sz w:val="28"/>
          <w:szCs w:val="28"/>
          <w:lang w:val="en-US" w:eastAsia="zh-CN"/>
        </w:rPr>
        <w:t>河南美达峰生态技术有限公司</w:t>
      </w:r>
      <w:r>
        <w:rPr>
          <w:rFonts w:hint="default" w:ascii="Times New Roman" w:hAnsi="Times New Roman" w:eastAsia="宋体" w:cs="Times New Roman"/>
          <w:color w:val="auto"/>
          <w:sz w:val="28"/>
          <w:szCs w:val="28"/>
        </w:rPr>
        <w:t>：</w:t>
      </w:r>
    </w:p>
    <w:p>
      <w:pPr>
        <w:ind w:firstLine="560" w:firstLineChars="200"/>
        <w:jc w:val="both"/>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我单位投资</w:t>
      </w:r>
      <w:r>
        <w:rPr>
          <w:rFonts w:hint="default" w:ascii="Times New Roman" w:hAnsi="Times New Roman" w:eastAsia="宋体" w:cs="Times New Roman"/>
          <w:color w:val="auto"/>
          <w:sz w:val="28"/>
          <w:szCs w:val="28"/>
          <w:lang w:val="en-US" w:eastAsia="zh-CN"/>
        </w:rPr>
        <w:t>1</w:t>
      </w:r>
      <w:r>
        <w:rPr>
          <w:rFonts w:hint="eastAsia" w:cs="Times New Roman"/>
          <w:color w:val="auto"/>
          <w:sz w:val="28"/>
          <w:szCs w:val="28"/>
          <w:lang w:val="en-US" w:eastAsia="zh-CN"/>
        </w:rPr>
        <w:t>0</w:t>
      </w:r>
      <w:r>
        <w:rPr>
          <w:rFonts w:hint="default" w:ascii="Times New Roman" w:hAnsi="Times New Roman" w:eastAsia="宋体" w:cs="Times New Roman"/>
          <w:color w:val="auto"/>
          <w:sz w:val="28"/>
          <w:szCs w:val="28"/>
          <w:lang w:val="en-US" w:eastAsia="zh-CN"/>
        </w:rPr>
        <w:t>0</w:t>
      </w:r>
      <w:r>
        <w:rPr>
          <w:rFonts w:hint="eastAsia" w:cs="Times New Roman"/>
          <w:color w:val="auto"/>
          <w:sz w:val="28"/>
          <w:szCs w:val="28"/>
          <w:lang w:val="en-US" w:eastAsia="zh-CN"/>
        </w:rPr>
        <w:t>万元</w:t>
      </w:r>
      <w:r>
        <w:rPr>
          <w:rFonts w:hint="default" w:ascii="Times New Roman" w:hAnsi="Times New Roman" w:eastAsia="宋体" w:cs="Times New Roman"/>
          <w:color w:val="auto"/>
          <w:sz w:val="28"/>
          <w:szCs w:val="28"/>
        </w:rPr>
        <w:t>在</w:t>
      </w:r>
      <w:bookmarkStart w:id="268" w:name="OLE_LINK124"/>
      <w:r>
        <w:rPr>
          <w:rFonts w:hint="eastAsia" w:cs="Times New Roman"/>
          <w:color w:val="auto"/>
          <w:sz w:val="28"/>
          <w:szCs w:val="28"/>
          <w:lang w:eastAsia="zh-CN"/>
        </w:rPr>
        <w:t>河南省新乡市卫滨区人民路西环路交叉口向西300米路南</w:t>
      </w:r>
      <w:bookmarkEnd w:id="268"/>
      <w:r>
        <w:rPr>
          <w:rFonts w:hint="default" w:ascii="Times New Roman" w:hAnsi="Times New Roman" w:eastAsia="宋体" w:cs="Times New Roman"/>
          <w:color w:val="auto"/>
          <w:sz w:val="28"/>
          <w:szCs w:val="28"/>
        </w:rPr>
        <w:t>建设</w:t>
      </w:r>
      <w:bookmarkStart w:id="269" w:name="OLE_LINK114"/>
      <w:r>
        <w:rPr>
          <w:rFonts w:hint="eastAsia"/>
          <w:b/>
          <w:bCs/>
          <w:color w:val="auto"/>
          <w:sz w:val="28"/>
          <w:szCs w:val="28"/>
          <w:u w:val="single"/>
          <w:lang w:val="en-US" w:eastAsia="zh-CN"/>
        </w:rPr>
        <w:t>绩昌废铅蓄电池回收项目</w:t>
      </w:r>
      <w:bookmarkEnd w:id="269"/>
      <w:r>
        <w:rPr>
          <w:rFonts w:hint="default" w:ascii="Times New Roman" w:hAnsi="Times New Roman" w:eastAsia="宋体" w:cs="Times New Roman"/>
          <w:color w:val="auto"/>
          <w:sz w:val="28"/>
          <w:szCs w:val="28"/>
        </w:rPr>
        <w:t>，根据国家环保法律法规要求需办理环评手续，我方委托你单位对该项目开展环境影响评价工作。</w:t>
      </w:r>
    </w:p>
    <w:p>
      <w:pPr>
        <w:jc w:val="right"/>
        <w:rPr>
          <w:rFonts w:hint="default" w:ascii="Times New Roman" w:hAnsi="Times New Roman" w:eastAsia="宋体" w:cs="Times New Roman"/>
          <w:color w:val="auto"/>
          <w:sz w:val="28"/>
          <w:szCs w:val="28"/>
        </w:rPr>
      </w:pPr>
    </w:p>
    <w:p>
      <w:pPr>
        <w:ind w:right="280"/>
        <w:jc w:val="right"/>
        <w:rPr>
          <w:rFonts w:hint="default" w:ascii="Times New Roman" w:hAnsi="Times New Roman" w:eastAsia="宋体" w:cs="Times New Roman"/>
          <w:color w:val="auto"/>
          <w:sz w:val="28"/>
          <w:szCs w:val="28"/>
          <w:highlight w:val="none"/>
          <w:lang w:val="en-US" w:eastAsia="zh-CN"/>
        </w:rPr>
      </w:pPr>
      <w:r>
        <w:rPr>
          <w:rFonts w:hint="eastAsia" w:cs="Times New Roman"/>
          <w:color w:val="auto"/>
          <w:sz w:val="28"/>
          <w:szCs w:val="28"/>
          <w:lang w:val="en-US" w:eastAsia="zh-CN"/>
        </w:rPr>
        <w:t>新乡市绩昌再生资源回收有限公司</w:t>
      </w:r>
    </w:p>
    <w:p>
      <w:pPr>
        <w:rPr>
          <w:rFonts w:hint="default" w:ascii="Times New Roman" w:hAnsi="Times New Roman" w:cs="Times New Roman"/>
          <w:b/>
          <w:snapToGrid w:val="0"/>
          <w:color w:val="auto"/>
          <w:kern w:val="21"/>
          <w:szCs w:val="21"/>
        </w:rPr>
      </w:pPr>
      <w:r>
        <w:rPr>
          <w:rFonts w:hint="default" w:ascii="Times New Roman" w:hAnsi="Times New Roman" w:eastAsia="宋体" w:cs="Times New Roman"/>
          <w:color w:val="auto"/>
          <w:sz w:val="28"/>
          <w:szCs w:val="28"/>
          <w:highlight w:val="none"/>
          <w:lang w:val="en-US" w:eastAsia="zh-CN"/>
        </w:rPr>
        <w:t xml:space="preserve">                                      </w:t>
      </w:r>
      <w:r>
        <w:rPr>
          <w:rFonts w:hint="default" w:ascii="Times New Roman" w:hAnsi="Times New Roman" w:eastAsia="宋体" w:cs="Times New Roman"/>
          <w:color w:val="auto"/>
          <w:sz w:val="28"/>
          <w:szCs w:val="28"/>
          <w:highlight w:val="none"/>
        </w:rPr>
        <w:t>202</w:t>
      </w:r>
      <w:r>
        <w:rPr>
          <w:rFonts w:hint="eastAsia" w:cs="Times New Roman"/>
          <w:color w:val="auto"/>
          <w:sz w:val="28"/>
          <w:szCs w:val="28"/>
          <w:highlight w:val="none"/>
          <w:lang w:val="en-US" w:eastAsia="zh-CN"/>
        </w:rPr>
        <w:t>6</w:t>
      </w:r>
      <w:r>
        <w:rPr>
          <w:rFonts w:hint="default" w:ascii="Times New Roman" w:hAnsi="Times New Roman" w:eastAsia="宋体" w:cs="Times New Roman"/>
          <w:color w:val="auto"/>
          <w:sz w:val="28"/>
          <w:szCs w:val="28"/>
          <w:highlight w:val="none"/>
        </w:rPr>
        <w:t>年</w:t>
      </w:r>
      <w:r>
        <w:rPr>
          <w:rFonts w:hint="eastAsia" w:cs="Times New Roman"/>
          <w:color w:val="auto"/>
          <w:sz w:val="28"/>
          <w:szCs w:val="28"/>
          <w:highlight w:val="none"/>
          <w:lang w:val="en-US" w:eastAsia="zh-CN"/>
        </w:rPr>
        <w:t>3</w:t>
      </w:r>
      <w:r>
        <w:rPr>
          <w:rFonts w:hint="default" w:ascii="Times New Roman" w:hAnsi="Times New Roman" w:eastAsia="宋体" w:cs="Times New Roman"/>
          <w:color w:val="auto"/>
          <w:sz w:val="28"/>
          <w:szCs w:val="28"/>
          <w:highlight w:val="none"/>
        </w:rPr>
        <w:t>月</w:t>
      </w:r>
      <w:r>
        <w:rPr>
          <w:rFonts w:hint="eastAsia" w:cs="Times New Roman"/>
          <w:color w:val="auto"/>
          <w:sz w:val="28"/>
          <w:szCs w:val="28"/>
          <w:highlight w:val="none"/>
          <w:lang w:val="en-US" w:eastAsia="zh-CN"/>
        </w:rPr>
        <w:t>11</w:t>
      </w:r>
      <w:r>
        <w:rPr>
          <w:rFonts w:hint="default" w:ascii="Times New Roman" w:hAnsi="Times New Roman" w:eastAsia="宋体" w:cs="Times New Roman"/>
          <w:color w:val="auto"/>
          <w:sz w:val="28"/>
          <w:szCs w:val="28"/>
          <w:highlight w:val="none"/>
        </w:rPr>
        <w:t>日</w:t>
      </w:r>
    </w:p>
    <w:p>
      <w:pPr>
        <w:rPr>
          <w:rFonts w:hint="eastAsia"/>
          <w:b/>
          <w:snapToGrid w:val="0"/>
          <w:color w:val="auto"/>
          <w:kern w:val="21"/>
          <w:szCs w:val="21"/>
        </w:rPr>
      </w:pPr>
    </w:p>
    <w:p>
      <w:pPr>
        <w:rPr>
          <w:rFonts w:hint="eastAsia"/>
          <w:b/>
          <w:snapToGrid w:val="0"/>
          <w:color w:val="auto"/>
          <w:kern w:val="21"/>
          <w:szCs w:val="21"/>
        </w:rPr>
      </w:pPr>
    </w:p>
    <w:p>
      <w:pPr>
        <w:rPr>
          <w:rFonts w:hint="eastAsia"/>
          <w:b/>
          <w:snapToGrid w:val="0"/>
          <w:color w:val="auto"/>
          <w:kern w:val="21"/>
          <w:szCs w:val="21"/>
        </w:rPr>
      </w:pPr>
    </w:p>
    <w:p>
      <w:pPr>
        <w:rPr>
          <w:rFonts w:hint="eastAsia"/>
          <w:b/>
          <w:snapToGrid w:val="0"/>
          <w:color w:val="auto"/>
          <w:kern w:val="21"/>
          <w:szCs w:val="21"/>
        </w:rPr>
      </w:pPr>
    </w:p>
    <w:p>
      <w:pPr>
        <w:rPr>
          <w:rFonts w:hint="eastAsia"/>
          <w:b/>
          <w:snapToGrid w:val="0"/>
          <w:color w:val="auto"/>
          <w:kern w:val="21"/>
          <w:szCs w:val="21"/>
        </w:rPr>
      </w:pPr>
    </w:p>
    <w:p>
      <w:pPr>
        <w:rPr>
          <w:rFonts w:hint="eastAsia" w:eastAsia="宋体"/>
          <w:b/>
          <w:snapToGrid w:val="0"/>
          <w:color w:val="auto"/>
          <w:kern w:val="21"/>
          <w:szCs w:val="21"/>
          <w:lang w:eastAsia="zh-CN"/>
        </w:rPr>
        <w:sectPr>
          <w:footerReference r:id="rId8" w:type="default"/>
          <w:pgSz w:w="11906" w:h="16838"/>
          <w:pgMar w:top="1417" w:right="1440" w:bottom="141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267"/>
    <w:p>
      <w:pPr>
        <w:rPr>
          <w:rFonts w:hint="default" w:eastAsia="宋体"/>
          <w:b/>
          <w:snapToGrid w:val="0"/>
          <w:color w:val="auto"/>
          <w:kern w:val="21"/>
          <w:szCs w:val="21"/>
          <w:lang w:val="en-US" w:eastAsia="zh-CN"/>
        </w:rPr>
      </w:pPr>
      <w:bookmarkStart w:id="270" w:name="OLE_LINK36"/>
      <w:r>
        <w:rPr>
          <w:rFonts w:hint="eastAsia"/>
          <w:b/>
          <w:snapToGrid w:val="0"/>
          <w:color w:val="auto"/>
          <w:kern w:val="21"/>
          <w:szCs w:val="21"/>
          <w:lang w:val="en-US" w:eastAsia="zh-CN"/>
        </w:rPr>
        <w:drawing>
          <wp:anchor distT="0" distB="0" distL="114300" distR="114300" simplePos="0" relativeHeight="251667456" behindDoc="1" locked="0" layoutInCell="1" allowOverlap="1">
            <wp:simplePos x="0" y="0"/>
            <wp:positionH relativeFrom="column">
              <wp:posOffset>-562610</wp:posOffset>
            </wp:positionH>
            <wp:positionV relativeFrom="paragraph">
              <wp:posOffset>-324485</wp:posOffset>
            </wp:positionV>
            <wp:extent cx="6840220" cy="9711055"/>
            <wp:effectExtent l="0" t="0" r="17780" b="4445"/>
            <wp:wrapNone/>
            <wp:docPr id="4" name="图片 4" descr="cf865a754e261ffa9f119c4c6986ff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f865a754e261ffa9f119c4c6986ff2b"/>
                    <pic:cNvPicPr>
                      <a:picLocks noChangeAspect="1"/>
                    </pic:cNvPicPr>
                  </pic:nvPicPr>
                  <pic:blipFill>
                    <a:blip r:embed="rId25"/>
                    <a:stretch>
                      <a:fillRect/>
                    </a:stretch>
                  </pic:blipFill>
                  <pic:spPr>
                    <a:xfrm>
                      <a:off x="0" y="0"/>
                      <a:ext cx="6840220" cy="9711055"/>
                    </a:xfrm>
                    <a:prstGeom prst="rect">
                      <a:avLst/>
                    </a:prstGeom>
                  </pic:spPr>
                </pic:pic>
              </a:graphicData>
            </a:graphic>
          </wp:anchor>
        </w:drawing>
      </w:r>
      <w:r>
        <w:rPr>
          <w:rFonts w:hint="eastAsia"/>
          <w:b/>
          <w:snapToGrid w:val="0"/>
          <w:color w:val="auto"/>
          <w:kern w:val="21"/>
          <w:szCs w:val="21"/>
          <w:lang w:val="en-US" w:eastAsia="zh-CN"/>
        </w:rPr>
        <w:t>附件2：</w:t>
      </w:r>
    </w:p>
    <w:bookmarkEnd w:id="270"/>
    <w:p>
      <w:pPr>
        <w:rPr>
          <w:rFonts w:hint="eastAsia" w:eastAsia="宋体"/>
          <w:b/>
          <w:snapToGrid w:val="0"/>
          <w:color w:val="auto"/>
          <w:kern w:val="21"/>
          <w:szCs w:val="21"/>
          <w:lang w:eastAsia="zh-CN"/>
        </w:rPr>
      </w:pPr>
    </w:p>
    <w:p>
      <w:pPr>
        <w:rPr>
          <w:rFonts w:hint="eastAsia"/>
          <w:b/>
          <w:snapToGrid w:val="0"/>
          <w:color w:val="auto"/>
          <w:kern w:val="21"/>
          <w:szCs w:val="21"/>
          <w:lang w:val="en-US" w:eastAsia="zh-CN"/>
        </w:rPr>
      </w:pPr>
      <w:r>
        <w:rPr>
          <w:rFonts w:hint="eastAsia"/>
          <w:b/>
          <w:snapToGrid w:val="0"/>
          <w:color w:val="auto"/>
          <w:kern w:val="21"/>
          <w:szCs w:val="21"/>
        </w:rPr>
        <w:br w:type="page"/>
      </w:r>
      <w:bookmarkStart w:id="271" w:name="OLE_LINK116"/>
      <w:r>
        <w:rPr>
          <w:rFonts w:hint="eastAsia"/>
          <w:b/>
          <w:snapToGrid w:val="0"/>
          <w:color w:val="auto"/>
          <w:kern w:val="21"/>
          <w:szCs w:val="21"/>
          <w:lang w:val="en-US" w:eastAsia="zh-CN"/>
        </w:rPr>
        <w:t>附件3：</w:t>
      </w:r>
    </w:p>
    <w:p>
      <w:pPr>
        <w:rPr>
          <w:rFonts w:hint="eastAsia"/>
          <w:b/>
          <w:snapToGrid w:val="0"/>
          <w:color w:val="auto"/>
          <w:kern w:val="21"/>
          <w:szCs w:val="21"/>
          <w:lang w:val="en-US" w:eastAsia="zh-CN"/>
        </w:rPr>
      </w:pPr>
    </w:p>
    <w:p>
      <w:pPr>
        <w:rPr>
          <w:rFonts w:hint="eastAsia"/>
          <w:b/>
          <w:snapToGrid w:val="0"/>
          <w:color w:val="auto"/>
          <w:kern w:val="21"/>
          <w:szCs w:val="21"/>
          <w:lang w:val="en-US" w:eastAsia="zh-CN"/>
        </w:rPr>
      </w:pPr>
      <w:r>
        <w:rPr>
          <w:rFonts w:hint="eastAsia"/>
          <w:b/>
          <w:snapToGrid w:val="0"/>
          <w:color w:val="auto"/>
          <w:kern w:val="21"/>
          <w:szCs w:val="21"/>
          <w:lang w:val="en-US" w:eastAsia="zh-CN"/>
        </w:rPr>
        <w:drawing>
          <wp:anchor distT="0" distB="0" distL="114300" distR="114300" simplePos="0" relativeHeight="251668480" behindDoc="0" locked="0" layoutInCell="1" allowOverlap="1">
            <wp:simplePos x="0" y="0"/>
            <wp:positionH relativeFrom="column">
              <wp:posOffset>-790575</wp:posOffset>
            </wp:positionH>
            <wp:positionV relativeFrom="paragraph">
              <wp:posOffset>143510</wp:posOffset>
            </wp:positionV>
            <wp:extent cx="7115175" cy="6047740"/>
            <wp:effectExtent l="0" t="0" r="9525" b="10160"/>
            <wp:wrapNone/>
            <wp:docPr id="13" name="图片 13" descr="Scanned_File_20260330_142900_616_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canned_File_20260330_142900_616_page-0003"/>
                    <pic:cNvPicPr>
                      <a:picLocks noChangeAspect="1"/>
                    </pic:cNvPicPr>
                  </pic:nvPicPr>
                  <pic:blipFill>
                    <a:blip r:embed="rId26"/>
                    <a:srcRect t="8621" b="31329"/>
                    <a:stretch>
                      <a:fillRect/>
                    </a:stretch>
                  </pic:blipFill>
                  <pic:spPr>
                    <a:xfrm>
                      <a:off x="0" y="0"/>
                      <a:ext cx="7115175" cy="6047740"/>
                    </a:xfrm>
                    <a:prstGeom prst="rect">
                      <a:avLst/>
                    </a:prstGeom>
                  </pic:spPr>
                </pic:pic>
              </a:graphicData>
            </a:graphic>
          </wp:anchor>
        </w:drawing>
      </w:r>
    </w:p>
    <w:p>
      <w:pPr>
        <w:rPr>
          <w:rFonts w:hint="eastAsia"/>
          <w:b/>
          <w:snapToGrid w:val="0"/>
          <w:color w:val="auto"/>
          <w:kern w:val="21"/>
          <w:szCs w:val="21"/>
          <w:lang w:val="en-US" w:eastAsia="zh-CN"/>
        </w:rPr>
      </w:pPr>
    </w:p>
    <w:p>
      <w:pPr>
        <w:jc w:val="center"/>
        <w:rPr>
          <w:rFonts w:hint="eastAsia" w:eastAsia="宋体"/>
          <w:b/>
          <w:color w:val="auto"/>
          <w:sz w:val="32"/>
          <w:szCs w:val="32"/>
          <w:highlight w:val="none"/>
          <w:lang w:val="en-US" w:eastAsia="zh-CN"/>
        </w:rPr>
      </w:pPr>
      <w:r>
        <w:rPr>
          <w:rFonts w:hint="eastAsia" w:eastAsia="宋体"/>
          <w:b/>
          <w:color w:val="auto"/>
          <w:sz w:val="32"/>
          <w:szCs w:val="32"/>
          <w:highlight w:val="none"/>
          <w:lang w:val="en-US" w:eastAsia="zh-CN"/>
        </w:rPr>
        <w:t>承诺确认书</w:t>
      </w:r>
    </w:p>
    <w:bookmarkEnd w:id="271"/>
    <w:p>
      <w:pPr>
        <w:spacing w:beforeLines="0" w:afterLines="0"/>
        <w:jc w:val="center"/>
        <w:rPr>
          <w:rFonts w:hint="eastAsia" w:ascii="宋体" w:hAnsi="宋体" w:eastAsia="宋体"/>
          <w:color w:val="auto"/>
          <w:sz w:val="28"/>
          <w:szCs w:val="24"/>
          <w:highlight w:val="none"/>
        </w:rPr>
      </w:pPr>
    </w:p>
    <w:p>
      <w:pPr>
        <w:keepNext w:val="0"/>
        <w:keepLines w:val="0"/>
        <w:pageBreakBefore w:val="0"/>
        <w:widowControl/>
        <w:kinsoku/>
        <w:wordWrap/>
        <w:overflowPunct/>
        <w:topLinePunct w:val="0"/>
        <w:autoSpaceDE/>
        <w:autoSpaceDN/>
        <w:bidi w:val="0"/>
        <w:adjustRightInd/>
        <w:snapToGrid/>
        <w:spacing w:beforeLines="0" w:afterLines="0"/>
        <w:ind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我</w:t>
      </w:r>
      <w:r>
        <w:rPr>
          <w:rFonts w:hint="default" w:ascii="Times New Roman" w:hAnsi="Times New Roman" w:cs="Times New Roman"/>
          <w:color w:val="auto"/>
          <w:sz w:val="28"/>
          <w:szCs w:val="28"/>
          <w:highlight w:val="none"/>
          <w:lang w:val="en-US" w:eastAsia="zh-CN"/>
        </w:rPr>
        <w:t>单位</w:t>
      </w:r>
      <w:r>
        <w:rPr>
          <w:rFonts w:hint="default" w:ascii="Times New Roman" w:hAnsi="Times New Roman" w:eastAsia="宋体" w:cs="Times New Roman"/>
          <w:color w:val="auto"/>
          <w:sz w:val="28"/>
          <w:szCs w:val="28"/>
          <w:highlight w:val="none"/>
        </w:rPr>
        <w:t>委托</w:t>
      </w:r>
      <w:r>
        <w:rPr>
          <w:rFonts w:hint="eastAsia" w:cs="Times New Roman"/>
          <w:color w:val="auto"/>
          <w:sz w:val="28"/>
          <w:szCs w:val="28"/>
          <w:highlight w:val="none"/>
          <w:u w:val="single"/>
          <w:lang w:eastAsia="zh-CN"/>
        </w:rPr>
        <w:t>河南美达峰生态技术有限公司</w:t>
      </w:r>
      <w:r>
        <w:rPr>
          <w:rFonts w:hint="default" w:ascii="Times New Roman" w:hAnsi="Times New Roman" w:eastAsia="宋体" w:cs="Times New Roman"/>
          <w:color w:val="auto"/>
          <w:sz w:val="28"/>
          <w:szCs w:val="28"/>
          <w:highlight w:val="none"/>
        </w:rPr>
        <w:t>编制</w:t>
      </w:r>
      <w:r>
        <w:rPr>
          <w:rFonts w:hint="eastAsia"/>
          <w:b/>
          <w:bCs/>
          <w:color w:val="auto"/>
          <w:sz w:val="28"/>
          <w:szCs w:val="28"/>
          <w:u w:val="single"/>
          <w:lang w:val="en-US" w:eastAsia="zh-CN"/>
        </w:rPr>
        <w:t>绩昌废铅蓄电池回收项目</w:t>
      </w:r>
      <w:r>
        <w:rPr>
          <w:rFonts w:hint="default" w:ascii="Times New Roman" w:hAnsi="Times New Roman" w:eastAsia="宋体" w:cs="Times New Roman"/>
          <w:color w:val="auto"/>
          <w:sz w:val="28"/>
          <w:szCs w:val="28"/>
          <w:highlight w:val="none"/>
        </w:rPr>
        <w:t>环境影响报告</w:t>
      </w:r>
      <w:r>
        <w:rPr>
          <w:rFonts w:hint="eastAsia" w:ascii="Times New Roman" w:hAnsi="Times New Roman" w:eastAsia="宋体" w:cs="Times New Roman"/>
          <w:color w:val="auto"/>
          <w:sz w:val="28"/>
          <w:szCs w:val="28"/>
          <w:highlight w:val="none"/>
          <w:lang w:val="en-US" w:eastAsia="zh-CN"/>
        </w:rPr>
        <w:t>表</w:t>
      </w:r>
      <w:r>
        <w:rPr>
          <w:rFonts w:hint="default" w:ascii="Times New Roman" w:hAnsi="Times New Roman" w:eastAsia="宋体" w:cs="Times New Roman"/>
          <w:color w:val="auto"/>
          <w:sz w:val="28"/>
          <w:szCs w:val="28"/>
          <w:highlight w:val="none"/>
        </w:rPr>
        <w:t>。编制过程中如实向编制单位提供了技术资料，对</w:t>
      </w:r>
      <w:r>
        <w:rPr>
          <w:rFonts w:hint="eastAsia"/>
          <w:b/>
          <w:bCs/>
          <w:color w:val="auto"/>
          <w:sz w:val="28"/>
          <w:szCs w:val="28"/>
          <w:u w:val="single"/>
          <w:lang w:val="en-US" w:eastAsia="zh-CN"/>
        </w:rPr>
        <w:t>绩昌废铅蓄电池回收项目</w:t>
      </w:r>
      <w:r>
        <w:rPr>
          <w:rFonts w:hint="default" w:ascii="Times New Roman" w:hAnsi="Times New Roman" w:eastAsia="宋体" w:cs="Times New Roman"/>
          <w:color w:val="auto"/>
          <w:sz w:val="28"/>
          <w:szCs w:val="28"/>
          <w:highlight w:val="none"/>
        </w:rPr>
        <w:t>环境影响报告</w:t>
      </w:r>
      <w:r>
        <w:rPr>
          <w:rFonts w:hint="eastAsia" w:ascii="Times New Roman" w:hAnsi="Times New Roman" w:eastAsia="宋体" w:cs="Times New Roman"/>
          <w:color w:val="auto"/>
          <w:sz w:val="28"/>
          <w:szCs w:val="28"/>
          <w:highlight w:val="none"/>
          <w:lang w:val="en-US" w:eastAsia="zh-CN"/>
        </w:rPr>
        <w:t>表</w:t>
      </w:r>
      <w:r>
        <w:rPr>
          <w:rFonts w:hint="default" w:ascii="Times New Roman" w:hAnsi="Times New Roman" w:eastAsia="宋体" w:cs="Times New Roman"/>
          <w:color w:val="auto"/>
          <w:sz w:val="28"/>
          <w:szCs w:val="28"/>
          <w:highlight w:val="none"/>
        </w:rPr>
        <w:t>内容进行了审核</w:t>
      </w:r>
      <w:r>
        <w:rPr>
          <w:rFonts w:hint="default" w:ascii="Times New Roman" w:hAnsi="Times New Roman" w:eastAsia="宋体" w:cs="Times New Roman"/>
          <w:color w:val="auto"/>
          <w:sz w:val="28"/>
          <w:szCs w:val="28"/>
          <w:highlight w:val="none"/>
          <w:lang w:eastAsia="zh-CN"/>
        </w:rPr>
        <w:t>、</w:t>
      </w:r>
      <w:r>
        <w:rPr>
          <w:rFonts w:hint="default" w:ascii="Times New Roman" w:hAnsi="Times New Roman" w:eastAsia="宋体" w:cs="Times New Roman"/>
          <w:color w:val="auto"/>
          <w:sz w:val="28"/>
          <w:szCs w:val="28"/>
          <w:highlight w:val="none"/>
          <w:lang w:val="en-US" w:eastAsia="zh-CN"/>
        </w:rPr>
        <w:t>确认</w:t>
      </w:r>
      <w:r>
        <w:rPr>
          <w:rFonts w:hint="default" w:ascii="Times New Roman" w:hAnsi="Times New Roman" w:eastAsia="宋体" w:cs="Times New Roman"/>
          <w:color w:val="auto"/>
          <w:sz w:val="28"/>
          <w:szCs w:val="28"/>
          <w:highlight w:val="none"/>
        </w:rPr>
        <w:t>，该报告</w:t>
      </w:r>
      <w:r>
        <w:rPr>
          <w:rFonts w:hint="default" w:ascii="Times New Roman" w:hAnsi="Times New Roman" w:eastAsia="宋体" w:cs="Times New Roman"/>
          <w:color w:val="auto"/>
          <w:sz w:val="28"/>
          <w:szCs w:val="28"/>
          <w:highlight w:val="none"/>
          <w:lang w:val="en-US" w:eastAsia="zh-CN"/>
        </w:rPr>
        <w:t>编制</w:t>
      </w:r>
      <w:r>
        <w:rPr>
          <w:rFonts w:hint="default" w:ascii="Times New Roman" w:hAnsi="Times New Roman" w:eastAsia="宋体" w:cs="Times New Roman"/>
          <w:color w:val="auto"/>
          <w:sz w:val="28"/>
          <w:szCs w:val="28"/>
          <w:highlight w:val="none"/>
        </w:rPr>
        <w:t>内容</w:t>
      </w:r>
      <w:r>
        <w:rPr>
          <w:rFonts w:hint="default" w:ascii="Times New Roman" w:hAnsi="Times New Roman" w:eastAsia="宋体" w:cs="Times New Roman"/>
          <w:color w:val="auto"/>
          <w:sz w:val="28"/>
          <w:szCs w:val="28"/>
          <w:highlight w:val="none"/>
          <w:lang w:val="en-US" w:eastAsia="zh-CN"/>
        </w:rPr>
        <w:t>、</w:t>
      </w:r>
      <w:r>
        <w:rPr>
          <w:rFonts w:hint="default" w:ascii="Times New Roman" w:hAnsi="Times New Roman" w:eastAsia="宋体" w:cs="Times New Roman"/>
          <w:color w:val="auto"/>
          <w:sz w:val="28"/>
          <w:szCs w:val="28"/>
          <w:highlight w:val="none"/>
        </w:rPr>
        <w:t>附图、附件</w:t>
      </w:r>
      <w:r>
        <w:rPr>
          <w:rFonts w:hint="default" w:ascii="Times New Roman" w:hAnsi="Times New Roman" w:eastAsia="宋体" w:cs="Times New Roman"/>
          <w:color w:val="auto"/>
          <w:sz w:val="28"/>
          <w:szCs w:val="28"/>
          <w:highlight w:val="none"/>
          <w:lang w:val="en-US" w:eastAsia="zh-CN"/>
        </w:rPr>
        <w:t>均</w:t>
      </w:r>
      <w:r>
        <w:rPr>
          <w:rFonts w:hint="default" w:ascii="Times New Roman" w:hAnsi="Times New Roman" w:eastAsia="宋体" w:cs="Times New Roman"/>
          <w:color w:val="auto"/>
          <w:sz w:val="28"/>
          <w:szCs w:val="28"/>
          <w:highlight w:val="none"/>
        </w:rPr>
        <w:t>与实际情况相符，我单位同意</w:t>
      </w:r>
      <w:r>
        <w:rPr>
          <w:rFonts w:hint="eastAsia"/>
          <w:b/>
          <w:bCs/>
          <w:color w:val="auto"/>
          <w:sz w:val="28"/>
          <w:szCs w:val="28"/>
          <w:u w:val="single"/>
          <w:lang w:val="en-US" w:eastAsia="zh-CN"/>
        </w:rPr>
        <w:t>绩昌废铅蓄电池回收项目</w:t>
      </w:r>
      <w:r>
        <w:rPr>
          <w:rFonts w:hint="default" w:ascii="Times New Roman" w:hAnsi="Times New Roman" w:eastAsia="宋体" w:cs="Times New Roman"/>
          <w:color w:val="auto"/>
          <w:sz w:val="28"/>
          <w:szCs w:val="28"/>
          <w:highlight w:val="none"/>
        </w:rPr>
        <w:t>环境影响报告</w:t>
      </w:r>
      <w:r>
        <w:rPr>
          <w:rFonts w:hint="eastAsia" w:ascii="Times New Roman" w:hAnsi="Times New Roman" w:eastAsia="宋体" w:cs="Times New Roman"/>
          <w:color w:val="auto"/>
          <w:sz w:val="28"/>
          <w:szCs w:val="28"/>
          <w:highlight w:val="none"/>
          <w:lang w:val="en-US" w:eastAsia="zh-CN"/>
        </w:rPr>
        <w:t>表</w:t>
      </w:r>
      <w:r>
        <w:rPr>
          <w:rFonts w:hint="default" w:ascii="Times New Roman" w:hAnsi="Times New Roman" w:eastAsia="宋体" w:cs="Times New Roman"/>
          <w:color w:val="auto"/>
          <w:sz w:val="28"/>
          <w:szCs w:val="28"/>
          <w:highlight w:val="none"/>
        </w:rPr>
        <w:t>中给出的结论。</w:t>
      </w:r>
    </w:p>
    <w:p>
      <w:pPr>
        <w:spacing w:beforeLines="0" w:afterLines="0"/>
        <w:ind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本报告不涉及国家秘密、商业秘密以及个人隐私。</w:t>
      </w:r>
    </w:p>
    <w:p>
      <w:pPr>
        <w:spacing w:beforeLines="0" w:afterLines="0"/>
        <w:jc w:val="right"/>
        <w:rPr>
          <w:rFonts w:hint="default" w:ascii="Times New Roman" w:hAnsi="Times New Roman" w:eastAsia="宋体" w:cs="Times New Roman"/>
          <w:color w:val="auto"/>
          <w:sz w:val="28"/>
          <w:szCs w:val="28"/>
          <w:highlight w:val="none"/>
        </w:rPr>
      </w:pPr>
    </w:p>
    <w:p>
      <w:pPr>
        <w:spacing w:beforeLines="0" w:afterLines="0"/>
        <w:jc w:val="right"/>
        <w:rPr>
          <w:rFonts w:hint="eastAsia" w:ascii="Times New Roman" w:hAnsi="Times New Roman" w:eastAsia="宋体" w:cs="Times New Roman"/>
          <w:color w:val="auto"/>
          <w:sz w:val="28"/>
          <w:szCs w:val="28"/>
          <w:highlight w:val="none"/>
          <w:lang w:eastAsia="zh-CN"/>
        </w:rPr>
      </w:pPr>
      <w:r>
        <w:rPr>
          <w:rFonts w:hint="default" w:ascii="Times New Roman" w:hAnsi="Times New Roman" w:eastAsia="宋体" w:cs="Times New Roman"/>
          <w:color w:val="auto"/>
          <w:sz w:val="28"/>
          <w:szCs w:val="28"/>
          <w:highlight w:val="none"/>
        </w:rPr>
        <w:t>确认单位：</w:t>
      </w:r>
      <w:r>
        <w:rPr>
          <w:rFonts w:hint="eastAsia" w:cs="Times New Roman"/>
          <w:color w:val="auto"/>
          <w:sz w:val="28"/>
          <w:szCs w:val="28"/>
          <w:highlight w:val="none"/>
          <w:lang w:eastAsia="zh-CN"/>
        </w:rPr>
        <w:t>新乡市绩昌再生资源回收有限公司</w:t>
      </w:r>
    </w:p>
    <w:p>
      <w:pPr>
        <w:wordWrap w:val="0"/>
        <w:jc w:val="right"/>
        <w:rPr>
          <w:rFonts w:hint="default"/>
          <w:color w:val="auto"/>
          <w:highlight w:val="yellow"/>
          <w:lang w:val="en-US"/>
        </w:rPr>
      </w:pPr>
      <w:r>
        <w:rPr>
          <w:rFonts w:hint="default" w:ascii="Times New Roman" w:hAnsi="Times New Roman" w:eastAsia="宋体" w:cs="Times New Roman"/>
          <w:color w:val="auto"/>
          <w:sz w:val="28"/>
          <w:szCs w:val="28"/>
          <w:highlight w:val="none"/>
        </w:rPr>
        <w:t>承诺时间：</w:t>
      </w:r>
      <w:r>
        <w:rPr>
          <w:rFonts w:hint="default" w:ascii="Times New Roman" w:hAnsi="Times New Roman" w:eastAsia="宋体" w:cs="Times New Roman"/>
          <w:color w:val="auto"/>
          <w:sz w:val="28"/>
          <w:szCs w:val="28"/>
          <w:highlight w:val="none"/>
          <w:u w:val="single"/>
          <w:lang w:val="en-US" w:eastAsia="zh-CN"/>
        </w:rPr>
        <w:t>202</w:t>
      </w:r>
      <w:r>
        <w:rPr>
          <w:rFonts w:hint="eastAsia" w:ascii="Times New Roman" w:hAnsi="Times New Roman" w:eastAsia="宋体" w:cs="Times New Roman"/>
          <w:color w:val="auto"/>
          <w:sz w:val="28"/>
          <w:szCs w:val="28"/>
          <w:highlight w:val="none"/>
          <w:u w:val="single"/>
          <w:lang w:val="en-US" w:eastAsia="zh-CN"/>
        </w:rPr>
        <w:t>6</w:t>
      </w:r>
      <w:r>
        <w:rPr>
          <w:rFonts w:hint="default" w:ascii="Times New Roman" w:hAnsi="Times New Roman" w:eastAsia="宋体" w:cs="Times New Roman"/>
          <w:color w:val="auto"/>
          <w:sz w:val="28"/>
          <w:szCs w:val="28"/>
          <w:highlight w:val="none"/>
        </w:rPr>
        <w:t>年</w:t>
      </w:r>
      <w:r>
        <w:rPr>
          <w:rFonts w:hint="default" w:ascii="Times New Roman" w:hAnsi="Times New Roman" w:eastAsia="宋体" w:cs="Times New Roman"/>
          <w:color w:val="auto"/>
          <w:sz w:val="28"/>
          <w:szCs w:val="28"/>
          <w:highlight w:val="none"/>
          <w:u w:val="single"/>
          <w:lang w:val="en-US" w:eastAsia="zh-CN"/>
        </w:rPr>
        <w:t xml:space="preserve"> </w:t>
      </w:r>
      <w:r>
        <w:rPr>
          <w:rFonts w:hint="eastAsia" w:cs="Times New Roman"/>
          <w:color w:val="auto"/>
          <w:sz w:val="28"/>
          <w:szCs w:val="28"/>
          <w:highlight w:val="none"/>
          <w:u w:val="single"/>
          <w:lang w:val="en-US" w:eastAsia="zh-CN"/>
        </w:rPr>
        <w:t>3</w:t>
      </w:r>
      <w:r>
        <w:rPr>
          <w:rFonts w:hint="default" w:ascii="Times New Roman" w:hAnsi="Times New Roman" w:eastAsia="宋体" w:cs="Times New Roman"/>
          <w:color w:val="auto"/>
          <w:sz w:val="28"/>
          <w:szCs w:val="28"/>
          <w:highlight w:val="none"/>
          <w:u w:val="single"/>
          <w:lang w:val="en-US" w:eastAsia="zh-CN"/>
        </w:rPr>
        <w:t xml:space="preserve"> </w:t>
      </w:r>
      <w:r>
        <w:rPr>
          <w:rFonts w:hint="default" w:ascii="Times New Roman" w:hAnsi="Times New Roman" w:eastAsia="宋体" w:cs="Times New Roman"/>
          <w:color w:val="auto"/>
          <w:sz w:val="28"/>
          <w:szCs w:val="28"/>
          <w:highlight w:val="none"/>
        </w:rPr>
        <w:t>月</w:t>
      </w:r>
      <w:r>
        <w:rPr>
          <w:rFonts w:hint="default" w:ascii="Times New Roman" w:hAnsi="Times New Roman" w:eastAsia="宋体" w:cs="Times New Roman"/>
          <w:color w:val="auto"/>
          <w:sz w:val="28"/>
          <w:szCs w:val="28"/>
          <w:highlight w:val="none"/>
          <w:u w:val="single"/>
          <w:lang w:val="en-US" w:eastAsia="zh-CN"/>
        </w:rPr>
        <w:t xml:space="preserve"> </w:t>
      </w:r>
      <w:r>
        <w:rPr>
          <w:rFonts w:hint="eastAsia" w:cs="Times New Roman"/>
          <w:color w:val="auto"/>
          <w:sz w:val="28"/>
          <w:szCs w:val="28"/>
          <w:highlight w:val="none"/>
          <w:u w:val="single"/>
          <w:lang w:val="en-US" w:eastAsia="zh-CN"/>
        </w:rPr>
        <w:t>18</w:t>
      </w:r>
      <w:r>
        <w:rPr>
          <w:rFonts w:hint="default" w:ascii="Times New Roman" w:hAnsi="Times New Roman" w:eastAsia="宋体" w:cs="Times New Roman"/>
          <w:color w:val="auto"/>
          <w:sz w:val="28"/>
          <w:szCs w:val="28"/>
          <w:highlight w:val="none"/>
          <w:u w:val="single"/>
          <w:lang w:val="en-US" w:eastAsia="zh-CN"/>
        </w:rPr>
        <w:t xml:space="preserve"> </w:t>
      </w:r>
      <w:r>
        <w:rPr>
          <w:rFonts w:hint="eastAsia" w:ascii="Times New Roman" w:hAnsi="Times New Roman" w:eastAsia="宋体" w:cs="Times New Roman"/>
          <w:color w:val="auto"/>
          <w:sz w:val="28"/>
          <w:szCs w:val="28"/>
          <w:highlight w:val="none"/>
          <w:u w:val="none"/>
          <w:lang w:val="en-US" w:eastAsia="zh-CN"/>
        </w:rPr>
        <w:t xml:space="preserve">日   </w:t>
      </w:r>
    </w:p>
    <w:p>
      <w:pPr>
        <w:rPr>
          <w:rFonts w:hint="default"/>
          <w:b/>
          <w:snapToGrid w:val="0"/>
          <w:color w:val="auto"/>
          <w:kern w:val="21"/>
          <w:szCs w:val="21"/>
          <w:lang w:val="en-US" w:eastAsia="zh-CN"/>
        </w:rPr>
        <w:sectPr>
          <w:footerReference r:id="rId9" w:type="default"/>
          <w:pgSz w:w="11906" w:h="16838"/>
          <w:pgMar w:top="1417" w:right="1440" w:bottom="141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bidi w:val="0"/>
        <w:rPr>
          <w:rFonts w:hint="eastAsia"/>
          <w:color w:val="auto"/>
          <w:lang w:val="en-US" w:eastAsia="zh-CN"/>
        </w:rPr>
        <w:sectPr>
          <w:pgSz w:w="11906" w:h="16838"/>
          <w:pgMar w:top="1417" w:right="1327" w:bottom="1417" w:left="132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color w:val="auto"/>
          <w:lang w:val="en-US" w:eastAsia="zh-CN"/>
        </w:rPr>
        <w:drawing>
          <wp:anchor distT="0" distB="0" distL="114300" distR="114300" simplePos="0" relativeHeight="251666432" behindDoc="1" locked="0" layoutInCell="1" allowOverlap="1">
            <wp:simplePos x="0" y="0"/>
            <wp:positionH relativeFrom="column">
              <wp:posOffset>-806450</wp:posOffset>
            </wp:positionH>
            <wp:positionV relativeFrom="paragraph">
              <wp:posOffset>-849630</wp:posOffset>
            </wp:positionV>
            <wp:extent cx="7509510" cy="10619740"/>
            <wp:effectExtent l="0" t="0" r="15240" b="10160"/>
            <wp:wrapNone/>
            <wp:docPr id="11" name="图片 11" descr="附图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附图_page-0001"/>
                    <pic:cNvPicPr>
                      <a:picLocks noChangeAspect="1"/>
                    </pic:cNvPicPr>
                  </pic:nvPicPr>
                  <pic:blipFill>
                    <a:blip r:embed="rId27"/>
                    <a:stretch>
                      <a:fillRect/>
                    </a:stretch>
                  </pic:blipFill>
                  <pic:spPr>
                    <a:xfrm>
                      <a:off x="0" y="0"/>
                      <a:ext cx="7509510" cy="10619740"/>
                    </a:xfrm>
                    <a:prstGeom prst="rect">
                      <a:avLst/>
                    </a:prstGeom>
                  </pic:spPr>
                </pic:pic>
              </a:graphicData>
            </a:graphic>
          </wp:anchor>
        </w:drawing>
      </w:r>
    </w:p>
    <w:p>
      <w:pPr>
        <w:bidi w:val="0"/>
        <w:rPr>
          <w:rFonts w:hint="eastAsia"/>
          <w:color w:val="auto"/>
          <w:lang w:val="en-US" w:eastAsia="zh-CN"/>
        </w:rPr>
        <w:sectPr>
          <w:pgSz w:w="16838" w:h="11906" w:orient="landscape"/>
          <w:pgMar w:top="1327" w:right="1417" w:bottom="132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color w:val="auto"/>
          <w:lang w:val="en-US" w:eastAsia="zh-CN"/>
        </w:rPr>
        <w:drawing>
          <wp:anchor distT="0" distB="0" distL="114300" distR="114300" simplePos="0" relativeHeight="251668480" behindDoc="1" locked="0" layoutInCell="1" allowOverlap="1">
            <wp:simplePos x="0" y="0"/>
            <wp:positionH relativeFrom="column">
              <wp:posOffset>-854075</wp:posOffset>
            </wp:positionH>
            <wp:positionV relativeFrom="paragraph">
              <wp:posOffset>-839470</wp:posOffset>
            </wp:positionV>
            <wp:extent cx="10619740" cy="7514590"/>
            <wp:effectExtent l="0" t="0" r="10160" b="10160"/>
            <wp:wrapNone/>
            <wp:docPr id="1" name="图片 1" descr="附图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附图_page-0002"/>
                    <pic:cNvPicPr>
                      <a:picLocks noChangeAspect="1"/>
                    </pic:cNvPicPr>
                  </pic:nvPicPr>
                  <pic:blipFill>
                    <a:blip r:embed="rId28"/>
                    <a:stretch>
                      <a:fillRect/>
                    </a:stretch>
                  </pic:blipFill>
                  <pic:spPr>
                    <a:xfrm>
                      <a:off x="0" y="0"/>
                      <a:ext cx="10619740" cy="7514590"/>
                    </a:xfrm>
                    <a:prstGeom prst="rect">
                      <a:avLst/>
                    </a:prstGeom>
                  </pic:spPr>
                </pic:pic>
              </a:graphicData>
            </a:graphic>
          </wp:anchor>
        </w:drawing>
      </w:r>
    </w:p>
    <w:p>
      <w:pPr>
        <w:bidi w:val="0"/>
        <w:rPr>
          <w:rFonts w:hint="eastAsia"/>
          <w:color w:val="auto"/>
          <w:lang w:val="en-US" w:eastAsia="zh-CN"/>
        </w:rPr>
        <w:sectPr>
          <w:pgSz w:w="11906" w:h="16838"/>
          <w:pgMar w:top="1417" w:right="1327" w:bottom="1417" w:left="132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color w:val="auto"/>
          <w:lang w:val="en-US" w:eastAsia="zh-CN"/>
        </w:rPr>
        <w:drawing>
          <wp:anchor distT="0" distB="0" distL="114300" distR="114300" simplePos="0" relativeHeight="251666432" behindDoc="1" locked="0" layoutInCell="1" allowOverlap="1">
            <wp:simplePos x="0" y="0"/>
            <wp:positionH relativeFrom="column">
              <wp:posOffset>-790575</wp:posOffset>
            </wp:positionH>
            <wp:positionV relativeFrom="paragraph">
              <wp:posOffset>-865505</wp:posOffset>
            </wp:positionV>
            <wp:extent cx="7513955" cy="10619740"/>
            <wp:effectExtent l="0" t="0" r="10795" b="10160"/>
            <wp:wrapNone/>
            <wp:docPr id="7" name="图片 7" descr="附图_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附图_page-0003"/>
                    <pic:cNvPicPr>
                      <a:picLocks noChangeAspect="1"/>
                    </pic:cNvPicPr>
                  </pic:nvPicPr>
                  <pic:blipFill>
                    <a:blip r:embed="rId29"/>
                    <a:stretch>
                      <a:fillRect/>
                    </a:stretch>
                  </pic:blipFill>
                  <pic:spPr>
                    <a:xfrm>
                      <a:off x="0" y="0"/>
                      <a:ext cx="7513955" cy="10619740"/>
                    </a:xfrm>
                    <a:prstGeom prst="rect">
                      <a:avLst/>
                    </a:prstGeom>
                  </pic:spPr>
                </pic:pic>
              </a:graphicData>
            </a:graphic>
          </wp:anchor>
        </w:drawing>
      </w:r>
    </w:p>
    <w:p>
      <w:pPr>
        <w:bidi w:val="0"/>
        <w:rPr>
          <w:rFonts w:hint="eastAsia"/>
          <w:color w:val="auto"/>
          <w:lang w:val="en-US" w:eastAsia="zh-CN"/>
        </w:rPr>
        <w:sectPr>
          <w:pgSz w:w="11906" w:h="16838"/>
          <w:pgMar w:top="1417" w:right="1327" w:bottom="1417" w:left="132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color w:val="auto"/>
          <w:lang w:val="en-US" w:eastAsia="zh-CN"/>
        </w:rPr>
        <w:drawing>
          <wp:anchor distT="0" distB="0" distL="114300" distR="114300" simplePos="0" relativeHeight="251666432" behindDoc="1" locked="0" layoutInCell="1" allowOverlap="1">
            <wp:simplePos x="0" y="0"/>
            <wp:positionH relativeFrom="column">
              <wp:posOffset>-822325</wp:posOffset>
            </wp:positionH>
            <wp:positionV relativeFrom="paragraph">
              <wp:posOffset>-881380</wp:posOffset>
            </wp:positionV>
            <wp:extent cx="7513955" cy="10619740"/>
            <wp:effectExtent l="0" t="0" r="10795" b="10160"/>
            <wp:wrapNone/>
            <wp:docPr id="9" name="图片 9" descr="附图_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附图_page-0004"/>
                    <pic:cNvPicPr>
                      <a:picLocks noChangeAspect="1"/>
                    </pic:cNvPicPr>
                  </pic:nvPicPr>
                  <pic:blipFill>
                    <a:blip r:embed="rId30"/>
                    <a:stretch>
                      <a:fillRect/>
                    </a:stretch>
                  </pic:blipFill>
                  <pic:spPr>
                    <a:xfrm>
                      <a:off x="0" y="0"/>
                      <a:ext cx="7513955" cy="10619740"/>
                    </a:xfrm>
                    <a:prstGeom prst="rect">
                      <a:avLst/>
                    </a:prstGeom>
                  </pic:spPr>
                </pic:pic>
              </a:graphicData>
            </a:graphic>
          </wp:anchor>
        </w:drawing>
      </w:r>
    </w:p>
    <w:p>
      <w:pPr>
        <w:bidi w:val="0"/>
        <w:rPr>
          <w:rFonts w:hint="eastAsia"/>
          <w:color w:val="auto"/>
          <w:lang w:val="en-US" w:eastAsia="zh-CN"/>
        </w:rPr>
      </w:pPr>
      <w:r>
        <w:rPr>
          <w:rFonts w:hint="eastAsia"/>
          <w:color w:val="auto"/>
          <w:lang w:val="en-US" w:eastAsia="zh-CN"/>
        </w:rPr>
        <w:drawing>
          <wp:anchor distT="0" distB="0" distL="114300" distR="114300" simplePos="0" relativeHeight="251666432" behindDoc="0" locked="0" layoutInCell="1" allowOverlap="1">
            <wp:simplePos x="0" y="0"/>
            <wp:positionH relativeFrom="column">
              <wp:posOffset>-869950</wp:posOffset>
            </wp:positionH>
            <wp:positionV relativeFrom="paragraph">
              <wp:posOffset>-807720</wp:posOffset>
            </wp:positionV>
            <wp:extent cx="10619740" cy="7514590"/>
            <wp:effectExtent l="0" t="0" r="10160" b="10160"/>
            <wp:wrapNone/>
            <wp:docPr id="10" name="图片 10" descr="附图_page-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附图_page-0005"/>
                    <pic:cNvPicPr>
                      <a:picLocks noChangeAspect="1"/>
                    </pic:cNvPicPr>
                  </pic:nvPicPr>
                  <pic:blipFill>
                    <a:blip r:embed="rId31"/>
                    <a:stretch>
                      <a:fillRect/>
                    </a:stretch>
                  </pic:blipFill>
                  <pic:spPr>
                    <a:xfrm>
                      <a:off x="0" y="0"/>
                      <a:ext cx="10619740" cy="7514590"/>
                    </a:xfrm>
                    <a:prstGeom prst="rect">
                      <a:avLst/>
                    </a:prstGeom>
                  </pic:spPr>
                </pic:pic>
              </a:graphicData>
            </a:graphic>
          </wp:anchor>
        </w:drawing>
      </w:r>
    </w:p>
    <w:sectPr>
      <w:pgSz w:w="16838" w:h="11906" w:orient="landscape"/>
      <w:pgMar w:top="1327" w:right="1417" w:bottom="1327" w:left="141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jc w:val="center"/>
    </w:pPr>
    <w:r>
      <w:rPr>
        <w:sz w:val="24"/>
      </w:rPr>
      <w:pict>
        <v:shape id="_x0000_s3081" o:spid="_x0000_s3081"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17"/>
                </w:pPr>
                <w:r>
                  <w:t xml:space="preserve">— </w:t>
                </w:r>
                <w:r>
                  <w:fldChar w:fldCharType="begin"/>
                </w:r>
                <w:r>
                  <w:instrText xml:space="preserve"> PAGE  \* MERGEFORMAT </w:instrText>
                </w:r>
                <w:r>
                  <w:fldChar w:fldCharType="separate"/>
                </w:r>
                <w:r>
                  <w:t>- 3 -</w:t>
                </w:r>
                <w:r>
                  <w:fldChar w:fldCharType="end"/>
                </w:r>
                <w:r>
                  <w:t xml:space="preserve"> —</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jc w:val="center"/>
    </w:pPr>
    <w:r>
      <w:rPr>
        <w:sz w:val="18"/>
      </w:rPr>
      <w:pict>
        <v:shape id="_x0000_s3074" o:spid="_x0000_s3074"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sdt>
                <w:sdtPr>
                  <w:id w:val="147469049"/>
                  <w:showingPlcHdr/>
                </w:sdtPr>
                <w:sdtContent>
                  <w:p>
                    <w:pPr>
                      <w:tabs>
                        <w:tab w:val="center" w:pos="4153"/>
                        <w:tab w:val="right" w:pos="8306"/>
                      </w:tabs>
                      <w:jc w:val="center"/>
                    </w:pPr>
                    <w:r>
                      <w:rPr>
                        <w:rFonts w:hint="eastAsia"/>
                        <w:lang w:eastAsia="zh-CN"/>
                      </w:rPr>
                      <w:t xml:space="preserve">     </w:t>
                    </w:r>
                  </w:p>
                </w:sdtContent>
              </w:sdt>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jc w:val="center"/>
    </w:pPr>
    <w:r>
      <w:rPr>
        <w:sz w:val="18"/>
      </w:rPr>
      <w:pict>
        <v:shape id="_x0000_s3080" o:spid="_x0000_s3080"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sdt>
                <w:sdtPr>
                  <w:id w:val="147461807"/>
                  <w:showingPlcHdr/>
                </w:sdtPr>
                <w:sdtContent>
                  <w:p>
                    <w:pPr>
                      <w:tabs>
                        <w:tab w:val="center" w:pos="4153"/>
                        <w:tab w:val="right" w:pos="8306"/>
                      </w:tabs>
                      <w:jc w:val="center"/>
                    </w:pPr>
                    <w:r>
                      <w:rPr>
                        <w:rFonts w:hint="eastAsia"/>
                        <w:lang w:eastAsia="zh-CN"/>
                      </w:rPr>
                      <w:t xml:space="preserve">     </w:t>
                    </w:r>
                  </w:p>
                </w:sdtContent>
              </w:sdt>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WIxOTM5YzBjMDU3NmYxMGFiMGQ1MjYxOTE0MjYwYjkifQ=="/>
  </w:docVars>
  <w:rsids>
    <w:rsidRoot w:val="00BA114A"/>
    <w:rsid w:val="000013F3"/>
    <w:rsid w:val="000024F7"/>
    <w:rsid w:val="00002694"/>
    <w:rsid w:val="00005239"/>
    <w:rsid w:val="00005E85"/>
    <w:rsid w:val="00015756"/>
    <w:rsid w:val="00022A8A"/>
    <w:rsid w:val="00031C6B"/>
    <w:rsid w:val="00040F0A"/>
    <w:rsid w:val="00046309"/>
    <w:rsid w:val="00047F2A"/>
    <w:rsid w:val="00050D33"/>
    <w:rsid w:val="00051CA1"/>
    <w:rsid w:val="000535CB"/>
    <w:rsid w:val="000539A9"/>
    <w:rsid w:val="00057F3C"/>
    <w:rsid w:val="0006100F"/>
    <w:rsid w:val="00061982"/>
    <w:rsid w:val="00064433"/>
    <w:rsid w:val="00064864"/>
    <w:rsid w:val="00064B93"/>
    <w:rsid w:val="0006638C"/>
    <w:rsid w:val="00071550"/>
    <w:rsid w:val="00071A67"/>
    <w:rsid w:val="00072D3D"/>
    <w:rsid w:val="000765B1"/>
    <w:rsid w:val="00076691"/>
    <w:rsid w:val="00080EAB"/>
    <w:rsid w:val="0008120C"/>
    <w:rsid w:val="0008302D"/>
    <w:rsid w:val="00085DD7"/>
    <w:rsid w:val="00085E5B"/>
    <w:rsid w:val="000917A0"/>
    <w:rsid w:val="00093DE4"/>
    <w:rsid w:val="0009779B"/>
    <w:rsid w:val="000A08EA"/>
    <w:rsid w:val="000A32A0"/>
    <w:rsid w:val="000A5D1A"/>
    <w:rsid w:val="000A74EB"/>
    <w:rsid w:val="000A7850"/>
    <w:rsid w:val="000B072E"/>
    <w:rsid w:val="000B0819"/>
    <w:rsid w:val="000B4F29"/>
    <w:rsid w:val="000B77F8"/>
    <w:rsid w:val="000C024B"/>
    <w:rsid w:val="000C314B"/>
    <w:rsid w:val="000C3365"/>
    <w:rsid w:val="000C4FBB"/>
    <w:rsid w:val="000C5B0C"/>
    <w:rsid w:val="000D1C4D"/>
    <w:rsid w:val="000D43B1"/>
    <w:rsid w:val="000D5DB8"/>
    <w:rsid w:val="000D61AF"/>
    <w:rsid w:val="000E01C6"/>
    <w:rsid w:val="000E348D"/>
    <w:rsid w:val="000E3598"/>
    <w:rsid w:val="000E4551"/>
    <w:rsid w:val="000E45DC"/>
    <w:rsid w:val="000F0583"/>
    <w:rsid w:val="000F0E17"/>
    <w:rsid w:val="000F38A3"/>
    <w:rsid w:val="000F3FC8"/>
    <w:rsid w:val="000F57DA"/>
    <w:rsid w:val="001102F5"/>
    <w:rsid w:val="00113C36"/>
    <w:rsid w:val="00114C34"/>
    <w:rsid w:val="00117180"/>
    <w:rsid w:val="00120F74"/>
    <w:rsid w:val="001228C7"/>
    <w:rsid w:val="0012661F"/>
    <w:rsid w:val="00135135"/>
    <w:rsid w:val="001351F3"/>
    <w:rsid w:val="00136C29"/>
    <w:rsid w:val="00140E3A"/>
    <w:rsid w:val="001428E9"/>
    <w:rsid w:val="00143E21"/>
    <w:rsid w:val="001452E7"/>
    <w:rsid w:val="001457C6"/>
    <w:rsid w:val="001472E5"/>
    <w:rsid w:val="0015124A"/>
    <w:rsid w:val="001526FA"/>
    <w:rsid w:val="00157083"/>
    <w:rsid w:val="00163553"/>
    <w:rsid w:val="001651C7"/>
    <w:rsid w:val="001729D8"/>
    <w:rsid w:val="001731DC"/>
    <w:rsid w:val="001738AF"/>
    <w:rsid w:val="00173992"/>
    <w:rsid w:val="00174AD2"/>
    <w:rsid w:val="00175894"/>
    <w:rsid w:val="00175C3A"/>
    <w:rsid w:val="00180462"/>
    <w:rsid w:val="001822C2"/>
    <w:rsid w:val="00184E3D"/>
    <w:rsid w:val="001853A1"/>
    <w:rsid w:val="001869CA"/>
    <w:rsid w:val="00197B5B"/>
    <w:rsid w:val="001A0125"/>
    <w:rsid w:val="001A3FF3"/>
    <w:rsid w:val="001B14D8"/>
    <w:rsid w:val="001D06FC"/>
    <w:rsid w:val="001D3C1E"/>
    <w:rsid w:val="001D5203"/>
    <w:rsid w:val="001D5252"/>
    <w:rsid w:val="001D7EA7"/>
    <w:rsid w:val="001E7625"/>
    <w:rsid w:val="001F4A8C"/>
    <w:rsid w:val="002076BA"/>
    <w:rsid w:val="00210F5B"/>
    <w:rsid w:val="00213EBF"/>
    <w:rsid w:val="00230046"/>
    <w:rsid w:val="002355CD"/>
    <w:rsid w:val="002364F8"/>
    <w:rsid w:val="0024185B"/>
    <w:rsid w:val="00256062"/>
    <w:rsid w:val="002616AC"/>
    <w:rsid w:val="002645BD"/>
    <w:rsid w:val="002663DB"/>
    <w:rsid w:val="00271E26"/>
    <w:rsid w:val="00273088"/>
    <w:rsid w:val="00276ED4"/>
    <w:rsid w:val="0029050A"/>
    <w:rsid w:val="00296802"/>
    <w:rsid w:val="002A1FC1"/>
    <w:rsid w:val="002B06D1"/>
    <w:rsid w:val="002B3F64"/>
    <w:rsid w:val="002C1C38"/>
    <w:rsid w:val="002C1CF9"/>
    <w:rsid w:val="002C330A"/>
    <w:rsid w:val="002C44DA"/>
    <w:rsid w:val="002C48D7"/>
    <w:rsid w:val="002C539D"/>
    <w:rsid w:val="002D7996"/>
    <w:rsid w:val="002E05FF"/>
    <w:rsid w:val="002E0933"/>
    <w:rsid w:val="002E0ED3"/>
    <w:rsid w:val="002E287F"/>
    <w:rsid w:val="002E2AF5"/>
    <w:rsid w:val="002E31C8"/>
    <w:rsid w:val="002E791E"/>
    <w:rsid w:val="002F03F0"/>
    <w:rsid w:val="002F4DD9"/>
    <w:rsid w:val="00302FF3"/>
    <w:rsid w:val="00303F3B"/>
    <w:rsid w:val="003056D9"/>
    <w:rsid w:val="00306C10"/>
    <w:rsid w:val="0031001C"/>
    <w:rsid w:val="00311442"/>
    <w:rsid w:val="0031222D"/>
    <w:rsid w:val="0031284A"/>
    <w:rsid w:val="00313F6F"/>
    <w:rsid w:val="003162FF"/>
    <w:rsid w:val="003215FC"/>
    <w:rsid w:val="003229D3"/>
    <w:rsid w:val="00324300"/>
    <w:rsid w:val="00324764"/>
    <w:rsid w:val="00325FBD"/>
    <w:rsid w:val="0033779B"/>
    <w:rsid w:val="00345D35"/>
    <w:rsid w:val="003528F8"/>
    <w:rsid w:val="00352C91"/>
    <w:rsid w:val="003541CB"/>
    <w:rsid w:val="003563E4"/>
    <w:rsid w:val="003613C9"/>
    <w:rsid w:val="00373957"/>
    <w:rsid w:val="003739C3"/>
    <w:rsid w:val="003752C8"/>
    <w:rsid w:val="003753B1"/>
    <w:rsid w:val="00375815"/>
    <w:rsid w:val="00381456"/>
    <w:rsid w:val="003843BA"/>
    <w:rsid w:val="00390BAC"/>
    <w:rsid w:val="00391180"/>
    <w:rsid w:val="003973A8"/>
    <w:rsid w:val="003A013A"/>
    <w:rsid w:val="003A0EE1"/>
    <w:rsid w:val="003A1079"/>
    <w:rsid w:val="003A1113"/>
    <w:rsid w:val="003A24A3"/>
    <w:rsid w:val="003B118C"/>
    <w:rsid w:val="003B55E5"/>
    <w:rsid w:val="003C1A3C"/>
    <w:rsid w:val="003C3120"/>
    <w:rsid w:val="003C4ED5"/>
    <w:rsid w:val="003C5730"/>
    <w:rsid w:val="003C7CBC"/>
    <w:rsid w:val="003D3918"/>
    <w:rsid w:val="003D5A7A"/>
    <w:rsid w:val="003D5B15"/>
    <w:rsid w:val="003D621D"/>
    <w:rsid w:val="003D7676"/>
    <w:rsid w:val="003E0090"/>
    <w:rsid w:val="003E1E06"/>
    <w:rsid w:val="003E2711"/>
    <w:rsid w:val="0040021F"/>
    <w:rsid w:val="00401D25"/>
    <w:rsid w:val="00402187"/>
    <w:rsid w:val="00405985"/>
    <w:rsid w:val="004069EF"/>
    <w:rsid w:val="00410EF4"/>
    <w:rsid w:val="0041193F"/>
    <w:rsid w:val="00413DC3"/>
    <w:rsid w:val="00416263"/>
    <w:rsid w:val="00417022"/>
    <w:rsid w:val="00424048"/>
    <w:rsid w:val="004245B2"/>
    <w:rsid w:val="00426375"/>
    <w:rsid w:val="004276AF"/>
    <w:rsid w:val="004319EA"/>
    <w:rsid w:val="00432EBF"/>
    <w:rsid w:val="00435E10"/>
    <w:rsid w:val="0044066D"/>
    <w:rsid w:val="00440903"/>
    <w:rsid w:val="00441BEF"/>
    <w:rsid w:val="00442979"/>
    <w:rsid w:val="00445714"/>
    <w:rsid w:val="0044641C"/>
    <w:rsid w:val="0044755A"/>
    <w:rsid w:val="004504C7"/>
    <w:rsid w:val="00455E49"/>
    <w:rsid w:val="00465040"/>
    <w:rsid w:val="00466917"/>
    <w:rsid w:val="004722C0"/>
    <w:rsid w:val="00473B34"/>
    <w:rsid w:val="00474DA7"/>
    <w:rsid w:val="00474EF2"/>
    <w:rsid w:val="00474FBE"/>
    <w:rsid w:val="004753A1"/>
    <w:rsid w:val="00480D68"/>
    <w:rsid w:val="0048235D"/>
    <w:rsid w:val="0048480D"/>
    <w:rsid w:val="004908C8"/>
    <w:rsid w:val="00493F8F"/>
    <w:rsid w:val="004946EE"/>
    <w:rsid w:val="004A4103"/>
    <w:rsid w:val="004B1025"/>
    <w:rsid w:val="004B1EF5"/>
    <w:rsid w:val="004C2CCD"/>
    <w:rsid w:val="004C6B05"/>
    <w:rsid w:val="004C6CA5"/>
    <w:rsid w:val="004D0199"/>
    <w:rsid w:val="004D0202"/>
    <w:rsid w:val="004D0FA3"/>
    <w:rsid w:val="004D1408"/>
    <w:rsid w:val="004D16AA"/>
    <w:rsid w:val="004D2308"/>
    <w:rsid w:val="004D3198"/>
    <w:rsid w:val="004D742B"/>
    <w:rsid w:val="004E4AAE"/>
    <w:rsid w:val="004E54A6"/>
    <w:rsid w:val="004F21B1"/>
    <w:rsid w:val="004F2A85"/>
    <w:rsid w:val="004F5650"/>
    <w:rsid w:val="005012A4"/>
    <w:rsid w:val="00501EFE"/>
    <w:rsid w:val="00511466"/>
    <w:rsid w:val="0051386A"/>
    <w:rsid w:val="00515FBF"/>
    <w:rsid w:val="0052434A"/>
    <w:rsid w:val="00532477"/>
    <w:rsid w:val="005334FC"/>
    <w:rsid w:val="005369C0"/>
    <w:rsid w:val="00537141"/>
    <w:rsid w:val="00547C2D"/>
    <w:rsid w:val="00550DA0"/>
    <w:rsid w:val="0056022D"/>
    <w:rsid w:val="00572D64"/>
    <w:rsid w:val="005917EB"/>
    <w:rsid w:val="00593EDA"/>
    <w:rsid w:val="005A23C2"/>
    <w:rsid w:val="005A29F0"/>
    <w:rsid w:val="005A53AF"/>
    <w:rsid w:val="005A5478"/>
    <w:rsid w:val="005A6396"/>
    <w:rsid w:val="005B40AA"/>
    <w:rsid w:val="005B497C"/>
    <w:rsid w:val="005B743C"/>
    <w:rsid w:val="005B7FB8"/>
    <w:rsid w:val="005D080A"/>
    <w:rsid w:val="005D4D6B"/>
    <w:rsid w:val="005D5D10"/>
    <w:rsid w:val="005D63A7"/>
    <w:rsid w:val="005E7E8C"/>
    <w:rsid w:val="005F2A9B"/>
    <w:rsid w:val="0060214C"/>
    <w:rsid w:val="00606F83"/>
    <w:rsid w:val="00620356"/>
    <w:rsid w:val="0062626E"/>
    <w:rsid w:val="006318C5"/>
    <w:rsid w:val="0063431D"/>
    <w:rsid w:val="00644CA2"/>
    <w:rsid w:val="0064622F"/>
    <w:rsid w:val="00652CD3"/>
    <w:rsid w:val="00657E5C"/>
    <w:rsid w:val="0066116B"/>
    <w:rsid w:val="0066730C"/>
    <w:rsid w:val="00667803"/>
    <w:rsid w:val="00667F05"/>
    <w:rsid w:val="00680DC9"/>
    <w:rsid w:val="00681AF3"/>
    <w:rsid w:val="006828B9"/>
    <w:rsid w:val="006831D0"/>
    <w:rsid w:val="00683249"/>
    <w:rsid w:val="00683B95"/>
    <w:rsid w:val="0069074C"/>
    <w:rsid w:val="00693CD5"/>
    <w:rsid w:val="00697482"/>
    <w:rsid w:val="006976A5"/>
    <w:rsid w:val="006A3A4C"/>
    <w:rsid w:val="006A3E0A"/>
    <w:rsid w:val="006A71C5"/>
    <w:rsid w:val="006A7D4B"/>
    <w:rsid w:val="006B0D98"/>
    <w:rsid w:val="006B1DD0"/>
    <w:rsid w:val="006C4CE9"/>
    <w:rsid w:val="006C7939"/>
    <w:rsid w:val="006D1E14"/>
    <w:rsid w:val="006D3834"/>
    <w:rsid w:val="006D3DD8"/>
    <w:rsid w:val="006D6517"/>
    <w:rsid w:val="006E016A"/>
    <w:rsid w:val="006E03DF"/>
    <w:rsid w:val="006E2D04"/>
    <w:rsid w:val="006E3690"/>
    <w:rsid w:val="006E6540"/>
    <w:rsid w:val="006F4942"/>
    <w:rsid w:val="006F7285"/>
    <w:rsid w:val="007138F7"/>
    <w:rsid w:val="00717CFC"/>
    <w:rsid w:val="00721B32"/>
    <w:rsid w:val="00721B36"/>
    <w:rsid w:val="00722442"/>
    <w:rsid w:val="007243B0"/>
    <w:rsid w:val="007338CD"/>
    <w:rsid w:val="00734BE6"/>
    <w:rsid w:val="00737947"/>
    <w:rsid w:val="0074060C"/>
    <w:rsid w:val="007418E3"/>
    <w:rsid w:val="00743299"/>
    <w:rsid w:val="00744071"/>
    <w:rsid w:val="00746827"/>
    <w:rsid w:val="00753E4B"/>
    <w:rsid w:val="00755DE7"/>
    <w:rsid w:val="00756D3F"/>
    <w:rsid w:val="00760A21"/>
    <w:rsid w:val="007669AC"/>
    <w:rsid w:val="007672F9"/>
    <w:rsid w:val="007724F3"/>
    <w:rsid w:val="00773715"/>
    <w:rsid w:val="007761D0"/>
    <w:rsid w:val="00776ECA"/>
    <w:rsid w:val="00780DC4"/>
    <w:rsid w:val="007814A4"/>
    <w:rsid w:val="00781E3F"/>
    <w:rsid w:val="00782196"/>
    <w:rsid w:val="00786A3B"/>
    <w:rsid w:val="00793DC8"/>
    <w:rsid w:val="00795E02"/>
    <w:rsid w:val="007A08A2"/>
    <w:rsid w:val="007A3DD6"/>
    <w:rsid w:val="007A51D1"/>
    <w:rsid w:val="007B0480"/>
    <w:rsid w:val="007B4A32"/>
    <w:rsid w:val="007B64DF"/>
    <w:rsid w:val="007C0D9D"/>
    <w:rsid w:val="007C2417"/>
    <w:rsid w:val="007C4E93"/>
    <w:rsid w:val="007C4FDF"/>
    <w:rsid w:val="007D136E"/>
    <w:rsid w:val="007D2B51"/>
    <w:rsid w:val="007D4E2A"/>
    <w:rsid w:val="007E096F"/>
    <w:rsid w:val="007E1D8E"/>
    <w:rsid w:val="007E32A6"/>
    <w:rsid w:val="007E3C01"/>
    <w:rsid w:val="007E52DF"/>
    <w:rsid w:val="007E7CBB"/>
    <w:rsid w:val="007F064A"/>
    <w:rsid w:val="007F07D6"/>
    <w:rsid w:val="007F446B"/>
    <w:rsid w:val="007F765E"/>
    <w:rsid w:val="00803D96"/>
    <w:rsid w:val="0081060C"/>
    <w:rsid w:val="00812C3F"/>
    <w:rsid w:val="00822F3E"/>
    <w:rsid w:val="00825C85"/>
    <w:rsid w:val="008334BE"/>
    <w:rsid w:val="008354C2"/>
    <w:rsid w:val="008502D5"/>
    <w:rsid w:val="008534F0"/>
    <w:rsid w:val="0085577E"/>
    <w:rsid w:val="00855E90"/>
    <w:rsid w:val="00857C95"/>
    <w:rsid w:val="00862F57"/>
    <w:rsid w:val="00863F23"/>
    <w:rsid w:val="00864AAB"/>
    <w:rsid w:val="00864CE8"/>
    <w:rsid w:val="0086789D"/>
    <w:rsid w:val="00870890"/>
    <w:rsid w:val="008711A5"/>
    <w:rsid w:val="00873738"/>
    <w:rsid w:val="00876468"/>
    <w:rsid w:val="00882B7F"/>
    <w:rsid w:val="00885BD5"/>
    <w:rsid w:val="00887E01"/>
    <w:rsid w:val="008A3AC4"/>
    <w:rsid w:val="008A3EC5"/>
    <w:rsid w:val="008A43D4"/>
    <w:rsid w:val="008B3588"/>
    <w:rsid w:val="008C06C1"/>
    <w:rsid w:val="008C2E9C"/>
    <w:rsid w:val="008C55EB"/>
    <w:rsid w:val="008C77FD"/>
    <w:rsid w:val="008D7ED3"/>
    <w:rsid w:val="008E0C60"/>
    <w:rsid w:val="008E0EB0"/>
    <w:rsid w:val="008F32C1"/>
    <w:rsid w:val="008F4645"/>
    <w:rsid w:val="008F6794"/>
    <w:rsid w:val="00903069"/>
    <w:rsid w:val="00904A73"/>
    <w:rsid w:val="009078BA"/>
    <w:rsid w:val="00907C1C"/>
    <w:rsid w:val="0091594D"/>
    <w:rsid w:val="00920B73"/>
    <w:rsid w:val="00922847"/>
    <w:rsid w:val="00924017"/>
    <w:rsid w:val="00936CB2"/>
    <w:rsid w:val="00936E47"/>
    <w:rsid w:val="009408E5"/>
    <w:rsid w:val="00943CED"/>
    <w:rsid w:val="009455DA"/>
    <w:rsid w:val="009534F3"/>
    <w:rsid w:val="00954B22"/>
    <w:rsid w:val="00956882"/>
    <w:rsid w:val="009627CB"/>
    <w:rsid w:val="009639BF"/>
    <w:rsid w:val="00965860"/>
    <w:rsid w:val="009664AC"/>
    <w:rsid w:val="0096773A"/>
    <w:rsid w:val="0097252B"/>
    <w:rsid w:val="00973C87"/>
    <w:rsid w:val="009777E9"/>
    <w:rsid w:val="0098222D"/>
    <w:rsid w:val="00990297"/>
    <w:rsid w:val="00996B1B"/>
    <w:rsid w:val="009A61DB"/>
    <w:rsid w:val="009A667C"/>
    <w:rsid w:val="009B03CC"/>
    <w:rsid w:val="009C0421"/>
    <w:rsid w:val="009C1162"/>
    <w:rsid w:val="009C138F"/>
    <w:rsid w:val="009D2369"/>
    <w:rsid w:val="009D2855"/>
    <w:rsid w:val="009D34E6"/>
    <w:rsid w:val="009D496D"/>
    <w:rsid w:val="009F0E9B"/>
    <w:rsid w:val="009F1F01"/>
    <w:rsid w:val="009F2AB9"/>
    <w:rsid w:val="009F678D"/>
    <w:rsid w:val="00A04413"/>
    <w:rsid w:val="00A063DB"/>
    <w:rsid w:val="00A07FF4"/>
    <w:rsid w:val="00A16F77"/>
    <w:rsid w:val="00A204E6"/>
    <w:rsid w:val="00A22802"/>
    <w:rsid w:val="00A2367C"/>
    <w:rsid w:val="00A24C1B"/>
    <w:rsid w:val="00A26FB5"/>
    <w:rsid w:val="00A33EB4"/>
    <w:rsid w:val="00A34778"/>
    <w:rsid w:val="00A347AF"/>
    <w:rsid w:val="00A348F3"/>
    <w:rsid w:val="00A41B68"/>
    <w:rsid w:val="00A50022"/>
    <w:rsid w:val="00A550B4"/>
    <w:rsid w:val="00A55A2A"/>
    <w:rsid w:val="00A56267"/>
    <w:rsid w:val="00A6031B"/>
    <w:rsid w:val="00A606BF"/>
    <w:rsid w:val="00A7079B"/>
    <w:rsid w:val="00A74AD6"/>
    <w:rsid w:val="00A77360"/>
    <w:rsid w:val="00A80332"/>
    <w:rsid w:val="00A80CA1"/>
    <w:rsid w:val="00A8346B"/>
    <w:rsid w:val="00A86344"/>
    <w:rsid w:val="00A92B53"/>
    <w:rsid w:val="00A957C3"/>
    <w:rsid w:val="00AA074E"/>
    <w:rsid w:val="00AA6801"/>
    <w:rsid w:val="00AA7496"/>
    <w:rsid w:val="00AB6807"/>
    <w:rsid w:val="00AC56C4"/>
    <w:rsid w:val="00AC7BBD"/>
    <w:rsid w:val="00AD39B0"/>
    <w:rsid w:val="00AD4051"/>
    <w:rsid w:val="00AD68CE"/>
    <w:rsid w:val="00AE1460"/>
    <w:rsid w:val="00AE2B8B"/>
    <w:rsid w:val="00AE2CC3"/>
    <w:rsid w:val="00AE338E"/>
    <w:rsid w:val="00AE56F0"/>
    <w:rsid w:val="00AE727E"/>
    <w:rsid w:val="00AE7817"/>
    <w:rsid w:val="00AF2A84"/>
    <w:rsid w:val="00AF5EC2"/>
    <w:rsid w:val="00AF6D31"/>
    <w:rsid w:val="00AF6F6A"/>
    <w:rsid w:val="00B040C2"/>
    <w:rsid w:val="00B2527E"/>
    <w:rsid w:val="00B269AD"/>
    <w:rsid w:val="00B342E4"/>
    <w:rsid w:val="00B42D65"/>
    <w:rsid w:val="00B445CF"/>
    <w:rsid w:val="00B44A9B"/>
    <w:rsid w:val="00B45753"/>
    <w:rsid w:val="00B50A65"/>
    <w:rsid w:val="00B52CAC"/>
    <w:rsid w:val="00B56D55"/>
    <w:rsid w:val="00B6035A"/>
    <w:rsid w:val="00B63E12"/>
    <w:rsid w:val="00B71148"/>
    <w:rsid w:val="00B7143B"/>
    <w:rsid w:val="00B73A94"/>
    <w:rsid w:val="00B80B60"/>
    <w:rsid w:val="00B81AB7"/>
    <w:rsid w:val="00B833DB"/>
    <w:rsid w:val="00B83CC8"/>
    <w:rsid w:val="00B8595C"/>
    <w:rsid w:val="00B8606E"/>
    <w:rsid w:val="00B87C36"/>
    <w:rsid w:val="00B9704F"/>
    <w:rsid w:val="00BA114A"/>
    <w:rsid w:val="00BA18C0"/>
    <w:rsid w:val="00BA3803"/>
    <w:rsid w:val="00BB14AF"/>
    <w:rsid w:val="00BB395E"/>
    <w:rsid w:val="00BB39CE"/>
    <w:rsid w:val="00BB424E"/>
    <w:rsid w:val="00BC0503"/>
    <w:rsid w:val="00BC1D96"/>
    <w:rsid w:val="00BC1DE0"/>
    <w:rsid w:val="00BC3226"/>
    <w:rsid w:val="00BC7D42"/>
    <w:rsid w:val="00BD019D"/>
    <w:rsid w:val="00BD2FF2"/>
    <w:rsid w:val="00BD41C6"/>
    <w:rsid w:val="00BD53D9"/>
    <w:rsid w:val="00BD6788"/>
    <w:rsid w:val="00BE50DF"/>
    <w:rsid w:val="00BE67B1"/>
    <w:rsid w:val="00BF48BD"/>
    <w:rsid w:val="00C00DBE"/>
    <w:rsid w:val="00C021E1"/>
    <w:rsid w:val="00C02C47"/>
    <w:rsid w:val="00C03E04"/>
    <w:rsid w:val="00C1236F"/>
    <w:rsid w:val="00C164C8"/>
    <w:rsid w:val="00C16509"/>
    <w:rsid w:val="00C22AA3"/>
    <w:rsid w:val="00C242EE"/>
    <w:rsid w:val="00C3624A"/>
    <w:rsid w:val="00C37E70"/>
    <w:rsid w:val="00C438A8"/>
    <w:rsid w:val="00C508D5"/>
    <w:rsid w:val="00C517D0"/>
    <w:rsid w:val="00C52AE8"/>
    <w:rsid w:val="00C53269"/>
    <w:rsid w:val="00C62E04"/>
    <w:rsid w:val="00C6640A"/>
    <w:rsid w:val="00C70B8F"/>
    <w:rsid w:val="00C70EC3"/>
    <w:rsid w:val="00C7666B"/>
    <w:rsid w:val="00C82442"/>
    <w:rsid w:val="00C8462D"/>
    <w:rsid w:val="00C8585D"/>
    <w:rsid w:val="00C86B81"/>
    <w:rsid w:val="00C86D59"/>
    <w:rsid w:val="00C91064"/>
    <w:rsid w:val="00C92A9B"/>
    <w:rsid w:val="00C94E0D"/>
    <w:rsid w:val="00C95FA2"/>
    <w:rsid w:val="00C95FFF"/>
    <w:rsid w:val="00C979A8"/>
    <w:rsid w:val="00CB0C00"/>
    <w:rsid w:val="00CC1EC8"/>
    <w:rsid w:val="00CC3E4F"/>
    <w:rsid w:val="00CC582D"/>
    <w:rsid w:val="00CC64F1"/>
    <w:rsid w:val="00CC7455"/>
    <w:rsid w:val="00CD2599"/>
    <w:rsid w:val="00CD4D2F"/>
    <w:rsid w:val="00CD5537"/>
    <w:rsid w:val="00CE69B8"/>
    <w:rsid w:val="00CE7AA0"/>
    <w:rsid w:val="00CF4D47"/>
    <w:rsid w:val="00CF4E02"/>
    <w:rsid w:val="00D01FF2"/>
    <w:rsid w:val="00D02211"/>
    <w:rsid w:val="00D0415C"/>
    <w:rsid w:val="00D05490"/>
    <w:rsid w:val="00D1293B"/>
    <w:rsid w:val="00D1574C"/>
    <w:rsid w:val="00D163D9"/>
    <w:rsid w:val="00D17F71"/>
    <w:rsid w:val="00D21943"/>
    <w:rsid w:val="00D2484D"/>
    <w:rsid w:val="00D25D28"/>
    <w:rsid w:val="00D26339"/>
    <w:rsid w:val="00D2740B"/>
    <w:rsid w:val="00D36A3A"/>
    <w:rsid w:val="00D37BB9"/>
    <w:rsid w:val="00D40D69"/>
    <w:rsid w:val="00D44EC3"/>
    <w:rsid w:val="00D475AB"/>
    <w:rsid w:val="00D514F1"/>
    <w:rsid w:val="00D52110"/>
    <w:rsid w:val="00D5672E"/>
    <w:rsid w:val="00D81561"/>
    <w:rsid w:val="00D81ED9"/>
    <w:rsid w:val="00D865A2"/>
    <w:rsid w:val="00D9151E"/>
    <w:rsid w:val="00D94190"/>
    <w:rsid w:val="00D97B5C"/>
    <w:rsid w:val="00DA00A7"/>
    <w:rsid w:val="00DA1D4D"/>
    <w:rsid w:val="00DA771E"/>
    <w:rsid w:val="00DA79D7"/>
    <w:rsid w:val="00DB07F6"/>
    <w:rsid w:val="00DB0B49"/>
    <w:rsid w:val="00DB4D1D"/>
    <w:rsid w:val="00DB792A"/>
    <w:rsid w:val="00DC352D"/>
    <w:rsid w:val="00DC7919"/>
    <w:rsid w:val="00DD0031"/>
    <w:rsid w:val="00DD0D1D"/>
    <w:rsid w:val="00DD0F16"/>
    <w:rsid w:val="00DD1B9C"/>
    <w:rsid w:val="00DD24C5"/>
    <w:rsid w:val="00DD5B2C"/>
    <w:rsid w:val="00DE1F0D"/>
    <w:rsid w:val="00DE4C5F"/>
    <w:rsid w:val="00DF24B2"/>
    <w:rsid w:val="00DF31DD"/>
    <w:rsid w:val="00E04516"/>
    <w:rsid w:val="00E120F4"/>
    <w:rsid w:val="00E14DA6"/>
    <w:rsid w:val="00E37E5E"/>
    <w:rsid w:val="00E40132"/>
    <w:rsid w:val="00E40810"/>
    <w:rsid w:val="00E4179F"/>
    <w:rsid w:val="00E42EB5"/>
    <w:rsid w:val="00E44617"/>
    <w:rsid w:val="00E45537"/>
    <w:rsid w:val="00E50D23"/>
    <w:rsid w:val="00E5426E"/>
    <w:rsid w:val="00E55DAB"/>
    <w:rsid w:val="00E612A5"/>
    <w:rsid w:val="00E628BB"/>
    <w:rsid w:val="00E72A46"/>
    <w:rsid w:val="00E8160D"/>
    <w:rsid w:val="00E8688F"/>
    <w:rsid w:val="00E87A99"/>
    <w:rsid w:val="00E951FA"/>
    <w:rsid w:val="00E965AA"/>
    <w:rsid w:val="00EA2BD2"/>
    <w:rsid w:val="00EA5011"/>
    <w:rsid w:val="00EA79B7"/>
    <w:rsid w:val="00EB03C1"/>
    <w:rsid w:val="00EB1AD0"/>
    <w:rsid w:val="00EB377F"/>
    <w:rsid w:val="00EB5304"/>
    <w:rsid w:val="00EB6F66"/>
    <w:rsid w:val="00EC0799"/>
    <w:rsid w:val="00EC4042"/>
    <w:rsid w:val="00EC58BA"/>
    <w:rsid w:val="00ED338D"/>
    <w:rsid w:val="00ED6EE3"/>
    <w:rsid w:val="00ED7C9B"/>
    <w:rsid w:val="00EE189E"/>
    <w:rsid w:val="00EE32B7"/>
    <w:rsid w:val="00EE5819"/>
    <w:rsid w:val="00EE768B"/>
    <w:rsid w:val="00EF0EA4"/>
    <w:rsid w:val="00EF35E6"/>
    <w:rsid w:val="00EF3CB8"/>
    <w:rsid w:val="00EF7E89"/>
    <w:rsid w:val="00F01B74"/>
    <w:rsid w:val="00F0482B"/>
    <w:rsid w:val="00F04A16"/>
    <w:rsid w:val="00F07DA5"/>
    <w:rsid w:val="00F107B7"/>
    <w:rsid w:val="00F13663"/>
    <w:rsid w:val="00F20A0C"/>
    <w:rsid w:val="00F21076"/>
    <w:rsid w:val="00F23041"/>
    <w:rsid w:val="00F245EF"/>
    <w:rsid w:val="00F24BC4"/>
    <w:rsid w:val="00F31301"/>
    <w:rsid w:val="00F379CB"/>
    <w:rsid w:val="00F41EE4"/>
    <w:rsid w:val="00F435D4"/>
    <w:rsid w:val="00F44AEB"/>
    <w:rsid w:val="00F60DF8"/>
    <w:rsid w:val="00F62BFB"/>
    <w:rsid w:val="00F7175B"/>
    <w:rsid w:val="00F8645C"/>
    <w:rsid w:val="00F86ED7"/>
    <w:rsid w:val="00F87E7B"/>
    <w:rsid w:val="00F91689"/>
    <w:rsid w:val="00F92629"/>
    <w:rsid w:val="00F94883"/>
    <w:rsid w:val="00F948EF"/>
    <w:rsid w:val="00F97056"/>
    <w:rsid w:val="00FA16D1"/>
    <w:rsid w:val="00FA4CD7"/>
    <w:rsid w:val="00FA4F91"/>
    <w:rsid w:val="00FB0E0F"/>
    <w:rsid w:val="00FC23D1"/>
    <w:rsid w:val="00FC59B6"/>
    <w:rsid w:val="00FD1A67"/>
    <w:rsid w:val="00FD341A"/>
    <w:rsid w:val="00FE094A"/>
    <w:rsid w:val="00FE65FD"/>
    <w:rsid w:val="00FF1FF4"/>
    <w:rsid w:val="00FF3F6D"/>
    <w:rsid w:val="00FF67F0"/>
    <w:rsid w:val="011D0FA7"/>
    <w:rsid w:val="01227D26"/>
    <w:rsid w:val="01331812"/>
    <w:rsid w:val="014F32E7"/>
    <w:rsid w:val="015666AF"/>
    <w:rsid w:val="0159017F"/>
    <w:rsid w:val="015B4FE6"/>
    <w:rsid w:val="01695955"/>
    <w:rsid w:val="017E6204"/>
    <w:rsid w:val="0182256A"/>
    <w:rsid w:val="018A47F4"/>
    <w:rsid w:val="018E7169"/>
    <w:rsid w:val="018F2EE2"/>
    <w:rsid w:val="019D73AC"/>
    <w:rsid w:val="01BB6FD4"/>
    <w:rsid w:val="01CF32DE"/>
    <w:rsid w:val="01D84888"/>
    <w:rsid w:val="01F176F8"/>
    <w:rsid w:val="01FE2930"/>
    <w:rsid w:val="02076F1C"/>
    <w:rsid w:val="020E0CF9"/>
    <w:rsid w:val="021613A0"/>
    <w:rsid w:val="02313F99"/>
    <w:rsid w:val="02493985"/>
    <w:rsid w:val="024F5639"/>
    <w:rsid w:val="025263E9"/>
    <w:rsid w:val="029C7664"/>
    <w:rsid w:val="02B60317"/>
    <w:rsid w:val="02C03B53"/>
    <w:rsid w:val="02CB1CF7"/>
    <w:rsid w:val="02D23086"/>
    <w:rsid w:val="032C3D3F"/>
    <w:rsid w:val="03511AD9"/>
    <w:rsid w:val="035829D1"/>
    <w:rsid w:val="037638EE"/>
    <w:rsid w:val="03825FE5"/>
    <w:rsid w:val="03977E2B"/>
    <w:rsid w:val="03AD58A1"/>
    <w:rsid w:val="03BD097E"/>
    <w:rsid w:val="03BD5AE4"/>
    <w:rsid w:val="03C30C20"/>
    <w:rsid w:val="03DC17C1"/>
    <w:rsid w:val="03DC3882"/>
    <w:rsid w:val="03E06665"/>
    <w:rsid w:val="03F11C32"/>
    <w:rsid w:val="0405748B"/>
    <w:rsid w:val="04115E30"/>
    <w:rsid w:val="04127E65"/>
    <w:rsid w:val="041D688F"/>
    <w:rsid w:val="042F4508"/>
    <w:rsid w:val="04356AD0"/>
    <w:rsid w:val="04393EFD"/>
    <w:rsid w:val="043C1696"/>
    <w:rsid w:val="04784101"/>
    <w:rsid w:val="047F2D99"/>
    <w:rsid w:val="04AB1DE0"/>
    <w:rsid w:val="04D53301"/>
    <w:rsid w:val="04EF79D1"/>
    <w:rsid w:val="05127B0D"/>
    <w:rsid w:val="053F1D19"/>
    <w:rsid w:val="05AF4BCF"/>
    <w:rsid w:val="05C07B0D"/>
    <w:rsid w:val="05CA26AE"/>
    <w:rsid w:val="05CD3FD8"/>
    <w:rsid w:val="05D2339D"/>
    <w:rsid w:val="05D93716"/>
    <w:rsid w:val="05DB04A3"/>
    <w:rsid w:val="06045940"/>
    <w:rsid w:val="060A0F36"/>
    <w:rsid w:val="06127C3D"/>
    <w:rsid w:val="06256EF9"/>
    <w:rsid w:val="063D412C"/>
    <w:rsid w:val="065B0A0F"/>
    <w:rsid w:val="067A4160"/>
    <w:rsid w:val="067B1C86"/>
    <w:rsid w:val="067D155B"/>
    <w:rsid w:val="069E651F"/>
    <w:rsid w:val="06AC0092"/>
    <w:rsid w:val="06C279D3"/>
    <w:rsid w:val="06C929F2"/>
    <w:rsid w:val="06CB62A4"/>
    <w:rsid w:val="06D73361"/>
    <w:rsid w:val="06F0141D"/>
    <w:rsid w:val="06F96084"/>
    <w:rsid w:val="0700541D"/>
    <w:rsid w:val="070A39BB"/>
    <w:rsid w:val="071E0F8F"/>
    <w:rsid w:val="07230354"/>
    <w:rsid w:val="0764271A"/>
    <w:rsid w:val="07666B55"/>
    <w:rsid w:val="07833AF3"/>
    <w:rsid w:val="07876E2F"/>
    <w:rsid w:val="07911761"/>
    <w:rsid w:val="079A5A41"/>
    <w:rsid w:val="07B22115"/>
    <w:rsid w:val="07E37AE3"/>
    <w:rsid w:val="07EC4BEA"/>
    <w:rsid w:val="08065580"/>
    <w:rsid w:val="0808579C"/>
    <w:rsid w:val="081B54CF"/>
    <w:rsid w:val="08275C22"/>
    <w:rsid w:val="08362309"/>
    <w:rsid w:val="08381BDD"/>
    <w:rsid w:val="083B347B"/>
    <w:rsid w:val="086F75C9"/>
    <w:rsid w:val="087370B9"/>
    <w:rsid w:val="08836BD0"/>
    <w:rsid w:val="08884D85"/>
    <w:rsid w:val="08892439"/>
    <w:rsid w:val="088F4EBF"/>
    <w:rsid w:val="089B6503"/>
    <w:rsid w:val="08A44371"/>
    <w:rsid w:val="08CF35EA"/>
    <w:rsid w:val="08E7715F"/>
    <w:rsid w:val="08EA0B6D"/>
    <w:rsid w:val="08F4090D"/>
    <w:rsid w:val="08FC0F59"/>
    <w:rsid w:val="08FD1455"/>
    <w:rsid w:val="09175BF9"/>
    <w:rsid w:val="093C74AB"/>
    <w:rsid w:val="094E3682"/>
    <w:rsid w:val="095F763D"/>
    <w:rsid w:val="0972294A"/>
    <w:rsid w:val="09C37BCC"/>
    <w:rsid w:val="09ED4C49"/>
    <w:rsid w:val="0A024148"/>
    <w:rsid w:val="0A0F305B"/>
    <w:rsid w:val="0A397E8E"/>
    <w:rsid w:val="0A5B7E05"/>
    <w:rsid w:val="0A670558"/>
    <w:rsid w:val="0A84735B"/>
    <w:rsid w:val="0AA028A4"/>
    <w:rsid w:val="0AB37C41"/>
    <w:rsid w:val="0ACB31DC"/>
    <w:rsid w:val="0ACC04FA"/>
    <w:rsid w:val="0ACC2AB1"/>
    <w:rsid w:val="0ADF27E4"/>
    <w:rsid w:val="0AF3003D"/>
    <w:rsid w:val="0AFF69E2"/>
    <w:rsid w:val="0B24534E"/>
    <w:rsid w:val="0B5D74D5"/>
    <w:rsid w:val="0B647A38"/>
    <w:rsid w:val="0B996E37"/>
    <w:rsid w:val="0BA457DB"/>
    <w:rsid w:val="0BC11AF1"/>
    <w:rsid w:val="0BCF5714"/>
    <w:rsid w:val="0BE81B6C"/>
    <w:rsid w:val="0BEC2E1C"/>
    <w:rsid w:val="0C1441DA"/>
    <w:rsid w:val="0C2D757F"/>
    <w:rsid w:val="0C3A6FC0"/>
    <w:rsid w:val="0C4843B9"/>
    <w:rsid w:val="0C580AA0"/>
    <w:rsid w:val="0C621920"/>
    <w:rsid w:val="0C847A81"/>
    <w:rsid w:val="0CA75583"/>
    <w:rsid w:val="0CF46A23"/>
    <w:rsid w:val="0CF77C56"/>
    <w:rsid w:val="0D0A78C0"/>
    <w:rsid w:val="0D224637"/>
    <w:rsid w:val="0D24098A"/>
    <w:rsid w:val="0D2969B9"/>
    <w:rsid w:val="0D374B59"/>
    <w:rsid w:val="0D4B1CD1"/>
    <w:rsid w:val="0D815DD4"/>
    <w:rsid w:val="0D8F47AD"/>
    <w:rsid w:val="0D91510A"/>
    <w:rsid w:val="0DA52680"/>
    <w:rsid w:val="0DC21F49"/>
    <w:rsid w:val="0DD142B2"/>
    <w:rsid w:val="0DE40111"/>
    <w:rsid w:val="0DEB5689"/>
    <w:rsid w:val="0DEE0F90"/>
    <w:rsid w:val="0DF5231E"/>
    <w:rsid w:val="0DF9500E"/>
    <w:rsid w:val="0E59397E"/>
    <w:rsid w:val="0E794CFD"/>
    <w:rsid w:val="0EA840CF"/>
    <w:rsid w:val="0EB01EBC"/>
    <w:rsid w:val="0EBB5838"/>
    <w:rsid w:val="0EDF5E9C"/>
    <w:rsid w:val="0F08344E"/>
    <w:rsid w:val="0F503CB0"/>
    <w:rsid w:val="0F5E0835"/>
    <w:rsid w:val="0F7756E1"/>
    <w:rsid w:val="0FAA388B"/>
    <w:rsid w:val="0FD3043D"/>
    <w:rsid w:val="0FFC202D"/>
    <w:rsid w:val="0FFF7484"/>
    <w:rsid w:val="100820EA"/>
    <w:rsid w:val="100E7E6A"/>
    <w:rsid w:val="102325D8"/>
    <w:rsid w:val="105D2FDA"/>
    <w:rsid w:val="105D4EC0"/>
    <w:rsid w:val="105E2C50"/>
    <w:rsid w:val="105E41AB"/>
    <w:rsid w:val="1062775A"/>
    <w:rsid w:val="10901581"/>
    <w:rsid w:val="10987BAA"/>
    <w:rsid w:val="10A818CA"/>
    <w:rsid w:val="10B02C01"/>
    <w:rsid w:val="10B81290"/>
    <w:rsid w:val="10C5422A"/>
    <w:rsid w:val="10CE3388"/>
    <w:rsid w:val="10F50B0D"/>
    <w:rsid w:val="1114375C"/>
    <w:rsid w:val="11226720"/>
    <w:rsid w:val="11241AA9"/>
    <w:rsid w:val="1142587A"/>
    <w:rsid w:val="114415F3"/>
    <w:rsid w:val="116F23E8"/>
    <w:rsid w:val="118916FB"/>
    <w:rsid w:val="119D70C3"/>
    <w:rsid w:val="11AE4CBE"/>
    <w:rsid w:val="11B92645"/>
    <w:rsid w:val="11C17CBA"/>
    <w:rsid w:val="11C74AE7"/>
    <w:rsid w:val="11CB1D14"/>
    <w:rsid w:val="11E626AA"/>
    <w:rsid w:val="11E701D0"/>
    <w:rsid w:val="1230601B"/>
    <w:rsid w:val="125A6BF4"/>
    <w:rsid w:val="12764066"/>
    <w:rsid w:val="12987D8F"/>
    <w:rsid w:val="12BD7D99"/>
    <w:rsid w:val="12D93B5E"/>
    <w:rsid w:val="12E84200"/>
    <w:rsid w:val="12E96647"/>
    <w:rsid w:val="12FB2185"/>
    <w:rsid w:val="130F1AA9"/>
    <w:rsid w:val="13596F3A"/>
    <w:rsid w:val="136F7127"/>
    <w:rsid w:val="13712AB5"/>
    <w:rsid w:val="13763F01"/>
    <w:rsid w:val="139279F8"/>
    <w:rsid w:val="13BA0D8F"/>
    <w:rsid w:val="13CE7899"/>
    <w:rsid w:val="13EC7D20"/>
    <w:rsid w:val="13FB7C08"/>
    <w:rsid w:val="13FD4289"/>
    <w:rsid w:val="143C4512"/>
    <w:rsid w:val="14406F94"/>
    <w:rsid w:val="14425B91"/>
    <w:rsid w:val="144E2788"/>
    <w:rsid w:val="144E6A24"/>
    <w:rsid w:val="146124BC"/>
    <w:rsid w:val="14740441"/>
    <w:rsid w:val="14864466"/>
    <w:rsid w:val="148E0DD7"/>
    <w:rsid w:val="14933FC5"/>
    <w:rsid w:val="14A6189D"/>
    <w:rsid w:val="14ED5333"/>
    <w:rsid w:val="14F926F4"/>
    <w:rsid w:val="154F0566"/>
    <w:rsid w:val="15537EB2"/>
    <w:rsid w:val="15562627"/>
    <w:rsid w:val="15584CF3"/>
    <w:rsid w:val="15595B39"/>
    <w:rsid w:val="155D7127"/>
    <w:rsid w:val="155F6B7B"/>
    <w:rsid w:val="155F7ECB"/>
    <w:rsid w:val="156009C5"/>
    <w:rsid w:val="15865D43"/>
    <w:rsid w:val="15877D00"/>
    <w:rsid w:val="159633B7"/>
    <w:rsid w:val="15C81A58"/>
    <w:rsid w:val="15DE404E"/>
    <w:rsid w:val="160F2C7D"/>
    <w:rsid w:val="161377E5"/>
    <w:rsid w:val="16380CEC"/>
    <w:rsid w:val="163B6D7F"/>
    <w:rsid w:val="166D339A"/>
    <w:rsid w:val="168645C2"/>
    <w:rsid w:val="169E3688"/>
    <w:rsid w:val="16AB3EC2"/>
    <w:rsid w:val="16B77600"/>
    <w:rsid w:val="16B95A26"/>
    <w:rsid w:val="16BC7E7D"/>
    <w:rsid w:val="16E14AC7"/>
    <w:rsid w:val="170610F8"/>
    <w:rsid w:val="173619DD"/>
    <w:rsid w:val="17393D38"/>
    <w:rsid w:val="173B60B4"/>
    <w:rsid w:val="17442D5D"/>
    <w:rsid w:val="176127D3"/>
    <w:rsid w:val="176C150E"/>
    <w:rsid w:val="176D39AA"/>
    <w:rsid w:val="177B42F2"/>
    <w:rsid w:val="178B4A39"/>
    <w:rsid w:val="179B3DA5"/>
    <w:rsid w:val="17A448C6"/>
    <w:rsid w:val="17B44FF8"/>
    <w:rsid w:val="17C15D0E"/>
    <w:rsid w:val="17C92324"/>
    <w:rsid w:val="17D86F39"/>
    <w:rsid w:val="17FD699F"/>
    <w:rsid w:val="18167A61"/>
    <w:rsid w:val="183A54FD"/>
    <w:rsid w:val="18441ED8"/>
    <w:rsid w:val="185524C3"/>
    <w:rsid w:val="187F1162"/>
    <w:rsid w:val="18BA4890"/>
    <w:rsid w:val="18F51105"/>
    <w:rsid w:val="18F62767"/>
    <w:rsid w:val="1905287E"/>
    <w:rsid w:val="19483C4A"/>
    <w:rsid w:val="19510D51"/>
    <w:rsid w:val="19663F45"/>
    <w:rsid w:val="1973124F"/>
    <w:rsid w:val="19815ECD"/>
    <w:rsid w:val="1993572D"/>
    <w:rsid w:val="199926F8"/>
    <w:rsid w:val="199C4525"/>
    <w:rsid w:val="19B22502"/>
    <w:rsid w:val="19BB693F"/>
    <w:rsid w:val="19F8741E"/>
    <w:rsid w:val="1A3441CE"/>
    <w:rsid w:val="1A501008"/>
    <w:rsid w:val="1A711802"/>
    <w:rsid w:val="1A8567D8"/>
    <w:rsid w:val="1A903AFB"/>
    <w:rsid w:val="1B1E1106"/>
    <w:rsid w:val="1B22370C"/>
    <w:rsid w:val="1B9B4884"/>
    <w:rsid w:val="1BAB226E"/>
    <w:rsid w:val="1BB35B75"/>
    <w:rsid w:val="1BCE457E"/>
    <w:rsid w:val="1BD52BBA"/>
    <w:rsid w:val="1BD952F6"/>
    <w:rsid w:val="1BF61FE5"/>
    <w:rsid w:val="1C012EBC"/>
    <w:rsid w:val="1C024584"/>
    <w:rsid w:val="1C19367C"/>
    <w:rsid w:val="1C1A7B2F"/>
    <w:rsid w:val="1C210052"/>
    <w:rsid w:val="1C2501B7"/>
    <w:rsid w:val="1C297F07"/>
    <w:rsid w:val="1C2D7127"/>
    <w:rsid w:val="1C2F10F1"/>
    <w:rsid w:val="1C43143D"/>
    <w:rsid w:val="1C573140"/>
    <w:rsid w:val="1C7865F4"/>
    <w:rsid w:val="1C796619"/>
    <w:rsid w:val="1C980B08"/>
    <w:rsid w:val="1CA4388D"/>
    <w:rsid w:val="1CF55E97"/>
    <w:rsid w:val="1CFF6604"/>
    <w:rsid w:val="1D002DD4"/>
    <w:rsid w:val="1D0321DC"/>
    <w:rsid w:val="1D0846B2"/>
    <w:rsid w:val="1D296954"/>
    <w:rsid w:val="1D2B4454"/>
    <w:rsid w:val="1D4806BC"/>
    <w:rsid w:val="1D6F6ABF"/>
    <w:rsid w:val="1D7536FB"/>
    <w:rsid w:val="1DAB651A"/>
    <w:rsid w:val="1DB45E8B"/>
    <w:rsid w:val="1DC30323"/>
    <w:rsid w:val="1DCD648A"/>
    <w:rsid w:val="1DCE1ACE"/>
    <w:rsid w:val="1DD24B08"/>
    <w:rsid w:val="1DF3687A"/>
    <w:rsid w:val="1E162569"/>
    <w:rsid w:val="1E306DE5"/>
    <w:rsid w:val="1E672DC4"/>
    <w:rsid w:val="1E7C0BD0"/>
    <w:rsid w:val="1E8D59C5"/>
    <w:rsid w:val="1E8E7A1C"/>
    <w:rsid w:val="1EC00E99"/>
    <w:rsid w:val="1ECA6EAF"/>
    <w:rsid w:val="1ED16490"/>
    <w:rsid w:val="1EDB183D"/>
    <w:rsid w:val="1EDB5639"/>
    <w:rsid w:val="1EE95587"/>
    <w:rsid w:val="1F1E24D1"/>
    <w:rsid w:val="1F3A1F8A"/>
    <w:rsid w:val="1F5062A3"/>
    <w:rsid w:val="1F707A57"/>
    <w:rsid w:val="1F8F66CD"/>
    <w:rsid w:val="1FAA07C4"/>
    <w:rsid w:val="1FB75686"/>
    <w:rsid w:val="1FC55FF4"/>
    <w:rsid w:val="1FCC2463"/>
    <w:rsid w:val="1FD2426D"/>
    <w:rsid w:val="1FD95C56"/>
    <w:rsid w:val="1FE43FA1"/>
    <w:rsid w:val="20480F2E"/>
    <w:rsid w:val="2079293B"/>
    <w:rsid w:val="20A0436C"/>
    <w:rsid w:val="20AC0F62"/>
    <w:rsid w:val="20BA5C11"/>
    <w:rsid w:val="20E22BD6"/>
    <w:rsid w:val="20E40850"/>
    <w:rsid w:val="20E82FEF"/>
    <w:rsid w:val="20FF3499"/>
    <w:rsid w:val="21271D91"/>
    <w:rsid w:val="212A66A9"/>
    <w:rsid w:val="21350A5D"/>
    <w:rsid w:val="214967B1"/>
    <w:rsid w:val="21496ACD"/>
    <w:rsid w:val="217463F9"/>
    <w:rsid w:val="217618AE"/>
    <w:rsid w:val="21835B9D"/>
    <w:rsid w:val="21937A2C"/>
    <w:rsid w:val="21AA36F4"/>
    <w:rsid w:val="21B449B9"/>
    <w:rsid w:val="21BA0AD9"/>
    <w:rsid w:val="21BA76AF"/>
    <w:rsid w:val="21E04064"/>
    <w:rsid w:val="220821C8"/>
    <w:rsid w:val="222133BE"/>
    <w:rsid w:val="2250550C"/>
    <w:rsid w:val="22515A8F"/>
    <w:rsid w:val="22745AB0"/>
    <w:rsid w:val="229677D4"/>
    <w:rsid w:val="22F83FEB"/>
    <w:rsid w:val="22F84359"/>
    <w:rsid w:val="23133682"/>
    <w:rsid w:val="234B31C9"/>
    <w:rsid w:val="23582CDC"/>
    <w:rsid w:val="2382191A"/>
    <w:rsid w:val="23852551"/>
    <w:rsid w:val="2387591C"/>
    <w:rsid w:val="23887A65"/>
    <w:rsid w:val="23B5369F"/>
    <w:rsid w:val="23D700A4"/>
    <w:rsid w:val="23DD70FB"/>
    <w:rsid w:val="23E66FD1"/>
    <w:rsid w:val="23E8760B"/>
    <w:rsid w:val="23E9602A"/>
    <w:rsid w:val="23EF3EB6"/>
    <w:rsid w:val="23F22BC8"/>
    <w:rsid w:val="23F511B0"/>
    <w:rsid w:val="2409047A"/>
    <w:rsid w:val="24172B97"/>
    <w:rsid w:val="246A53BC"/>
    <w:rsid w:val="249C2104"/>
    <w:rsid w:val="24B5166B"/>
    <w:rsid w:val="24C22C2F"/>
    <w:rsid w:val="24CB3AF4"/>
    <w:rsid w:val="25184E18"/>
    <w:rsid w:val="2533479E"/>
    <w:rsid w:val="258E50DA"/>
    <w:rsid w:val="259049B8"/>
    <w:rsid w:val="25A3316E"/>
    <w:rsid w:val="25AE2C37"/>
    <w:rsid w:val="25BB5899"/>
    <w:rsid w:val="25D845A8"/>
    <w:rsid w:val="25F218D5"/>
    <w:rsid w:val="260333D3"/>
    <w:rsid w:val="26282E39"/>
    <w:rsid w:val="262E1D29"/>
    <w:rsid w:val="264865DC"/>
    <w:rsid w:val="265514D7"/>
    <w:rsid w:val="26B91CE3"/>
    <w:rsid w:val="26CB1930"/>
    <w:rsid w:val="26D13D9D"/>
    <w:rsid w:val="26DD144B"/>
    <w:rsid w:val="271B52DA"/>
    <w:rsid w:val="2720370E"/>
    <w:rsid w:val="27237305"/>
    <w:rsid w:val="272F2675"/>
    <w:rsid w:val="27316FA8"/>
    <w:rsid w:val="275E0129"/>
    <w:rsid w:val="2760784D"/>
    <w:rsid w:val="27624129"/>
    <w:rsid w:val="276E2ACE"/>
    <w:rsid w:val="279B3ADF"/>
    <w:rsid w:val="27BD1CA7"/>
    <w:rsid w:val="27CB43C4"/>
    <w:rsid w:val="27CC1AEE"/>
    <w:rsid w:val="27D03788"/>
    <w:rsid w:val="27D36DD5"/>
    <w:rsid w:val="27F333C8"/>
    <w:rsid w:val="27F66E2D"/>
    <w:rsid w:val="28020122"/>
    <w:rsid w:val="281E3585"/>
    <w:rsid w:val="28235FAE"/>
    <w:rsid w:val="283261F1"/>
    <w:rsid w:val="284952E9"/>
    <w:rsid w:val="28653C79"/>
    <w:rsid w:val="28667C49"/>
    <w:rsid w:val="28680CCE"/>
    <w:rsid w:val="28685782"/>
    <w:rsid w:val="28BC3D0D"/>
    <w:rsid w:val="28C964DF"/>
    <w:rsid w:val="28D762D8"/>
    <w:rsid w:val="28EB61F3"/>
    <w:rsid w:val="28EF40E2"/>
    <w:rsid w:val="29264CCA"/>
    <w:rsid w:val="295B3290"/>
    <w:rsid w:val="296636EE"/>
    <w:rsid w:val="29817AA1"/>
    <w:rsid w:val="29BC407A"/>
    <w:rsid w:val="29C966E1"/>
    <w:rsid w:val="29CA2459"/>
    <w:rsid w:val="29EE6148"/>
    <w:rsid w:val="29F767B8"/>
    <w:rsid w:val="2A0B2CB7"/>
    <w:rsid w:val="2A1476DD"/>
    <w:rsid w:val="2A2C7499"/>
    <w:rsid w:val="2A9E1303"/>
    <w:rsid w:val="2A9E4EE5"/>
    <w:rsid w:val="2ABB5657"/>
    <w:rsid w:val="2AC860B7"/>
    <w:rsid w:val="2AD85025"/>
    <w:rsid w:val="2AE337D3"/>
    <w:rsid w:val="2AF552B4"/>
    <w:rsid w:val="2B7128F5"/>
    <w:rsid w:val="2B7408CF"/>
    <w:rsid w:val="2B793765"/>
    <w:rsid w:val="2B7F7FBC"/>
    <w:rsid w:val="2B8F395A"/>
    <w:rsid w:val="2BC929C8"/>
    <w:rsid w:val="2BD309F5"/>
    <w:rsid w:val="2BDA1FB1"/>
    <w:rsid w:val="2BDA4BD6"/>
    <w:rsid w:val="2BDF0D5B"/>
    <w:rsid w:val="2C0D25F9"/>
    <w:rsid w:val="2C263D52"/>
    <w:rsid w:val="2C3D5CA6"/>
    <w:rsid w:val="2C3F712F"/>
    <w:rsid w:val="2C491D5B"/>
    <w:rsid w:val="2C613836"/>
    <w:rsid w:val="2C714E0E"/>
    <w:rsid w:val="2C7843EE"/>
    <w:rsid w:val="2C7C7BC1"/>
    <w:rsid w:val="2CAE78BA"/>
    <w:rsid w:val="2CC67BBB"/>
    <w:rsid w:val="2CCD21F5"/>
    <w:rsid w:val="2CCF4BE1"/>
    <w:rsid w:val="2CE512D0"/>
    <w:rsid w:val="2CE808B5"/>
    <w:rsid w:val="2CFC58DA"/>
    <w:rsid w:val="2D314CC9"/>
    <w:rsid w:val="2D482013"/>
    <w:rsid w:val="2D8243E8"/>
    <w:rsid w:val="2D8B087D"/>
    <w:rsid w:val="2D8F1F82"/>
    <w:rsid w:val="2D9F180A"/>
    <w:rsid w:val="2DB655F3"/>
    <w:rsid w:val="2DB92430"/>
    <w:rsid w:val="2DBB05C0"/>
    <w:rsid w:val="2DC36D57"/>
    <w:rsid w:val="2DC50107"/>
    <w:rsid w:val="2DC7118A"/>
    <w:rsid w:val="2DC853B4"/>
    <w:rsid w:val="2DCC3F5C"/>
    <w:rsid w:val="2E2917B6"/>
    <w:rsid w:val="2E2A75B7"/>
    <w:rsid w:val="2E446741"/>
    <w:rsid w:val="2E5E4E01"/>
    <w:rsid w:val="2E633820"/>
    <w:rsid w:val="2E7330BF"/>
    <w:rsid w:val="2E8D6AD6"/>
    <w:rsid w:val="2EB10B9E"/>
    <w:rsid w:val="2EB63B09"/>
    <w:rsid w:val="2ECB06E1"/>
    <w:rsid w:val="2EDE26D0"/>
    <w:rsid w:val="2EF656A7"/>
    <w:rsid w:val="2F034443"/>
    <w:rsid w:val="2F065CE2"/>
    <w:rsid w:val="2F3C1703"/>
    <w:rsid w:val="2F4607D4"/>
    <w:rsid w:val="2F4C0A3A"/>
    <w:rsid w:val="2F4F1437"/>
    <w:rsid w:val="2F570CF6"/>
    <w:rsid w:val="2F5C1340"/>
    <w:rsid w:val="2F650C5A"/>
    <w:rsid w:val="2F703451"/>
    <w:rsid w:val="2F71640B"/>
    <w:rsid w:val="2F8F217B"/>
    <w:rsid w:val="2FBC06B5"/>
    <w:rsid w:val="2FC05568"/>
    <w:rsid w:val="3009493F"/>
    <w:rsid w:val="3034687E"/>
    <w:rsid w:val="30393E95"/>
    <w:rsid w:val="30441D58"/>
    <w:rsid w:val="30452F08"/>
    <w:rsid w:val="304B42F4"/>
    <w:rsid w:val="305D4040"/>
    <w:rsid w:val="305F5D5C"/>
    <w:rsid w:val="30822A6D"/>
    <w:rsid w:val="308710A4"/>
    <w:rsid w:val="30A873CC"/>
    <w:rsid w:val="30C34C0D"/>
    <w:rsid w:val="30D72CAA"/>
    <w:rsid w:val="30FB0EEE"/>
    <w:rsid w:val="30FD3D34"/>
    <w:rsid w:val="31224929"/>
    <w:rsid w:val="31293F09"/>
    <w:rsid w:val="312A2BAC"/>
    <w:rsid w:val="312A31AC"/>
    <w:rsid w:val="314D19A6"/>
    <w:rsid w:val="31880C30"/>
    <w:rsid w:val="318C4BC4"/>
    <w:rsid w:val="31A33CBC"/>
    <w:rsid w:val="31EE7ABB"/>
    <w:rsid w:val="320617F2"/>
    <w:rsid w:val="321F6337"/>
    <w:rsid w:val="32313BA2"/>
    <w:rsid w:val="3240150B"/>
    <w:rsid w:val="325B4596"/>
    <w:rsid w:val="327453C4"/>
    <w:rsid w:val="3274677D"/>
    <w:rsid w:val="32863777"/>
    <w:rsid w:val="329B2212"/>
    <w:rsid w:val="32C03D43"/>
    <w:rsid w:val="32D83497"/>
    <w:rsid w:val="32E35A88"/>
    <w:rsid w:val="32E52B52"/>
    <w:rsid w:val="32E90FEC"/>
    <w:rsid w:val="32EE12C6"/>
    <w:rsid w:val="331A7FAD"/>
    <w:rsid w:val="333B6C47"/>
    <w:rsid w:val="3354613B"/>
    <w:rsid w:val="335C4122"/>
    <w:rsid w:val="336E5E9A"/>
    <w:rsid w:val="3381627F"/>
    <w:rsid w:val="338B2C59"/>
    <w:rsid w:val="33974401"/>
    <w:rsid w:val="33B162F6"/>
    <w:rsid w:val="33B421B0"/>
    <w:rsid w:val="33B43F5E"/>
    <w:rsid w:val="33CA3782"/>
    <w:rsid w:val="33D04B10"/>
    <w:rsid w:val="33E12879"/>
    <w:rsid w:val="33EC7B9C"/>
    <w:rsid w:val="340B5A51"/>
    <w:rsid w:val="342D4A2B"/>
    <w:rsid w:val="3431735D"/>
    <w:rsid w:val="3437693D"/>
    <w:rsid w:val="344057F2"/>
    <w:rsid w:val="345257C6"/>
    <w:rsid w:val="345E6C39"/>
    <w:rsid w:val="34605E94"/>
    <w:rsid w:val="346F4329"/>
    <w:rsid w:val="34A371A5"/>
    <w:rsid w:val="34DF500B"/>
    <w:rsid w:val="34EC597A"/>
    <w:rsid w:val="3502519D"/>
    <w:rsid w:val="350E3B42"/>
    <w:rsid w:val="354914BC"/>
    <w:rsid w:val="3586192A"/>
    <w:rsid w:val="35E92736"/>
    <w:rsid w:val="35ED756B"/>
    <w:rsid w:val="35F00EDA"/>
    <w:rsid w:val="35F86490"/>
    <w:rsid w:val="360970CC"/>
    <w:rsid w:val="363650FE"/>
    <w:rsid w:val="365612FD"/>
    <w:rsid w:val="36792EB9"/>
    <w:rsid w:val="36BA37E8"/>
    <w:rsid w:val="36DE12F2"/>
    <w:rsid w:val="36F40B2D"/>
    <w:rsid w:val="37011057"/>
    <w:rsid w:val="37015120"/>
    <w:rsid w:val="37053DC6"/>
    <w:rsid w:val="371F7485"/>
    <w:rsid w:val="37313B18"/>
    <w:rsid w:val="37690C59"/>
    <w:rsid w:val="378327F3"/>
    <w:rsid w:val="378C2FAE"/>
    <w:rsid w:val="379F6CD3"/>
    <w:rsid w:val="37BA2C92"/>
    <w:rsid w:val="37D20E57"/>
    <w:rsid w:val="37E868CC"/>
    <w:rsid w:val="380448BC"/>
    <w:rsid w:val="3843357E"/>
    <w:rsid w:val="387B504A"/>
    <w:rsid w:val="38AA14B6"/>
    <w:rsid w:val="38DB3D3B"/>
    <w:rsid w:val="38F05233"/>
    <w:rsid w:val="38F142C9"/>
    <w:rsid w:val="390D2408"/>
    <w:rsid w:val="39137979"/>
    <w:rsid w:val="39567866"/>
    <w:rsid w:val="397F6DBC"/>
    <w:rsid w:val="39842625"/>
    <w:rsid w:val="3986014B"/>
    <w:rsid w:val="39A1380C"/>
    <w:rsid w:val="39A36EB5"/>
    <w:rsid w:val="39AB5E03"/>
    <w:rsid w:val="39B0341A"/>
    <w:rsid w:val="39D864CC"/>
    <w:rsid w:val="39E3559D"/>
    <w:rsid w:val="3A0A0D7C"/>
    <w:rsid w:val="3A15491B"/>
    <w:rsid w:val="3A35391F"/>
    <w:rsid w:val="3A522BF5"/>
    <w:rsid w:val="3A5E4C24"/>
    <w:rsid w:val="3AAF722D"/>
    <w:rsid w:val="3AE8273F"/>
    <w:rsid w:val="3AEA4709"/>
    <w:rsid w:val="3AEC222F"/>
    <w:rsid w:val="3AF13CEA"/>
    <w:rsid w:val="3B021A53"/>
    <w:rsid w:val="3B191B7A"/>
    <w:rsid w:val="3B496673"/>
    <w:rsid w:val="3B6444BC"/>
    <w:rsid w:val="3B693880"/>
    <w:rsid w:val="3B6C6A23"/>
    <w:rsid w:val="3B6F4C0F"/>
    <w:rsid w:val="3B7346FF"/>
    <w:rsid w:val="3B8127E7"/>
    <w:rsid w:val="3B9FCD2C"/>
    <w:rsid w:val="3BDD6254"/>
    <w:rsid w:val="3BE21FE8"/>
    <w:rsid w:val="3BFF41E4"/>
    <w:rsid w:val="3C080EA1"/>
    <w:rsid w:val="3C101F4E"/>
    <w:rsid w:val="3C24304D"/>
    <w:rsid w:val="3C27750C"/>
    <w:rsid w:val="3C31239E"/>
    <w:rsid w:val="3C3A36DC"/>
    <w:rsid w:val="3C3F3AAB"/>
    <w:rsid w:val="3C6504EB"/>
    <w:rsid w:val="3C6C0AF2"/>
    <w:rsid w:val="3C91278E"/>
    <w:rsid w:val="3C926E07"/>
    <w:rsid w:val="3CCF005B"/>
    <w:rsid w:val="3CF655E7"/>
    <w:rsid w:val="3CF8631B"/>
    <w:rsid w:val="3D0C4E0B"/>
    <w:rsid w:val="3D2C35F7"/>
    <w:rsid w:val="3D405A7D"/>
    <w:rsid w:val="3D7824A0"/>
    <w:rsid w:val="3D843A81"/>
    <w:rsid w:val="3D864BBD"/>
    <w:rsid w:val="3DEA0217"/>
    <w:rsid w:val="3DFD6502"/>
    <w:rsid w:val="3E0D61A2"/>
    <w:rsid w:val="3E2055E2"/>
    <w:rsid w:val="3E2E3E2C"/>
    <w:rsid w:val="3E444130"/>
    <w:rsid w:val="3E47614B"/>
    <w:rsid w:val="3E554590"/>
    <w:rsid w:val="3E5D63B6"/>
    <w:rsid w:val="3E6D4B50"/>
    <w:rsid w:val="3E795E39"/>
    <w:rsid w:val="3E926BA7"/>
    <w:rsid w:val="3E993F79"/>
    <w:rsid w:val="3EA10579"/>
    <w:rsid w:val="3EAE20B5"/>
    <w:rsid w:val="3EB24A72"/>
    <w:rsid w:val="3EB56DDC"/>
    <w:rsid w:val="3EDE6333"/>
    <w:rsid w:val="3EF142B8"/>
    <w:rsid w:val="3EFC2C5D"/>
    <w:rsid w:val="3F144A99"/>
    <w:rsid w:val="3F157017"/>
    <w:rsid w:val="3F170ED6"/>
    <w:rsid w:val="3F7A58A8"/>
    <w:rsid w:val="3F9115F7"/>
    <w:rsid w:val="3F9D61EE"/>
    <w:rsid w:val="3FBA018F"/>
    <w:rsid w:val="3FBF43B6"/>
    <w:rsid w:val="3FC61433"/>
    <w:rsid w:val="3FEE25A6"/>
    <w:rsid w:val="3FEF631E"/>
    <w:rsid w:val="400F58C5"/>
    <w:rsid w:val="401C1B0F"/>
    <w:rsid w:val="4057639D"/>
    <w:rsid w:val="405E6E83"/>
    <w:rsid w:val="40727B47"/>
    <w:rsid w:val="409C6105"/>
    <w:rsid w:val="40BB2DD0"/>
    <w:rsid w:val="40BC26A4"/>
    <w:rsid w:val="40C96B6F"/>
    <w:rsid w:val="40F40090"/>
    <w:rsid w:val="41067544"/>
    <w:rsid w:val="412F0467"/>
    <w:rsid w:val="413B181B"/>
    <w:rsid w:val="414172BF"/>
    <w:rsid w:val="41423FDB"/>
    <w:rsid w:val="414A5BAA"/>
    <w:rsid w:val="41547434"/>
    <w:rsid w:val="41764F49"/>
    <w:rsid w:val="417F09E7"/>
    <w:rsid w:val="41A01D4D"/>
    <w:rsid w:val="41AA074E"/>
    <w:rsid w:val="41B77431"/>
    <w:rsid w:val="41D34149"/>
    <w:rsid w:val="41F32A9F"/>
    <w:rsid w:val="41F8770C"/>
    <w:rsid w:val="41FA6D3C"/>
    <w:rsid w:val="42022339"/>
    <w:rsid w:val="42166627"/>
    <w:rsid w:val="422229DB"/>
    <w:rsid w:val="4223095A"/>
    <w:rsid w:val="422363B0"/>
    <w:rsid w:val="42280BFD"/>
    <w:rsid w:val="42413976"/>
    <w:rsid w:val="424D6740"/>
    <w:rsid w:val="426C3C56"/>
    <w:rsid w:val="427E7D29"/>
    <w:rsid w:val="42A91DDF"/>
    <w:rsid w:val="42B15B0D"/>
    <w:rsid w:val="42C57F36"/>
    <w:rsid w:val="42E5434C"/>
    <w:rsid w:val="42EB54C2"/>
    <w:rsid w:val="43081194"/>
    <w:rsid w:val="4359242C"/>
    <w:rsid w:val="4364246A"/>
    <w:rsid w:val="43691DB3"/>
    <w:rsid w:val="43884ABF"/>
    <w:rsid w:val="439C475B"/>
    <w:rsid w:val="43B9111D"/>
    <w:rsid w:val="43C04259"/>
    <w:rsid w:val="43CA30CB"/>
    <w:rsid w:val="43CD6976"/>
    <w:rsid w:val="43DE6DD5"/>
    <w:rsid w:val="440A7BCA"/>
    <w:rsid w:val="445A65A1"/>
    <w:rsid w:val="446A4693"/>
    <w:rsid w:val="44801C3A"/>
    <w:rsid w:val="4484797D"/>
    <w:rsid w:val="448D06D2"/>
    <w:rsid w:val="448E4357"/>
    <w:rsid w:val="44A704E2"/>
    <w:rsid w:val="44AA0C47"/>
    <w:rsid w:val="44C52CB4"/>
    <w:rsid w:val="44E64193"/>
    <w:rsid w:val="45195461"/>
    <w:rsid w:val="451A3E3D"/>
    <w:rsid w:val="45244CBC"/>
    <w:rsid w:val="45293856"/>
    <w:rsid w:val="45390767"/>
    <w:rsid w:val="453C0257"/>
    <w:rsid w:val="453C1E2A"/>
    <w:rsid w:val="45406DB2"/>
    <w:rsid w:val="45435142"/>
    <w:rsid w:val="457F25AC"/>
    <w:rsid w:val="45A51959"/>
    <w:rsid w:val="45BB5620"/>
    <w:rsid w:val="45E9257B"/>
    <w:rsid w:val="45F6758C"/>
    <w:rsid w:val="4617355E"/>
    <w:rsid w:val="461A7364"/>
    <w:rsid w:val="4629258A"/>
    <w:rsid w:val="465A6BE7"/>
    <w:rsid w:val="46690BD8"/>
    <w:rsid w:val="467328D2"/>
    <w:rsid w:val="46AD37B8"/>
    <w:rsid w:val="46B13331"/>
    <w:rsid w:val="46B8390E"/>
    <w:rsid w:val="46C329DE"/>
    <w:rsid w:val="46D83789"/>
    <w:rsid w:val="46E968E9"/>
    <w:rsid w:val="46F32B98"/>
    <w:rsid w:val="46FA6914"/>
    <w:rsid w:val="47040901"/>
    <w:rsid w:val="47062EAE"/>
    <w:rsid w:val="47332F94"/>
    <w:rsid w:val="47345A4E"/>
    <w:rsid w:val="47355789"/>
    <w:rsid w:val="474F0D24"/>
    <w:rsid w:val="47777BD5"/>
    <w:rsid w:val="47792768"/>
    <w:rsid w:val="47A22C9A"/>
    <w:rsid w:val="47A743E7"/>
    <w:rsid w:val="47AF4D11"/>
    <w:rsid w:val="47C85DD2"/>
    <w:rsid w:val="47D26C51"/>
    <w:rsid w:val="47E50732"/>
    <w:rsid w:val="47F51A06"/>
    <w:rsid w:val="4814687D"/>
    <w:rsid w:val="48204DB6"/>
    <w:rsid w:val="48317C26"/>
    <w:rsid w:val="48885A65"/>
    <w:rsid w:val="48895562"/>
    <w:rsid w:val="48AC793F"/>
    <w:rsid w:val="48F0163B"/>
    <w:rsid w:val="48F93936"/>
    <w:rsid w:val="49150825"/>
    <w:rsid w:val="491D36F3"/>
    <w:rsid w:val="4941360B"/>
    <w:rsid w:val="494D5C22"/>
    <w:rsid w:val="495F1A08"/>
    <w:rsid w:val="495F2766"/>
    <w:rsid w:val="49695393"/>
    <w:rsid w:val="4995194A"/>
    <w:rsid w:val="49AD1EAC"/>
    <w:rsid w:val="49BE18E2"/>
    <w:rsid w:val="49CD5922"/>
    <w:rsid w:val="49D401DD"/>
    <w:rsid w:val="49D54B2A"/>
    <w:rsid w:val="49E12881"/>
    <w:rsid w:val="49F033BE"/>
    <w:rsid w:val="49FD297E"/>
    <w:rsid w:val="4A094853"/>
    <w:rsid w:val="4A406A23"/>
    <w:rsid w:val="4A541B9F"/>
    <w:rsid w:val="4A570A70"/>
    <w:rsid w:val="4A5916D8"/>
    <w:rsid w:val="4A665E6C"/>
    <w:rsid w:val="4A8835F7"/>
    <w:rsid w:val="4AC40AD3"/>
    <w:rsid w:val="4ADC59D2"/>
    <w:rsid w:val="4ADD0C10"/>
    <w:rsid w:val="4AE62D1C"/>
    <w:rsid w:val="4AEA46B4"/>
    <w:rsid w:val="4B2257F9"/>
    <w:rsid w:val="4B306168"/>
    <w:rsid w:val="4B392EB0"/>
    <w:rsid w:val="4B4644FD"/>
    <w:rsid w:val="4B60011B"/>
    <w:rsid w:val="4B6365E1"/>
    <w:rsid w:val="4B7B6C3C"/>
    <w:rsid w:val="4B897627"/>
    <w:rsid w:val="4BB561E0"/>
    <w:rsid w:val="4BB62177"/>
    <w:rsid w:val="4BC82845"/>
    <w:rsid w:val="4BD5286C"/>
    <w:rsid w:val="4BDA60D4"/>
    <w:rsid w:val="4BDE72BE"/>
    <w:rsid w:val="4BEC0B84"/>
    <w:rsid w:val="4BF5522B"/>
    <w:rsid w:val="4C1E0DE9"/>
    <w:rsid w:val="4C2C2DD4"/>
    <w:rsid w:val="4C307A20"/>
    <w:rsid w:val="4C673E0C"/>
    <w:rsid w:val="4C87461B"/>
    <w:rsid w:val="4C925885"/>
    <w:rsid w:val="4CA07342"/>
    <w:rsid w:val="4CA07786"/>
    <w:rsid w:val="4CBB7CB4"/>
    <w:rsid w:val="4CC451D3"/>
    <w:rsid w:val="4CDB65A8"/>
    <w:rsid w:val="4CF66F3E"/>
    <w:rsid w:val="4D0E6F71"/>
    <w:rsid w:val="4D134330"/>
    <w:rsid w:val="4D4128AF"/>
    <w:rsid w:val="4D477799"/>
    <w:rsid w:val="4D6640C3"/>
    <w:rsid w:val="4D6C38A1"/>
    <w:rsid w:val="4D7367E0"/>
    <w:rsid w:val="4DAB7D28"/>
    <w:rsid w:val="4DAC584E"/>
    <w:rsid w:val="4DC16AC2"/>
    <w:rsid w:val="4DC66910"/>
    <w:rsid w:val="4DD14CA2"/>
    <w:rsid w:val="4DEC2C7B"/>
    <w:rsid w:val="4DF86A32"/>
    <w:rsid w:val="4E0137D5"/>
    <w:rsid w:val="4E064EE3"/>
    <w:rsid w:val="4E125FF9"/>
    <w:rsid w:val="4E157A52"/>
    <w:rsid w:val="4E2151AE"/>
    <w:rsid w:val="4E3A2F69"/>
    <w:rsid w:val="4E557B71"/>
    <w:rsid w:val="4E584082"/>
    <w:rsid w:val="4E5E263F"/>
    <w:rsid w:val="4E8D5680"/>
    <w:rsid w:val="4EA32081"/>
    <w:rsid w:val="4EA529C9"/>
    <w:rsid w:val="4EB62E28"/>
    <w:rsid w:val="4ED953C4"/>
    <w:rsid w:val="4EF15C72"/>
    <w:rsid w:val="4F1633A3"/>
    <w:rsid w:val="4F860A4D"/>
    <w:rsid w:val="4F9071D6"/>
    <w:rsid w:val="4F91302A"/>
    <w:rsid w:val="4FA34AB1"/>
    <w:rsid w:val="4FD53CA0"/>
    <w:rsid w:val="4FE85264"/>
    <w:rsid w:val="4FF247C8"/>
    <w:rsid w:val="501208AE"/>
    <w:rsid w:val="503009B9"/>
    <w:rsid w:val="503264DF"/>
    <w:rsid w:val="504D7CBF"/>
    <w:rsid w:val="50743904"/>
    <w:rsid w:val="509E3B74"/>
    <w:rsid w:val="50A81786"/>
    <w:rsid w:val="50B336FD"/>
    <w:rsid w:val="50C3182D"/>
    <w:rsid w:val="50C874A7"/>
    <w:rsid w:val="50CD140C"/>
    <w:rsid w:val="50D2381E"/>
    <w:rsid w:val="50DF4A26"/>
    <w:rsid w:val="50EA500B"/>
    <w:rsid w:val="513149E8"/>
    <w:rsid w:val="514364CA"/>
    <w:rsid w:val="51654692"/>
    <w:rsid w:val="51711289"/>
    <w:rsid w:val="51AE7DE7"/>
    <w:rsid w:val="51B13F8E"/>
    <w:rsid w:val="51C15D6C"/>
    <w:rsid w:val="51C21AE4"/>
    <w:rsid w:val="51C27D36"/>
    <w:rsid w:val="51E232DE"/>
    <w:rsid w:val="521C7314"/>
    <w:rsid w:val="52214D3A"/>
    <w:rsid w:val="5282603C"/>
    <w:rsid w:val="529178B6"/>
    <w:rsid w:val="52992845"/>
    <w:rsid w:val="52A6598C"/>
    <w:rsid w:val="52AF02BB"/>
    <w:rsid w:val="52C06024"/>
    <w:rsid w:val="52CB65D8"/>
    <w:rsid w:val="52E579D6"/>
    <w:rsid w:val="52EA30A1"/>
    <w:rsid w:val="52FB1BFC"/>
    <w:rsid w:val="530F10A1"/>
    <w:rsid w:val="531E682A"/>
    <w:rsid w:val="53346A1D"/>
    <w:rsid w:val="534C7E5C"/>
    <w:rsid w:val="535569D5"/>
    <w:rsid w:val="53632605"/>
    <w:rsid w:val="53784B50"/>
    <w:rsid w:val="537E1A3B"/>
    <w:rsid w:val="537F4BD6"/>
    <w:rsid w:val="538C4158"/>
    <w:rsid w:val="539E4E1F"/>
    <w:rsid w:val="53A42F89"/>
    <w:rsid w:val="53B86CFB"/>
    <w:rsid w:val="53CC09F8"/>
    <w:rsid w:val="53D14261"/>
    <w:rsid w:val="53EB56E7"/>
    <w:rsid w:val="53FB308C"/>
    <w:rsid w:val="542C6B5D"/>
    <w:rsid w:val="543809E0"/>
    <w:rsid w:val="544357CE"/>
    <w:rsid w:val="546450D5"/>
    <w:rsid w:val="54A656ED"/>
    <w:rsid w:val="54AD05CD"/>
    <w:rsid w:val="54BF3116"/>
    <w:rsid w:val="5503731E"/>
    <w:rsid w:val="55043CB4"/>
    <w:rsid w:val="55173924"/>
    <w:rsid w:val="552A4A28"/>
    <w:rsid w:val="55450A62"/>
    <w:rsid w:val="55536ABB"/>
    <w:rsid w:val="55757499"/>
    <w:rsid w:val="55916288"/>
    <w:rsid w:val="55B26E4E"/>
    <w:rsid w:val="55F05831"/>
    <w:rsid w:val="560B24E6"/>
    <w:rsid w:val="56625644"/>
    <w:rsid w:val="567710EF"/>
    <w:rsid w:val="56A52FDD"/>
    <w:rsid w:val="56C74F0A"/>
    <w:rsid w:val="56DE1269"/>
    <w:rsid w:val="56F27586"/>
    <w:rsid w:val="5703357A"/>
    <w:rsid w:val="57236109"/>
    <w:rsid w:val="5724758A"/>
    <w:rsid w:val="57415259"/>
    <w:rsid w:val="574850F4"/>
    <w:rsid w:val="57570A3A"/>
    <w:rsid w:val="575D0955"/>
    <w:rsid w:val="577C0593"/>
    <w:rsid w:val="578D58F6"/>
    <w:rsid w:val="57B22829"/>
    <w:rsid w:val="57E07766"/>
    <w:rsid w:val="57E50A42"/>
    <w:rsid w:val="57EE53E1"/>
    <w:rsid w:val="57FC7D61"/>
    <w:rsid w:val="5804695F"/>
    <w:rsid w:val="580C1D0B"/>
    <w:rsid w:val="581A7F84"/>
    <w:rsid w:val="581F559B"/>
    <w:rsid w:val="58281301"/>
    <w:rsid w:val="586D3C65"/>
    <w:rsid w:val="587873A1"/>
    <w:rsid w:val="58915BF3"/>
    <w:rsid w:val="58A12453"/>
    <w:rsid w:val="58D97E3F"/>
    <w:rsid w:val="58DA7713"/>
    <w:rsid w:val="59162DFA"/>
    <w:rsid w:val="592554B3"/>
    <w:rsid w:val="59406ABC"/>
    <w:rsid w:val="59410D4D"/>
    <w:rsid w:val="594159E5"/>
    <w:rsid w:val="596657C0"/>
    <w:rsid w:val="598B0206"/>
    <w:rsid w:val="598B59E4"/>
    <w:rsid w:val="59DD395F"/>
    <w:rsid w:val="59DE5FD0"/>
    <w:rsid w:val="59E545C2"/>
    <w:rsid w:val="59EA231B"/>
    <w:rsid w:val="5A074538"/>
    <w:rsid w:val="5A5534F6"/>
    <w:rsid w:val="5A5D05FC"/>
    <w:rsid w:val="5A6E2F72"/>
    <w:rsid w:val="5A774F7F"/>
    <w:rsid w:val="5A81253D"/>
    <w:rsid w:val="5A8E4C59"/>
    <w:rsid w:val="5A9A3B8B"/>
    <w:rsid w:val="5AA24261"/>
    <w:rsid w:val="5AE20B01"/>
    <w:rsid w:val="5AEB3E5A"/>
    <w:rsid w:val="5AFF0B3E"/>
    <w:rsid w:val="5B070568"/>
    <w:rsid w:val="5B1C4013"/>
    <w:rsid w:val="5B21787C"/>
    <w:rsid w:val="5B2E787C"/>
    <w:rsid w:val="5B493260"/>
    <w:rsid w:val="5B5E287E"/>
    <w:rsid w:val="5B720124"/>
    <w:rsid w:val="5B7C2D04"/>
    <w:rsid w:val="5B8717B1"/>
    <w:rsid w:val="5BDE751B"/>
    <w:rsid w:val="5BF64EAC"/>
    <w:rsid w:val="5C0A0310"/>
    <w:rsid w:val="5C20586B"/>
    <w:rsid w:val="5C2C5DBF"/>
    <w:rsid w:val="5C445977"/>
    <w:rsid w:val="5C451348"/>
    <w:rsid w:val="5C6C4B26"/>
    <w:rsid w:val="5C7414C4"/>
    <w:rsid w:val="5C8207EE"/>
    <w:rsid w:val="5C877BB2"/>
    <w:rsid w:val="5CC6692D"/>
    <w:rsid w:val="5CE03C43"/>
    <w:rsid w:val="5CF25312"/>
    <w:rsid w:val="5D21292A"/>
    <w:rsid w:val="5D2673CB"/>
    <w:rsid w:val="5D2C594E"/>
    <w:rsid w:val="5D6972B8"/>
    <w:rsid w:val="5D777C27"/>
    <w:rsid w:val="5D891708"/>
    <w:rsid w:val="5D93012F"/>
    <w:rsid w:val="5D9D1CA7"/>
    <w:rsid w:val="5DA54794"/>
    <w:rsid w:val="5DAD641C"/>
    <w:rsid w:val="5DCA244C"/>
    <w:rsid w:val="5DCD7847"/>
    <w:rsid w:val="5E075B91"/>
    <w:rsid w:val="5E4F5AEE"/>
    <w:rsid w:val="5E5277AF"/>
    <w:rsid w:val="5E6755B0"/>
    <w:rsid w:val="5E680EFC"/>
    <w:rsid w:val="5EA52572"/>
    <w:rsid w:val="5EA677F9"/>
    <w:rsid w:val="5EA92116"/>
    <w:rsid w:val="5EB66937"/>
    <w:rsid w:val="5EC52817"/>
    <w:rsid w:val="5ED115B9"/>
    <w:rsid w:val="5EDD6179"/>
    <w:rsid w:val="5EDD66E7"/>
    <w:rsid w:val="5EE430CC"/>
    <w:rsid w:val="5EE850F0"/>
    <w:rsid w:val="5EF534F9"/>
    <w:rsid w:val="5EF578F2"/>
    <w:rsid w:val="5EF820AA"/>
    <w:rsid w:val="5F092B01"/>
    <w:rsid w:val="5F3A14D5"/>
    <w:rsid w:val="5F546472"/>
    <w:rsid w:val="5F656BBE"/>
    <w:rsid w:val="5F677827"/>
    <w:rsid w:val="5F7C7776"/>
    <w:rsid w:val="5F906D7E"/>
    <w:rsid w:val="5FA12D39"/>
    <w:rsid w:val="5FBB125B"/>
    <w:rsid w:val="5FD72E38"/>
    <w:rsid w:val="5FD95DA1"/>
    <w:rsid w:val="5FED2422"/>
    <w:rsid w:val="5FFC6B75"/>
    <w:rsid w:val="60031BE7"/>
    <w:rsid w:val="60045234"/>
    <w:rsid w:val="60222736"/>
    <w:rsid w:val="60294927"/>
    <w:rsid w:val="602F47E9"/>
    <w:rsid w:val="604638E0"/>
    <w:rsid w:val="606216CD"/>
    <w:rsid w:val="60787F3E"/>
    <w:rsid w:val="60820DBC"/>
    <w:rsid w:val="60D63B14"/>
    <w:rsid w:val="60E95943"/>
    <w:rsid w:val="61161505"/>
    <w:rsid w:val="611A7247"/>
    <w:rsid w:val="613309F1"/>
    <w:rsid w:val="617145D3"/>
    <w:rsid w:val="617C69ED"/>
    <w:rsid w:val="61810F2C"/>
    <w:rsid w:val="618870FE"/>
    <w:rsid w:val="61A27C8A"/>
    <w:rsid w:val="61B054B5"/>
    <w:rsid w:val="61C653AD"/>
    <w:rsid w:val="61C803E6"/>
    <w:rsid w:val="621E0449"/>
    <w:rsid w:val="623E6F65"/>
    <w:rsid w:val="624125B1"/>
    <w:rsid w:val="625247BE"/>
    <w:rsid w:val="62586279"/>
    <w:rsid w:val="62810D49"/>
    <w:rsid w:val="629D0C5C"/>
    <w:rsid w:val="629E5C56"/>
    <w:rsid w:val="62EA2C49"/>
    <w:rsid w:val="631C06B9"/>
    <w:rsid w:val="63202E95"/>
    <w:rsid w:val="633839B4"/>
    <w:rsid w:val="63443DB1"/>
    <w:rsid w:val="634560D1"/>
    <w:rsid w:val="63534C92"/>
    <w:rsid w:val="635527B8"/>
    <w:rsid w:val="637D721E"/>
    <w:rsid w:val="638C5AAE"/>
    <w:rsid w:val="638E4F4A"/>
    <w:rsid w:val="639A1ED2"/>
    <w:rsid w:val="639A641D"/>
    <w:rsid w:val="63B35731"/>
    <w:rsid w:val="63B35E5D"/>
    <w:rsid w:val="63C2729B"/>
    <w:rsid w:val="63DE5BF9"/>
    <w:rsid w:val="63E42AF9"/>
    <w:rsid w:val="63EB6C79"/>
    <w:rsid w:val="63FD075A"/>
    <w:rsid w:val="640E3F2B"/>
    <w:rsid w:val="64142280"/>
    <w:rsid w:val="64297A6B"/>
    <w:rsid w:val="644545DB"/>
    <w:rsid w:val="646A016A"/>
    <w:rsid w:val="64722EF6"/>
    <w:rsid w:val="648570CD"/>
    <w:rsid w:val="64A949BD"/>
    <w:rsid w:val="64B05549"/>
    <w:rsid w:val="64B452BD"/>
    <w:rsid w:val="64F66895"/>
    <w:rsid w:val="65383E7E"/>
    <w:rsid w:val="654E7094"/>
    <w:rsid w:val="656B0071"/>
    <w:rsid w:val="657809E0"/>
    <w:rsid w:val="65942063"/>
    <w:rsid w:val="65A01E7E"/>
    <w:rsid w:val="65B46CF1"/>
    <w:rsid w:val="65C150BA"/>
    <w:rsid w:val="65E86B2F"/>
    <w:rsid w:val="660364FC"/>
    <w:rsid w:val="662E109F"/>
    <w:rsid w:val="663303A7"/>
    <w:rsid w:val="663E17EB"/>
    <w:rsid w:val="6671268C"/>
    <w:rsid w:val="667747F4"/>
    <w:rsid w:val="66903B07"/>
    <w:rsid w:val="66C832A1"/>
    <w:rsid w:val="66F145A6"/>
    <w:rsid w:val="672C3830"/>
    <w:rsid w:val="675039C2"/>
    <w:rsid w:val="67513297"/>
    <w:rsid w:val="67656D42"/>
    <w:rsid w:val="676B2E8A"/>
    <w:rsid w:val="67731515"/>
    <w:rsid w:val="677A14FB"/>
    <w:rsid w:val="67851192"/>
    <w:rsid w:val="678F1183"/>
    <w:rsid w:val="678F602D"/>
    <w:rsid w:val="67A05FCC"/>
    <w:rsid w:val="67FF2CF3"/>
    <w:rsid w:val="68023DFC"/>
    <w:rsid w:val="68060525"/>
    <w:rsid w:val="681168E3"/>
    <w:rsid w:val="68127701"/>
    <w:rsid w:val="68235BBE"/>
    <w:rsid w:val="685A261F"/>
    <w:rsid w:val="689667D7"/>
    <w:rsid w:val="689B6B29"/>
    <w:rsid w:val="68A00C23"/>
    <w:rsid w:val="68AD09A1"/>
    <w:rsid w:val="68F82D01"/>
    <w:rsid w:val="69222494"/>
    <w:rsid w:val="692276AB"/>
    <w:rsid w:val="6923233A"/>
    <w:rsid w:val="69390A4C"/>
    <w:rsid w:val="69450BD9"/>
    <w:rsid w:val="69A04061"/>
    <w:rsid w:val="69A274CE"/>
    <w:rsid w:val="69A43215"/>
    <w:rsid w:val="69D01A3D"/>
    <w:rsid w:val="6A164324"/>
    <w:rsid w:val="6A1E675A"/>
    <w:rsid w:val="6A244AE5"/>
    <w:rsid w:val="6A2E2B9F"/>
    <w:rsid w:val="6A305403"/>
    <w:rsid w:val="6A4F1B80"/>
    <w:rsid w:val="6A6532F0"/>
    <w:rsid w:val="6A944210"/>
    <w:rsid w:val="6AB06526"/>
    <w:rsid w:val="6AB4744C"/>
    <w:rsid w:val="6ADB7A47"/>
    <w:rsid w:val="6B1C2E4C"/>
    <w:rsid w:val="6BA261A0"/>
    <w:rsid w:val="6BBB1626"/>
    <w:rsid w:val="6BCB012A"/>
    <w:rsid w:val="6C015C32"/>
    <w:rsid w:val="6C105AE1"/>
    <w:rsid w:val="6C1455FD"/>
    <w:rsid w:val="6C191ABB"/>
    <w:rsid w:val="6C1944ED"/>
    <w:rsid w:val="6C240036"/>
    <w:rsid w:val="6C2667F6"/>
    <w:rsid w:val="6C2E004A"/>
    <w:rsid w:val="6C4909E0"/>
    <w:rsid w:val="6C553829"/>
    <w:rsid w:val="6C597BEC"/>
    <w:rsid w:val="6C6121CE"/>
    <w:rsid w:val="6C8A2F8F"/>
    <w:rsid w:val="6C944351"/>
    <w:rsid w:val="6CAF32C0"/>
    <w:rsid w:val="6CD405E7"/>
    <w:rsid w:val="6CED1CB3"/>
    <w:rsid w:val="6D032087"/>
    <w:rsid w:val="6D0C3F95"/>
    <w:rsid w:val="6D170ADE"/>
    <w:rsid w:val="6D215816"/>
    <w:rsid w:val="6D2D3E5E"/>
    <w:rsid w:val="6D385908"/>
    <w:rsid w:val="6D58333F"/>
    <w:rsid w:val="6D6D737F"/>
    <w:rsid w:val="6D885538"/>
    <w:rsid w:val="6D997745"/>
    <w:rsid w:val="6DA95B53"/>
    <w:rsid w:val="6DE9247B"/>
    <w:rsid w:val="6DEE6DEC"/>
    <w:rsid w:val="6E080427"/>
    <w:rsid w:val="6E315BD0"/>
    <w:rsid w:val="6E3B48CE"/>
    <w:rsid w:val="6E604387"/>
    <w:rsid w:val="6E6C560D"/>
    <w:rsid w:val="6E7F06E9"/>
    <w:rsid w:val="6E817E92"/>
    <w:rsid w:val="6E8466ED"/>
    <w:rsid w:val="6E9F6FDD"/>
    <w:rsid w:val="6EA14B04"/>
    <w:rsid w:val="6EC97F2D"/>
    <w:rsid w:val="6ECC6294"/>
    <w:rsid w:val="6ECE1671"/>
    <w:rsid w:val="6EE13152"/>
    <w:rsid w:val="6EF570F8"/>
    <w:rsid w:val="6F2C2DFA"/>
    <w:rsid w:val="6F2C5636"/>
    <w:rsid w:val="6F3B6336"/>
    <w:rsid w:val="6F4F062B"/>
    <w:rsid w:val="6F5E21BF"/>
    <w:rsid w:val="6F661CE6"/>
    <w:rsid w:val="6F6F4D46"/>
    <w:rsid w:val="6F80296B"/>
    <w:rsid w:val="6F802D90"/>
    <w:rsid w:val="6F891B0C"/>
    <w:rsid w:val="6F9D176F"/>
    <w:rsid w:val="6FAC7C04"/>
    <w:rsid w:val="6FEF3410"/>
    <w:rsid w:val="6FFD2329"/>
    <w:rsid w:val="70001E2F"/>
    <w:rsid w:val="7004359C"/>
    <w:rsid w:val="70090BB2"/>
    <w:rsid w:val="70132D8F"/>
    <w:rsid w:val="70540F89"/>
    <w:rsid w:val="705B0CE2"/>
    <w:rsid w:val="707F70C6"/>
    <w:rsid w:val="709C07EF"/>
    <w:rsid w:val="70DC6F1C"/>
    <w:rsid w:val="70FE1BF6"/>
    <w:rsid w:val="711710AD"/>
    <w:rsid w:val="7142100D"/>
    <w:rsid w:val="718F158B"/>
    <w:rsid w:val="71995F66"/>
    <w:rsid w:val="71A5490B"/>
    <w:rsid w:val="71A90275"/>
    <w:rsid w:val="71AD7FA0"/>
    <w:rsid w:val="71BC1C54"/>
    <w:rsid w:val="71BC7EA6"/>
    <w:rsid w:val="71F36811"/>
    <w:rsid w:val="71F750A5"/>
    <w:rsid w:val="72077373"/>
    <w:rsid w:val="721455EC"/>
    <w:rsid w:val="723366C9"/>
    <w:rsid w:val="72A32C3B"/>
    <w:rsid w:val="72AB3ADC"/>
    <w:rsid w:val="72B02468"/>
    <w:rsid w:val="72B648F6"/>
    <w:rsid w:val="72D52EF9"/>
    <w:rsid w:val="72D52FCE"/>
    <w:rsid w:val="72D80D10"/>
    <w:rsid w:val="72DA6836"/>
    <w:rsid w:val="73073C68"/>
    <w:rsid w:val="73182AB2"/>
    <w:rsid w:val="733777E5"/>
    <w:rsid w:val="735C4486"/>
    <w:rsid w:val="735C5779"/>
    <w:rsid w:val="73724CC1"/>
    <w:rsid w:val="739B6B24"/>
    <w:rsid w:val="7419513C"/>
    <w:rsid w:val="746B3297"/>
    <w:rsid w:val="74BA5640"/>
    <w:rsid w:val="74D01104"/>
    <w:rsid w:val="74D05052"/>
    <w:rsid w:val="74DF1EE2"/>
    <w:rsid w:val="74DF2711"/>
    <w:rsid w:val="74E76663"/>
    <w:rsid w:val="75190308"/>
    <w:rsid w:val="752C0E9F"/>
    <w:rsid w:val="755E374E"/>
    <w:rsid w:val="757A5018"/>
    <w:rsid w:val="759231E0"/>
    <w:rsid w:val="759733F8"/>
    <w:rsid w:val="75B415C0"/>
    <w:rsid w:val="75CB06B8"/>
    <w:rsid w:val="76216673"/>
    <w:rsid w:val="763077AC"/>
    <w:rsid w:val="764B5DAD"/>
    <w:rsid w:val="765E152C"/>
    <w:rsid w:val="76724FD8"/>
    <w:rsid w:val="767D5C49"/>
    <w:rsid w:val="76902210"/>
    <w:rsid w:val="76A77D79"/>
    <w:rsid w:val="76D92996"/>
    <w:rsid w:val="76DB76F8"/>
    <w:rsid w:val="76DC68CC"/>
    <w:rsid w:val="76F1414E"/>
    <w:rsid w:val="770A0286"/>
    <w:rsid w:val="770E4D00"/>
    <w:rsid w:val="77133466"/>
    <w:rsid w:val="772B3B04"/>
    <w:rsid w:val="772F73B8"/>
    <w:rsid w:val="77476115"/>
    <w:rsid w:val="775E5C88"/>
    <w:rsid w:val="777F13EE"/>
    <w:rsid w:val="77805116"/>
    <w:rsid w:val="77AA096E"/>
    <w:rsid w:val="77B533CE"/>
    <w:rsid w:val="77E551F3"/>
    <w:rsid w:val="77E872FF"/>
    <w:rsid w:val="77F12C75"/>
    <w:rsid w:val="780C437B"/>
    <w:rsid w:val="781400F4"/>
    <w:rsid w:val="78281DF2"/>
    <w:rsid w:val="782F3180"/>
    <w:rsid w:val="78325054"/>
    <w:rsid w:val="78396600"/>
    <w:rsid w:val="785122B4"/>
    <w:rsid w:val="78865DD8"/>
    <w:rsid w:val="788835EF"/>
    <w:rsid w:val="78A23952"/>
    <w:rsid w:val="78AA6CAB"/>
    <w:rsid w:val="78D37FAF"/>
    <w:rsid w:val="78E16601"/>
    <w:rsid w:val="78E33F6B"/>
    <w:rsid w:val="78F91413"/>
    <w:rsid w:val="790A4ECE"/>
    <w:rsid w:val="790D2124"/>
    <w:rsid w:val="79116D2A"/>
    <w:rsid w:val="791B566B"/>
    <w:rsid w:val="792702FB"/>
    <w:rsid w:val="792E7BAD"/>
    <w:rsid w:val="795C0539"/>
    <w:rsid w:val="796763D4"/>
    <w:rsid w:val="79982742"/>
    <w:rsid w:val="79B53B59"/>
    <w:rsid w:val="79B947FE"/>
    <w:rsid w:val="79E80DBF"/>
    <w:rsid w:val="79F75F20"/>
    <w:rsid w:val="79FC1788"/>
    <w:rsid w:val="7A0006C8"/>
    <w:rsid w:val="7A081EDB"/>
    <w:rsid w:val="7A1545F8"/>
    <w:rsid w:val="7A1A1C0E"/>
    <w:rsid w:val="7A1D5FA5"/>
    <w:rsid w:val="7A1E34AC"/>
    <w:rsid w:val="7A1F0FD2"/>
    <w:rsid w:val="7A1F3B60"/>
    <w:rsid w:val="7A521A99"/>
    <w:rsid w:val="7A5B6BB6"/>
    <w:rsid w:val="7A6F4234"/>
    <w:rsid w:val="7A964F67"/>
    <w:rsid w:val="7AC044E4"/>
    <w:rsid w:val="7AD10686"/>
    <w:rsid w:val="7B046BAE"/>
    <w:rsid w:val="7B153402"/>
    <w:rsid w:val="7B1623D5"/>
    <w:rsid w:val="7B162787"/>
    <w:rsid w:val="7B1B3E90"/>
    <w:rsid w:val="7B26798A"/>
    <w:rsid w:val="7B2D27FD"/>
    <w:rsid w:val="7B30793B"/>
    <w:rsid w:val="7B315461"/>
    <w:rsid w:val="7B4A1074"/>
    <w:rsid w:val="7B4C5DF7"/>
    <w:rsid w:val="7B561A9C"/>
    <w:rsid w:val="7B6602CE"/>
    <w:rsid w:val="7B76397D"/>
    <w:rsid w:val="7B8F2F81"/>
    <w:rsid w:val="7B950CB0"/>
    <w:rsid w:val="7BA7426D"/>
    <w:rsid w:val="7BCD1ED8"/>
    <w:rsid w:val="7BEE5100"/>
    <w:rsid w:val="7C067F4F"/>
    <w:rsid w:val="7C073103"/>
    <w:rsid w:val="7C0E5E5D"/>
    <w:rsid w:val="7C184FB7"/>
    <w:rsid w:val="7C245DD3"/>
    <w:rsid w:val="7C5F1B5A"/>
    <w:rsid w:val="7C67427B"/>
    <w:rsid w:val="7C6A12FC"/>
    <w:rsid w:val="7C7C095E"/>
    <w:rsid w:val="7C9A1883"/>
    <w:rsid w:val="7CBB76D8"/>
    <w:rsid w:val="7CC23EA4"/>
    <w:rsid w:val="7CD527ED"/>
    <w:rsid w:val="7CE22EBE"/>
    <w:rsid w:val="7CE45EC7"/>
    <w:rsid w:val="7CFA01B9"/>
    <w:rsid w:val="7D197F5B"/>
    <w:rsid w:val="7D284642"/>
    <w:rsid w:val="7D692C90"/>
    <w:rsid w:val="7D7635FF"/>
    <w:rsid w:val="7DAE0FEB"/>
    <w:rsid w:val="7DB61C4E"/>
    <w:rsid w:val="7DC1133C"/>
    <w:rsid w:val="7DD33E8C"/>
    <w:rsid w:val="7DFB3242"/>
    <w:rsid w:val="7E1C41A7"/>
    <w:rsid w:val="7E1D20AD"/>
    <w:rsid w:val="7E244E09"/>
    <w:rsid w:val="7E300E4A"/>
    <w:rsid w:val="7E462FD2"/>
    <w:rsid w:val="7E4B28EC"/>
    <w:rsid w:val="7E601FA1"/>
    <w:rsid w:val="7E8104AE"/>
    <w:rsid w:val="7E8B10CD"/>
    <w:rsid w:val="7E9F26E2"/>
    <w:rsid w:val="7EAA257F"/>
    <w:rsid w:val="7EC61B25"/>
    <w:rsid w:val="7ECF6E06"/>
    <w:rsid w:val="7ECF746B"/>
    <w:rsid w:val="7ED97CED"/>
    <w:rsid w:val="7EF1512E"/>
    <w:rsid w:val="7EF94DF6"/>
    <w:rsid w:val="7F1B3DDE"/>
    <w:rsid w:val="7F3711C5"/>
    <w:rsid w:val="7F37496C"/>
    <w:rsid w:val="7F4C19AD"/>
    <w:rsid w:val="7F665867"/>
    <w:rsid w:val="7F963AE5"/>
    <w:rsid w:val="7F9D30C5"/>
    <w:rsid w:val="7FB97804"/>
    <w:rsid w:val="7FD02861"/>
    <w:rsid w:val="7FD30895"/>
    <w:rsid w:val="7FD73A67"/>
    <w:rsid w:val="7FDB5DDD"/>
    <w:rsid w:val="7FE8714E"/>
    <w:rsid w:val="7FFA0518"/>
    <w:rsid w:val="E7FFF11A"/>
    <w:rsid w:val="F75EBB7F"/>
    <w:rsid w:val="FF7FD64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nhideWhenUsed="0" w:uiPriority="0" w:semiHidden="0" w:name="table of figures"/>
    <w:lsdException w:uiPriority="99" w:name="envelope address"/>
    <w:lsdException w:uiPriority="99" w:name="envelope return"/>
    <w:lsdException w:uiPriority="99" w:name="footnote reference"/>
    <w:lsdException w:unhideWhenUsed="0" w:uiPriority="0"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nhideWhenUsed="0" w:uiPriority="0" w:semiHidden="0" w:name="toa heading"/>
    <w:lsdException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nhideWhenUsed="0" w:uiPriority="0" w:semiHidden="0" w:name="Date"/>
    <w:lsdException w:unhideWhenUsed="0" w:uiPriority="0" w:semiHidden="0" w:name="Body Text First Indent"/>
    <w:lsdException w:unhideWhenUsed="0" w:uiPriority="0" w:semiHidden="0" w:name="Body Text First Indent 2"/>
    <w:lsdException w:uiPriority="99" w:name="Note Heading"/>
    <w:lsdException w:unhideWhenUsed="0" w:uiPriority="0" w:semiHidden="0" w:name="Body Text 2"/>
    <w:lsdException w:uiPriority="99"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40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26"/>
    <w:autoRedefine/>
    <w:qFormat/>
    <w:uiPriority w:val="9"/>
    <w:pPr>
      <w:keepNext/>
      <w:overflowPunct w:val="0"/>
      <w:snapToGrid w:val="0"/>
      <w:spacing w:line="260" w:lineRule="auto"/>
      <w:ind w:left="431" w:firstLine="0" w:firstLineChars="0"/>
      <w:jc w:val="center"/>
      <w:outlineLvl w:val="0"/>
    </w:pPr>
    <w:rPr>
      <w:rFonts w:eastAsia="黑体"/>
      <w:b/>
      <w:bCs/>
      <w:color w:val="000000"/>
      <w:kern w:val="44"/>
      <w:sz w:val="28"/>
      <w:szCs w:val="30"/>
    </w:rPr>
  </w:style>
  <w:style w:type="paragraph" w:styleId="3">
    <w:name w:val="heading 2"/>
    <w:basedOn w:val="1"/>
    <w:next w:val="1"/>
    <w:link w:val="27"/>
    <w:autoRedefine/>
    <w:qFormat/>
    <w:uiPriority w:val="0"/>
    <w:pPr>
      <w:keepNext/>
      <w:keepLines/>
      <w:widowControl/>
      <w:spacing w:before="260" w:after="260" w:line="416" w:lineRule="auto"/>
      <w:jc w:val="left"/>
      <w:outlineLvl w:val="1"/>
    </w:pPr>
    <w:rPr>
      <w:rFonts w:ascii="Arial" w:hAnsi="Arial" w:eastAsia="黑体"/>
      <w:b/>
      <w:bCs/>
      <w:kern w:val="0"/>
      <w:sz w:val="32"/>
      <w:szCs w:val="32"/>
    </w:rPr>
  </w:style>
  <w:style w:type="paragraph" w:styleId="4">
    <w:name w:val="heading 3"/>
    <w:basedOn w:val="1"/>
    <w:next w:val="1"/>
    <w:link w:val="29"/>
    <w:autoRedefine/>
    <w:qFormat/>
    <w:uiPriority w:val="0"/>
    <w:pPr>
      <w:keepNext/>
      <w:keepLines/>
      <w:spacing w:before="260" w:after="260" w:line="416" w:lineRule="auto"/>
      <w:outlineLvl w:val="2"/>
    </w:pPr>
    <w:rPr>
      <w:rFonts w:ascii="Calibri" w:hAnsi="Calibri"/>
      <w:b/>
      <w:bCs/>
      <w:color w:val="333333"/>
      <w:sz w:val="32"/>
      <w:szCs w:val="32"/>
    </w:rPr>
  </w:style>
  <w:style w:type="paragraph" w:styleId="5">
    <w:name w:val="heading 4"/>
    <w:basedOn w:val="1"/>
    <w:next w:val="1"/>
    <w:link w:val="30"/>
    <w:autoRedefine/>
    <w:qFormat/>
    <w:uiPriority w:val="0"/>
    <w:pPr>
      <w:keepNext/>
      <w:keepLines/>
      <w:tabs>
        <w:tab w:val="left" w:pos="900"/>
        <w:tab w:val="left" w:pos="1080"/>
      </w:tabs>
      <w:spacing w:line="360" w:lineRule="auto"/>
      <w:outlineLvl w:val="3"/>
    </w:pPr>
    <w:rPr>
      <w:b/>
      <w:sz w:val="24"/>
    </w:rPr>
  </w:style>
  <w:style w:type="paragraph" w:styleId="6">
    <w:name w:val="heading 5"/>
    <w:basedOn w:val="1"/>
    <w:next w:val="1"/>
    <w:link w:val="31"/>
    <w:autoRedefine/>
    <w:qFormat/>
    <w:uiPriority w:val="0"/>
    <w:pPr>
      <w:keepNext/>
      <w:keepLines/>
      <w:tabs>
        <w:tab w:val="left" w:pos="1008"/>
      </w:tabs>
      <w:spacing w:before="280" w:after="290" w:line="376" w:lineRule="auto"/>
      <w:ind w:firstLine="200" w:firstLineChars="200"/>
      <w:outlineLvl w:val="4"/>
    </w:pPr>
    <w:rPr>
      <w:rFonts w:ascii="宋体" w:hAnsi="宋体"/>
      <w:b/>
      <w:sz w:val="28"/>
      <w:szCs w:val="21"/>
    </w:rPr>
  </w:style>
  <w:style w:type="paragraph" w:styleId="7">
    <w:name w:val="heading 6"/>
    <w:basedOn w:val="1"/>
    <w:next w:val="1"/>
    <w:link w:val="32"/>
    <w:autoRedefine/>
    <w:qFormat/>
    <w:uiPriority w:val="0"/>
    <w:pPr>
      <w:keepNext/>
      <w:keepLines/>
      <w:tabs>
        <w:tab w:val="left" w:pos="1152"/>
      </w:tabs>
      <w:spacing w:before="240" w:after="64" w:line="320" w:lineRule="auto"/>
      <w:ind w:firstLine="200" w:firstLineChars="200"/>
      <w:outlineLvl w:val="5"/>
    </w:pPr>
    <w:rPr>
      <w:rFonts w:ascii="Arial" w:hAnsi="Arial" w:eastAsia="黑体"/>
      <w:b/>
      <w:sz w:val="24"/>
      <w:szCs w:val="21"/>
    </w:rPr>
  </w:style>
  <w:style w:type="paragraph" w:styleId="8">
    <w:name w:val="heading 7"/>
    <w:basedOn w:val="1"/>
    <w:next w:val="1"/>
    <w:link w:val="33"/>
    <w:autoRedefine/>
    <w:qFormat/>
    <w:uiPriority w:val="0"/>
    <w:pPr>
      <w:keepNext/>
      <w:keepLines/>
      <w:tabs>
        <w:tab w:val="left" w:pos="1296"/>
      </w:tabs>
      <w:spacing w:before="240" w:after="64" w:line="320" w:lineRule="auto"/>
      <w:ind w:firstLine="200" w:firstLineChars="200"/>
      <w:outlineLvl w:val="6"/>
    </w:pPr>
    <w:rPr>
      <w:rFonts w:ascii="宋体" w:hAnsi="宋体"/>
      <w:b/>
      <w:sz w:val="24"/>
      <w:szCs w:val="21"/>
    </w:rPr>
  </w:style>
  <w:style w:type="paragraph" w:styleId="9">
    <w:name w:val="heading 8"/>
    <w:basedOn w:val="1"/>
    <w:next w:val="1"/>
    <w:link w:val="34"/>
    <w:autoRedefine/>
    <w:qFormat/>
    <w:uiPriority w:val="0"/>
    <w:pPr>
      <w:keepNext/>
      <w:keepLines/>
      <w:tabs>
        <w:tab w:val="left" w:pos="1440"/>
      </w:tabs>
      <w:spacing w:before="240" w:after="64" w:line="320" w:lineRule="auto"/>
      <w:ind w:firstLine="200" w:firstLineChars="200"/>
      <w:outlineLvl w:val="7"/>
    </w:pPr>
    <w:rPr>
      <w:rFonts w:ascii="Arial" w:hAnsi="Arial" w:eastAsia="黑体"/>
      <w:sz w:val="24"/>
      <w:szCs w:val="21"/>
    </w:rPr>
  </w:style>
  <w:style w:type="paragraph" w:styleId="10">
    <w:name w:val="heading 9"/>
    <w:basedOn w:val="1"/>
    <w:next w:val="1"/>
    <w:link w:val="35"/>
    <w:autoRedefine/>
    <w:qFormat/>
    <w:uiPriority w:val="0"/>
    <w:pPr>
      <w:keepNext/>
      <w:keepLines/>
      <w:tabs>
        <w:tab w:val="left" w:pos="1584"/>
      </w:tabs>
      <w:spacing w:before="240" w:after="64" w:line="320" w:lineRule="auto"/>
      <w:ind w:firstLine="200" w:firstLineChars="200"/>
      <w:outlineLvl w:val="8"/>
    </w:pPr>
    <w:rPr>
      <w:rFonts w:ascii="Arial" w:hAnsi="Arial" w:eastAsia="黑体"/>
      <w:szCs w:val="21"/>
    </w:rPr>
  </w:style>
  <w:style w:type="character" w:default="1" w:styleId="24">
    <w:name w:val="Default Paragraph Font"/>
    <w:autoRedefine/>
    <w:unhideWhenUsed/>
    <w:qFormat/>
    <w:uiPriority w:val="1"/>
  </w:style>
  <w:style w:type="table" w:default="1" w:styleId="22">
    <w:name w:val="Normal Table"/>
    <w:autoRedefine/>
    <w:semiHidden/>
    <w:unhideWhenUsed/>
    <w:qFormat/>
    <w:uiPriority w:val="99"/>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11">
    <w:name w:val="Normal Indent"/>
    <w:basedOn w:val="1"/>
    <w:next w:val="1"/>
    <w:autoRedefine/>
    <w:qFormat/>
    <w:uiPriority w:val="0"/>
    <w:pPr>
      <w:ind w:firstLine="420" w:firstLineChars="200"/>
    </w:pPr>
  </w:style>
  <w:style w:type="paragraph" w:styleId="12">
    <w:name w:val="caption"/>
    <w:basedOn w:val="1"/>
    <w:next w:val="1"/>
    <w:link w:val="36"/>
    <w:autoRedefine/>
    <w:qFormat/>
    <w:uiPriority w:val="0"/>
    <w:pPr>
      <w:spacing w:line="520" w:lineRule="exact"/>
      <w:ind w:firstLine="0" w:firstLineChars="0"/>
      <w:jc w:val="center"/>
    </w:pPr>
    <w:rPr>
      <w:rFonts w:ascii="Times New Roman" w:hAnsi="Times New Roman" w:eastAsia="宋体"/>
      <w:b/>
      <w:bCs/>
    </w:rPr>
  </w:style>
  <w:style w:type="paragraph" w:styleId="13">
    <w:name w:val="annotation text"/>
    <w:basedOn w:val="1"/>
    <w:autoRedefine/>
    <w:qFormat/>
    <w:uiPriority w:val="0"/>
    <w:pPr>
      <w:widowControl/>
      <w:jc w:val="left"/>
    </w:pPr>
    <w:rPr>
      <w:rFonts w:ascii="宋体" w:hAnsi="宋体" w:cs="宋体"/>
      <w:kern w:val="0"/>
      <w:sz w:val="24"/>
      <w:szCs w:val="24"/>
    </w:rPr>
  </w:style>
  <w:style w:type="paragraph" w:styleId="14">
    <w:name w:val="Body Text"/>
    <w:basedOn w:val="1"/>
    <w:next w:val="1"/>
    <w:autoRedefine/>
    <w:qFormat/>
    <w:uiPriority w:val="0"/>
    <w:pPr>
      <w:widowControl/>
      <w:snapToGrid w:val="0"/>
      <w:spacing w:before="60" w:after="160" w:line="259" w:lineRule="auto"/>
      <w:ind w:right="113"/>
    </w:pPr>
    <w:rPr>
      <w:kern w:val="0"/>
      <w:sz w:val="18"/>
      <w:szCs w:val="20"/>
    </w:rPr>
  </w:style>
  <w:style w:type="paragraph" w:styleId="15">
    <w:name w:val="Body Text Indent"/>
    <w:basedOn w:val="1"/>
    <w:autoRedefine/>
    <w:qFormat/>
    <w:uiPriority w:val="0"/>
    <w:pPr>
      <w:spacing w:after="120"/>
      <w:ind w:left="420" w:leftChars="200"/>
    </w:pPr>
    <w:rPr>
      <w:kern w:val="0"/>
      <w:sz w:val="24"/>
      <w:szCs w:val="20"/>
    </w:rPr>
  </w:style>
  <w:style w:type="paragraph" w:styleId="16">
    <w:name w:val="Plain Text"/>
    <w:basedOn w:val="1"/>
    <w:autoRedefine/>
    <w:qFormat/>
    <w:uiPriority w:val="0"/>
    <w:rPr>
      <w:rFonts w:ascii="宋体" w:hAnsi="Courier New"/>
      <w:color w:val="333333"/>
      <w:szCs w:val="21"/>
    </w:rPr>
  </w:style>
  <w:style w:type="paragraph" w:styleId="17">
    <w:name w:val="footer"/>
    <w:basedOn w:val="1"/>
    <w:autoRedefine/>
    <w:qFormat/>
    <w:uiPriority w:val="0"/>
    <w:pPr>
      <w:tabs>
        <w:tab w:val="center" w:pos="4153"/>
        <w:tab w:val="right" w:pos="8306"/>
      </w:tabs>
      <w:snapToGrid w:val="0"/>
      <w:jc w:val="left"/>
    </w:pPr>
    <w:rPr>
      <w:sz w:val="18"/>
    </w:rPr>
  </w:style>
  <w:style w:type="paragraph" w:styleId="1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9">
    <w:name w:val="Subtitle"/>
    <w:basedOn w:val="1"/>
    <w:next w:val="1"/>
    <w:link w:val="37"/>
    <w:autoRedefine/>
    <w:qFormat/>
    <w:uiPriority w:val="0"/>
    <w:pPr>
      <w:adjustRightInd w:val="0"/>
      <w:snapToGrid w:val="0"/>
      <w:spacing w:before="240" w:after="480"/>
      <w:jc w:val="center"/>
      <w:textAlignment w:val="baseline"/>
    </w:pPr>
    <w:rPr>
      <w:rFonts w:ascii="Cambria" w:hAnsi="Cambria"/>
      <w:b/>
      <w:bCs/>
      <w:kern w:val="28"/>
      <w:sz w:val="48"/>
      <w:szCs w:val="32"/>
    </w:rPr>
  </w:style>
  <w:style w:type="paragraph" w:styleId="20">
    <w:name w:val="Normal (Web)"/>
    <w:basedOn w:val="1"/>
    <w:autoRedefine/>
    <w:qFormat/>
    <w:uiPriority w:val="0"/>
    <w:rPr>
      <w:sz w:val="24"/>
    </w:rPr>
  </w:style>
  <w:style w:type="paragraph" w:styleId="21">
    <w:name w:val="Title"/>
    <w:basedOn w:val="1"/>
    <w:next w:val="1"/>
    <w:link w:val="38"/>
    <w:autoRedefine/>
    <w:qFormat/>
    <w:uiPriority w:val="0"/>
    <w:pPr>
      <w:adjustRightInd w:val="0"/>
      <w:snapToGrid w:val="0"/>
      <w:spacing w:before="240" w:after="60" w:line="520" w:lineRule="exact"/>
      <w:ind w:firstLine="200" w:firstLineChars="200"/>
      <w:jc w:val="center"/>
      <w:textAlignment w:val="baseline"/>
      <w:outlineLvl w:val="0"/>
    </w:pPr>
    <w:rPr>
      <w:rFonts w:ascii="Cambria" w:hAnsi="Cambria"/>
      <w:b/>
      <w:bCs/>
      <w:kern w:val="0"/>
      <w:sz w:val="32"/>
      <w:szCs w:val="32"/>
    </w:rPr>
  </w:style>
  <w:style w:type="table" w:styleId="23">
    <w:name w:val="Table Grid"/>
    <w:basedOn w:val="22"/>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basedOn w:val="24"/>
    <w:autoRedefine/>
    <w:qFormat/>
    <w:uiPriority w:val="0"/>
    <w:rPr>
      <w:b/>
    </w:rPr>
  </w:style>
  <w:style w:type="character" w:customStyle="1" w:styleId="26">
    <w:name w:val="标题 1 Char"/>
    <w:basedOn w:val="24"/>
    <w:link w:val="2"/>
    <w:autoRedefine/>
    <w:qFormat/>
    <w:uiPriority w:val="9"/>
    <w:rPr>
      <w:rFonts w:ascii="Times New Roman" w:hAnsi="Times New Roman" w:eastAsia="黑体" w:cs="Times New Roman"/>
      <w:b/>
      <w:bCs/>
      <w:color w:val="000000"/>
      <w:kern w:val="44"/>
      <w:sz w:val="28"/>
      <w:szCs w:val="30"/>
    </w:rPr>
  </w:style>
  <w:style w:type="character" w:customStyle="1" w:styleId="27">
    <w:name w:val="标题 2 Char"/>
    <w:basedOn w:val="24"/>
    <w:link w:val="3"/>
    <w:autoRedefine/>
    <w:qFormat/>
    <w:uiPriority w:val="0"/>
    <w:rPr>
      <w:rFonts w:ascii="Arial" w:hAnsi="Arial" w:eastAsia="黑体" w:cs="Times New Roman"/>
      <w:b/>
      <w:bCs/>
      <w:kern w:val="0"/>
      <w:sz w:val="32"/>
      <w:szCs w:val="32"/>
    </w:rPr>
  </w:style>
  <w:style w:type="paragraph" w:customStyle="1" w:styleId="28">
    <w:name w:val="表格"/>
    <w:basedOn w:val="11"/>
    <w:link w:val="39"/>
    <w:autoRedefine/>
    <w:qFormat/>
    <w:uiPriority w:val="0"/>
    <w:pPr>
      <w:spacing w:line="240" w:lineRule="auto"/>
      <w:ind w:firstLine="0" w:firstLineChars="0"/>
      <w:contextualSpacing/>
      <w:jc w:val="center"/>
      <w:textAlignment w:val="baseline"/>
    </w:pPr>
    <w:rPr>
      <w:rFonts w:ascii="Times New Roman" w:hAnsi="Times New Roman" w:eastAsia="宋体" w:cstheme="minorBidi"/>
      <w:color w:val="000000" w:themeColor="text1"/>
      <w:sz w:val="21"/>
      <w:szCs w:val="21"/>
    </w:rPr>
  </w:style>
  <w:style w:type="character" w:customStyle="1" w:styleId="29">
    <w:name w:val="标题 3 Char"/>
    <w:basedOn w:val="24"/>
    <w:link w:val="4"/>
    <w:autoRedefine/>
    <w:qFormat/>
    <w:uiPriority w:val="0"/>
    <w:rPr>
      <w:rFonts w:ascii="Calibri" w:hAnsi="Calibri" w:eastAsia="宋体" w:cs="Times New Roman"/>
      <w:b/>
      <w:bCs/>
      <w:color w:val="333333"/>
      <w:sz w:val="32"/>
      <w:szCs w:val="32"/>
    </w:rPr>
  </w:style>
  <w:style w:type="character" w:customStyle="1" w:styleId="30">
    <w:name w:val="标题 4 Char1"/>
    <w:link w:val="5"/>
    <w:autoRedefine/>
    <w:qFormat/>
    <w:uiPriority w:val="0"/>
    <w:rPr>
      <w:rFonts w:ascii="Times New Roman" w:hAnsi="Times New Roman" w:eastAsia="宋体" w:cs="Times New Roman"/>
      <w:b/>
      <w:sz w:val="24"/>
      <w:szCs w:val="24"/>
    </w:rPr>
  </w:style>
  <w:style w:type="character" w:customStyle="1" w:styleId="31">
    <w:name w:val="标题 5 Char1"/>
    <w:link w:val="6"/>
    <w:autoRedefine/>
    <w:qFormat/>
    <w:uiPriority w:val="0"/>
    <w:rPr>
      <w:rFonts w:ascii="宋体" w:hAnsi="宋体" w:eastAsia="宋体" w:cs="Times New Roman"/>
      <w:b/>
      <w:sz w:val="28"/>
      <w:szCs w:val="21"/>
    </w:rPr>
  </w:style>
  <w:style w:type="character" w:customStyle="1" w:styleId="32">
    <w:name w:val="标题 6 Char1"/>
    <w:link w:val="7"/>
    <w:autoRedefine/>
    <w:qFormat/>
    <w:uiPriority w:val="0"/>
    <w:rPr>
      <w:rFonts w:ascii="Arial" w:hAnsi="Arial" w:eastAsia="黑体" w:cs="Times New Roman"/>
      <w:b/>
      <w:sz w:val="24"/>
      <w:szCs w:val="21"/>
    </w:rPr>
  </w:style>
  <w:style w:type="character" w:customStyle="1" w:styleId="33">
    <w:name w:val="标题 7 Char1"/>
    <w:link w:val="8"/>
    <w:autoRedefine/>
    <w:qFormat/>
    <w:uiPriority w:val="0"/>
    <w:rPr>
      <w:rFonts w:ascii="宋体" w:hAnsi="宋体" w:eastAsia="宋体" w:cs="Times New Roman"/>
      <w:b/>
      <w:sz w:val="24"/>
      <w:szCs w:val="21"/>
    </w:rPr>
  </w:style>
  <w:style w:type="character" w:customStyle="1" w:styleId="34">
    <w:name w:val="标题 8 Char1"/>
    <w:link w:val="9"/>
    <w:autoRedefine/>
    <w:qFormat/>
    <w:uiPriority w:val="0"/>
    <w:rPr>
      <w:rFonts w:ascii="Arial" w:hAnsi="Arial" w:eastAsia="黑体" w:cs="Times New Roman"/>
      <w:sz w:val="24"/>
      <w:szCs w:val="21"/>
    </w:rPr>
  </w:style>
  <w:style w:type="character" w:customStyle="1" w:styleId="35">
    <w:name w:val="标题 9 Char1"/>
    <w:link w:val="10"/>
    <w:autoRedefine/>
    <w:qFormat/>
    <w:uiPriority w:val="0"/>
    <w:rPr>
      <w:rFonts w:ascii="Arial" w:hAnsi="Arial" w:eastAsia="黑体" w:cs="Times New Roman"/>
      <w:szCs w:val="21"/>
    </w:rPr>
  </w:style>
  <w:style w:type="character" w:customStyle="1" w:styleId="36">
    <w:name w:val="题注 Char"/>
    <w:link w:val="12"/>
    <w:autoRedefine/>
    <w:qFormat/>
    <w:locked/>
    <w:uiPriority w:val="0"/>
    <w:rPr>
      <w:rFonts w:ascii="Times New Roman" w:hAnsi="Times New Roman" w:eastAsia="宋体" w:cs="Times New Roman"/>
      <w:b/>
      <w:bCs/>
      <w:sz w:val="24"/>
      <w:szCs w:val="24"/>
    </w:rPr>
  </w:style>
  <w:style w:type="character" w:customStyle="1" w:styleId="37">
    <w:name w:val="副标题 Char"/>
    <w:basedOn w:val="24"/>
    <w:link w:val="19"/>
    <w:autoRedefine/>
    <w:qFormat/>
    <w:uiPriority w:val="0"/>
    <w:rPr>
      <w:rFonts w:ascii="Cambria" w:hAnsi="Cambria" w:eastAsia="宋体" w:cs="Times New Roman"/>
      <w:b/>
      <w:bCs/>
      <w:kern w:val="28"/>
      <w:sz w:val="48"/>
      <w:szCs w:val="32"/>
    </w:rPr>
  </w:style>
  <w:style w:type="character" w:customStyle="1" w:styleId="38">
    <w:name w:val="标题 Char"/>
    <w:basedOn w:val="24"/>
    <w:link w:val="21"/>
    <w:autoRedefine/>
    <w:qFormat/>
    <w:uiPriority w:val="0"/>
    <w:rPr>
      <w:rFonts w:ascii="Cambria" w:hAnsi="Cambria" w:eastAsia="宋体" w:cs="Times New Roman"/>
      <w:b/>
      <w:bCs/>
      <w:kern w:val="0"/>
      <w:sz w:val="32"/>
      <w:szCs w:val="32"/>
    </w:rPr>
  </w:style>
  <w:style w:type="character" w:customStyle="1" w:styleId="39">
    <w:name w:val="表格 Char"/>
    <w:link w:val="28"/>
    <w:autoRedefine/>
    <w:qFormat/>
    <w:locked/>
    <w:uiPriority w:val="0"/>
    <w:rPr>
      <w:rFonts w:ascii="Times New Roman" w:hAnsi="Times New Roman" w:eastAsia="宋体"/>
      <w:color w:val="000000" w:themeColor="text1"/>
      <w:sz w:val="21"/>
      <w:szCs w:val="21"/>
    </w:rPr>
  </w:style>
  <w:style w:type="paragraph" w:customStyle="1" w:styleId="40">
    <w:name w:val="1. 表格内容"/>
    <w:basedOn w:val="1"/>
    <w:autoRedefine/>
    <w:qFormat/>
    <w:uiPriority w:val="0"/>
    <w:pPr>
      <w:snapToGrid w:val="0"/>
      <w:spacing w:line="360" w:lineRule="exact"/>
      <w:ind w:firstLine="0" w:firstLineChars="0"/>
      <w:jc w:val="center"/>
      <w:textAlignment w:val="baseline"/>
    </w:pPr>
    <w:rPr>
      <w:sz w:val="21"/>
      <w:szCs w:val="21"/>
    </w:rPr>
  </w:style>
  <w:style w:type="paragraph" w:customStyle="1" w:styleId="41">
    <w:name w:val="鸿达表格文字"/>
    <w:basedOn w:val="1"/>
    <w:autoRedefine/>
    <w:qFormat/>
    <w:uiPriority w:val="0"/>
    <w:pPr>
      <w:contextualSpacing/>
      <w:jc w:val="center"/>
      <w:textAlignment w:val="baseline"/>
    </w:pPr>
    <w:rPr>
      <w:kern w:val="0"/>
      <w:szCs w:val="21"/>
    </w:rPr>
  </w:style>
  <w:style w:type="paragraph" w:customStyle="1" w:styleId="42">
    <w:name w:val="表内容"/>
    <w:basedOn w:val="1"/>
    <w:autoRedefine/>
    <w:qFormat/>
    <w:uiPriority w:val="0"/>
    <w:pPr>
      <w:autoSpaceDE w:val="0"/>
      <w:autoSpaceDN w:val="0"/>
      <w:jc w:val="center"/>
    </w:pPr>
    <w:rPr>
      <w:rFonts w:ascii="Arial" w:hAnsi="Arial" w:cs="Arial"/>
      <w:szCs w:val="21"/>
    </w:rPr>
  </w:style>
  <w:style w:type="character" w:customStyle="1" w:styleId="43">
    <w:name w:val="font11"/>
    <w:basedOn w:val="24"/>
    <w:autoRedefine/>
    <w:qFormat/>
    <w:uiPriority w:val="0"/>
    <w:rPr>
      <w:rFonts w:hint="default" w:ascii="Times New Roman" w:hAnsi="Times New Roman" w:cs="Times New Roman"/>
      <w:color w:val="000000"/>
      <w:sz w:val="21"/>
      <w:szCs w:val="21"/>
      <w:u w:val="none"/>
    </w:rPr>
  </w:style>
  <w:style w:type="paragraph" w:customStyle="1" w:styleId="44">
    <w:name w:val="报告表正文段落"/>
    <w:autoRedefine/>
    <w:qFormat/>
    <w:uiPriority w:val="0"/>
    <w:pPr>
      <w:spacing w:line="460" w:lineRule="exact"/>
      <w:ind w:firstLine="480" w:firstLineChars="200"/>
    </w:pPr>
    <w:rPr>
      <w:rFonts w:ascii="Times New Roman" w:hAnsi="Times New Roman" w:eastAsia="宋体" w:cs="宋体"/>
      <w:color w:val="000000"/>
      <w:kern w:val="2"/>
      <w:sz w:val="24"/>
      <w:lang w:val="en-US" w:eastAsia="zh-CN" w:bidi="ar-SA"/>
    </w:rPr>
  </w:style>
  <w:style w:type="paragraph" w:customStyle="1" w:styleId="45">
    <w:name w:val="段落"/>
    <w:basedOn w:val="16"/>
    <w:autoRedefine/>
    <w:qFormat/>
    <w:uiPriority w:val="0"/>
    <w:pPr>
      <w:framePr w:hSpace="180" w:wrap="around" w:vAnchor="text" w:hAnchor="text" w:xAlign="center" w:y="1"/>
      <w:suppressOverlap/>
      <w:adjustRightInd w:val="0"/>
      <w:snapToGrid w:val="0"/>
      <w:spacing w:line="460" w:lineRule="exact"/>
      <w:ind w:firstLine="436" w:firstLineChars="181"/>
    </w:pPr>
    <w:rPr>
      <w:rFonts w:hAnsi="宋体" w:asciiTheme="minorHAnsi" w:eastAsiaTheme="minorEastAsia" w:cstheme="minorBidi"/>
      <w:b/>
      <w:bCs/>
      <w:color w:val="auto"/>
      <w:sz w:val="24"/>
      <w:szCs w:val="24"/>
    </w:rPr>
  </w:style>
  <w:style w:type="paragraph" w:customStyle="1" w:styleId="46">
    <w:name w:val="段落 Char"/>
    <w:basedOn w:val="16"/>
    <w:autoRedefine/>
    <w:qFormat/>
    <w:uiPriority w:val="0"/>
    <w:pPr>
      <w:spacing w:line="500" w:lineRule="exact"/>
      <w:ind w:firstLine="578"/>
    </w:pPr>
    <w:rPr>
      <w:rFonts w:ascii="Times New Roman" w:hAnsi="Times New Roman" w:cs="Times New Roman"/>
    </w:rPr>
  </w:style>
  <w:style w:type="paragraph" w:customStyle="1" w:styleId="47">
    <w:name w:val="表格内文字5号"/>
    <w:basedOn w:val="1"/>
    <w:autoRedefine/>
    <w:qFormat/>
    <w:uiPriority w:val="0"/>
    <w:pPr>
      <w:jc w:val="center"/>
    </w:pPr>
    <w:rPr>
      <w:sz w:val="21"/>
      <w:szCs w:val="24"/>
    </w:rPr>
  </w:style>
  <w:style w:type="paragraph" w:customStyle="1" w:styleId="48">
    <w:name w:val="正文加粗lcc"/>
    <w:basedOn w:val="1"/>
    <w:autoRedefine/>
    <w:qFormat/>
    <w:uiPriority w:val="0"/>
    <w:pPr>
      <w:spacing w:line="360" w:lineRule="auto"/>
      <w:ind w:firstLine="200" w:firstLineChars="200"/>
    </w:pPr>
    <w:rPr>
      <w:b/>
      <w:color w:val="000000"/>
      <w:sz w:val="24"/>
      <w:szCs w:val="22"/>
    </w:rPr>
  </w:style>
  <w:style w:type="paragraph" w:customStyle="1" w:styleId="49">
    <w:name w:val="报告表表格文字"/>
    <w:basedOn w:val="1"/>
    <w:autoRedefine/>
    <w:qFormat/>
    <w:uiPriority w:val="0"/>
    <w:pPr>
      <w:autoSpaceDE w:val="0"/>
      <w:autoSpaceDN w:val="0"/>
      <w:adjustRightInd w:val="0"/>
      <w:snapToGrid w:val="0"/>
      <w:spacing w:line="360" w:lineRule="exact"/>
      <w:jc w:val="center"/>
    </w:pPr>
    <w:rPr>
      <w:rFonts w:ascii="Calibri" w:hAnsi="Calibri" w:eastAsia="等线"/>
      <w:color w:val="000000"/>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notes" Target="footnotes.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81" textRotate="1"/>
    <customShpInfo spid="_x0000_s3074" textRotate="1"/>
    <customShpInfo spid="_x0000_s3080" textRotate="1"/>
    <customShpInfo spid="_x0000_s2607"/>
    <customShpInfo spid="_x0000_s2609"/>
    <customShpInfo spid="_x0000_s2614"/>
    <customShpInfo spid="_x0000_s2615"/>
    <customShpInfo spid="_x0000_s2090"/>
    <customShpInfo spid="_x0000_s22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80</Pages>
  <Words>46641</Words>
  <Characters>50466</Characters>
  <Lines>177</Lines>
  <Paragraphs>50</Paragraphs>
  <TotalTime>2</TotalTime>
  <ScaleCrop>false</ScaleCrop>
  <LinksUpToDate>false</LinksUpToDate>
  <CharactersWithSpaces>51014</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2024-02-02T01:35:00Z</dcterms:created>
  <dc:creator>568680890@qq.com</dc:creator>
  <cp:lastModifiedBy>新乡市译洋环境</cp:lastModifiedBy>
  <cp:lastPrinted>2026-03-30T07:30:00Z</cp:lastPrinted>
  <dcterms:modified xsi:type="dcterms:W3CDTF">2026-03-30T09:08:23Z</dcterms:modified>
  <cp:revision>341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6610C5A6B7C940038795D34DBBE2E16F_13</vt:lpwstr>
  </property>
  <property fmtid="{D5CDD505-2E9C-101B-9397-08002B2CF9AE}" pid="4" name="KSOTemplateDocerSaveRecord">
    <vt:lpwstr>eyJoZGlkIjoiYmRkMjA4NDhkODMyZTc1N2NmN2UzMzI4NDQ2ZmQyMjciLCJ1c2VySWQiOiIyMTQ1MTU5ODEifQ==</vt:lpwstr>
  </property>
</Properties>
</file>